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F4075" w14:textId="77777777" w:rsidR="00BF4752" w:rsidRPr="00275FBD" w:rsidRDefault="00360BE3" w:rsidP="00BF4752">
      <w:pPr>
        <w:pStyle w:val="Noga"/>
        <w:tabs>
          <w:tab w:val="clear" w:pos="4153"/>
          <w:tab w:val="clear" w:pos="8306"/>
        </w:tabs>
        <w:spacing w:after="120"/>
        <w:rPr>
          <w:lang w:val="sl-SI"/>
        </w:rPr>
      </w:pPr>
      <w:r>
        <w:rPr>
          <w:lang w:val="sl-SI"/>
        </w:rPr>
        <w:object w:dxaOrig="1440" w:dyaOrig="1440" w14:anchorId="1BF0C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10" type="#_x0000_t75" alt="logo NEK" style="position:absolute;left:0;text-align:left;margin-left:366pt;margin-top:-1.1pt;width:215.9pt;height:172.9pt;z-index:251652096;visibility:visible;mso-wrap-edited:f;mso-position-vertical-relative:page">
            <v:imagedata r:id="rId8" o:title=""/>
            <w10:wrap anchory="page"/>
          </v:shape>
          <o:OLEObject Type="Embed" ProgID="Word.Picture.8" ShapeID="_x0000_s2410" DrawAspect="Content" ObjectID="_1775028860" r:id="rId9"/>
        </w:object>
      </w:r>
    </w:p>
    <w:p w14:paraId="42F8AC9C" w14:textId="77777777" w:rsidR="00BF4752" w:rsidRPr="00275FBD" w:rsidRDefault="00BF4752" w:rsidP="00BF4752">
      <w:pPr>
        <w:pStyle w:val="Telobesedila2"/>
        <w:spacing w:before="120" w:after="120"/>
        <w:ind w:right="1418"/>
        <w:rPr>
          <w:sz w:val="20"/>
          <w:lang w:val="sl-SI"/>
        </w:rPr>
      </w:pPr>
    </w:p>
    <w:p w14:paraId="5902A9EC" w14:textId="77777777" w:rsidR="00BF4752" w:rsidRPr="00275FBD" w:rsidRDefault="00BF4752" w:rsidP="00BF4752">
      <w:pPr>
        <w:pStyle w:val="Telobesedila2"/>
        <w:spacing w:before="120" w:after="120"/>
        <w:ind w:right="1418"/>
        <w:rPr>
          <w:sz w:val="20"/>
          <w:lang w:val="sl-SI"/>
        </w:rPr>
      </w:pPr>
    </w:p>
    <w:p w14:paraId="563DA6FD" w14:textId="77777777" w:rsidR="00BF4752" w:rsidRPr="00275FBD" w:rsidRDefault="00BF4752" w:rsidP="00C85A17">
      <w:pPr>
        <w:ind w:left="-1147" w:right="-418"/>
        <w:jc w:val="center"/>
        <w:rPr>
          <w:b/>
          <w:sz w:val="28"/>
          <w:szCs w:val="28"/>
          <w:lang w:val="sl-SI"/>
        </w:rPr>
      </w:pPr>
    </w:p>
    <w:p w14:paraId="163C131A" w14:textId="77777777" w:rsidR="00E73E08" w:rsidRPr="00275FBD" w:rsidRDefault="00E73E08" w:rsidP="00BF4752">
      <w:pPr>
        <w:ind w:left="1920" w:firstLine="706"/>
        <w:rPr>
          <w:b/>
          <w:szCs w:val="20"/>
          <w:lang w:val="sl-SI" w:eastAsia="sl-SI"/>
        </w:rPr>
      </w:pPr>
    </w:p>
    <w:p w14:paraId="7CA41D63" w14:textId="77777777" w:rsidR="002C48CB" w:rsidRPr="00275FBD" w:rsidRDefault="002C48CB" w:rsidP="00BF4752">
      <w:pPr>
        <w:ind w:left="1920" w:firstLine="706"/>
        <w:rPr>
          <w:b/>
          <w:szCs w:val="20"/>
          <w:lang w:val="sl-SI" w:eastAsia="sl-SI"/>
        </w:rPr>
      </w:pPr>
    </w:p>
    <w:p w14:paraId="634CAEA7" w14:textId="15727D8D" w:rsidR="00E73E08" w:rsidRPr="00275FBD" w:rsidRDefault="002C48CB" w:rsidP="00E73E08">
      <w:pPr>
        <w:ind w:left="-1147" w:right="-418"/>
        <w:jc w:val="center"/>
        <w:rPr>
          <w:b/>
          <w:sz w:val="28"/>
          <w:szCs w:val="28"/>
          <w:lang w:val="sl-SI"/>
        </w:rPr>
      </w:pPr>
      <w:r w:rsidRPr="00275FBD">
        <w:rPr>
          <w:b/>
          <w:sz w:val="28"/>
          <w:szCs w:val="28"/>
          <w:lang w:val="sl-SI"/>
        </w:rPr>
        <w:t xml:space="preserve">Povzetek zbirnega poročila o tretjem občasnem varnostnem pregledu </w:t>
      </w:r>
      <w:r w:rsidR="00F215AD">
        <w:rPr>
          <w:b/>
          <w:sz w:val="28"/>
          <w:szCs w:val="28"/>
          <w:lang w:val="sl-SI"/>
        </w:rPr>
        <w:t>s celovito</w:t>
      </w:r>
      <w:r w:rsidRPr="00275FBD">
        <w:rPr>
          <w:b/>
          <w:sz w:val="28"/>
          <w:szCs w:val="28"/>
          <w:lang w:val="sl-SI"/>
        </w:rPr>
        <w:t xml:space="preserve"> oceno varnosti NEK</w:t>
      </w:r>
    </w:p>
    <w:p w14:paraId="0FD53801" w14:textId="4F6BA036" w:rsidR="00E73E08" w:rsidRPr="00275FBD" w:rsidRDefault="00E73E08" w:rsidP="00E73E08">
      <w:pPr>
        <w:suppressAutoHyphens/>
        <w:ind w:left="-1147" w:right="-418"/>
        <w:jc w:val="center"/>
        <w:rPr>
          <w:sz w:val="22"/>
          <w:szCs w:val="22"/>
          <w:lang w:val="sl-SI"/>
        </w:rPr>
      </w:pPr>
    </w:p>
    <w:p w14:paraId="01D23118" w14:textId="77777777" w:rsidR="00E73E08" w:rsidRPr="00275FBD" w:rsidRDefault="00E73E08" w:rsidP="00E73E08">
      <w:pPr>
        <w:suppressAutoHyphens/>
        <w:ind w:left="-1147" w:right="-418"/>
        <w:jc w:val="center"/>
        <w:rPr>
          <w:sz w:val="22"/>
          <w:szCs w:val="22"/>
          <w:lang w:val="sl-SI"/>
        </w:rPr>
      </w:pPr>
    </w:p>
    <w:p w14:paraId="77B21811" w14:textId="63AC76CD" w:rsidR="00E73E08" w:rsidRPr="00275FBD" w:rsidRDefault="002C48CB" w:rsidP="00E73E08">
      <w:pPr>
        <w:suppressAutoHyphens/>
        <w:ind w:left="-1147" w:right="-418"/>
        <w:jc w:val="center"/>
        <w:rPr>
          <w:b/>
          <w:sz w:val="22"/>
          <w:szCs w:val="22"/>
          <w:lang w:val="sl-SI"/>
        </w:rPr>
      </w:pPr>
      <w:r w:rsidRPr="00275FBD">
        <w:rPr>
          <w:sz w:val="22"/>
          <w:szCs w:val="22"/>
          <w:lang w:val="sl-SI"/>
        </w:rPr>
        <w:t>Številka poročila</w:t>
      </w:r>
      <w:r w:rsidR="00E73E08" w:rsidRPr="00275FBD">
        <w:rPr>
          <w:sz w:val="22"/>
          <w:szCs w:val="22"/>
          <w:lang w:val="sl-SI"/>
        </w:rPr>
        <w:t>:</w:t>
      </w:r>
    </w:p>
    <w:p w14:paraId="065246C8" w14:textId="75DC9B2D" w:rsidR="00E73E08" w:rsidRPr="00275FBD" w:rsidRDefault="00AE3611" w:rsidP="00E73E08">
      <w:pPr>
        <w:ind w:left="-1147" w:right="-418"/>
        <w:jc w:val="center"/>
        <w:rPr>
          <w:b/>
          <w:sz w:val="28"/>
          <w:szCs w:val="28"/>
          <w:lang w:val="sl-SI"/>
        </w:rPr>
      </w:pPr>
      <w:r w:rsidRPr="00275FBD">
        <w:rPr>
          <w:b/>
          <w:sz w:val="28"/>
          <w:szCs w:val="28"/>
          <w:lang w:val="sl-SI"/>
        </w:rPr>
        <w:t>PSR3</w:t>
      </w:r>
      <w:r w:rsidR="00E73E08" w:rsidRPr="00275FBD">
        <w:rPr>
          <w:b/>
          <w:sz w:val="28"/>
          <w:szCs w:val="28"/>
          <w:lang w:val="sl-SI"/>
        </w:rPr>
        <w:t>-NEK-</w:t>
      </w:r>
      <w:r w:rsidR="002C48CB" w:rsidRPr="00275FBD">
        <w:rPr>
          <w:b/>
          <w:sz w:val="28"/>
          <w:szCs w:val="28"/>
          <w:lang w:val="sl-SI"/>
        </w:rPr>
        <w:t>10</w:t>
      </w:r>
      <w:r w:rsidR="00E73E08" w:rsidRPr="00275FBD">
        <w:rPr>
          <w:b/>
          <w:sz w:val="28"/>
          <w:szCs w:val="28"/>
          <w:lang w:val="sl-SI"/>
        </w:rPr>
        <w:t>.</w:t>
      </w:r>
      <w:r w:rsidR="002C48CB" w:rsidRPr="00275FBD">
        <w:rPr>
          <w:b/>
          <w:sz w:val="28"/>
          <w:szCs w:val="28"/>
          <w:lang w:val="sl-SI"/>
        </w:rPr>
        <w:t>0</w:t>
      </w:r>
    </w:p>
    <w:p w14:paraId="1D7221C7" w14:textId="0280226B" w:rsidR="00E73E08" w:rsidRPr="00275FBD" w:rsidRDefault="00E73E08" w:rsidP="00E73E08">
      <w:pPr>
        <w:ind w:left="-1418" w:right="-418"/>
        <w:jc w:val="center"/>
        <w:rPr>
          <w:b/>
          <w:sz w:val="24"/>
          <w:szCs w:val="20"/>
          <w:lang w:val="sl-SI"/>
        </w:rPr>
      </w:pPr>
      <w:r w:rsidRPr="00275FBD">
        <w:rPr>
          <w:b/>
          <w:sz w:val="24"/>
          <w:szCs w:val="20"/>
          <w:lang w:val="sl-SI"/>
        </w:rPr>
        <w:t>Rev</w:t>
      </w:r>
      <w:r w:rsidR="009D30B4" w:rsidRPr="00275FBD">
        <w:rPr>
          <w:b/>
          <w:sz w:val="24"/>
          <w:szCs w:val="20"/>
          <w:lang w:val="sl-SI"/>
        </w:rPr>
        <w:t>izija</w:t>
      </w:r>
      <w:r w:rsidRPr="00275FBD">
        <w:rPr>
          <w:b/>
          <w:sz w:val="24"/>
          <w:szCs w:val="20"/>
          <w:lang w:val="sl-SI"/>
        </w:rPr>
        <w:t xml:space="preserve"> </w:t>
      </w:r>
      <w:r w:rsidR="00287BED">
        <w:rPr>
          <w:b/>
          <w:sz w:val="24"/>
          <w:szCs w:val="20"/>
          <w:lang w:val="sl-SI"/>
        </w:rPr>
        <w:t>1</w:t>
      </w:r>
    </w:p>
    <w:p w14:paraId="3E868ED5" w14:textId="77777777" w:rsidR="00E73E08" w:rsidRPr="00275FBD" w:rsidRDefault="00E73E08" w:rsidP="00E73E08">
      <w:pPr>
        <w:suppressAutoHyphens/>
        <w:ind w:left="-1147" w:right="-418"/>
        <w:jc w:val="center"/>
        <w:rPr>
          <w:sz w:val="22"/>
          <w:szCs w:val="22"/>
          <w:lang w:val="sl-SI"/>
        </w:rPr>
      </w:pPr>
    </w:p>
    <w:p w14:paraId="4B225C6B" w14:textId="77777777" w:rsidR="00E73E08" w:rsidRPr="00275FBD" w:rsidRDefault="00E73E08" w:rsidP="00E73E08">
      <w:pPr>
        <w:rPr>
          <w:b/>
          <w:szCs w:val="20"/>
          <w:lang w:val="sl-SI" w:eastAsia="sl-SI"/>
        </w:rPr>
      </w:pPr>
    </w:p>
    <w:p w14:paraId="004042F3" w14:textId="59E3C45A" w:rsidR="00310810" w:rsidRPr="00275FBD" w:rsidRDefault="009D30B4" w:rsidP="00310810">
      <w:pPr>
        <w:spacing w:before="0"/>
        <w:rPr>
          <w:b/>
          <w:szCs w:val="20"/>
          <w:lang w:val="sl-SI"/>
        </w:rPr>
      </w:pPr>
      <w:r w:rsidRPr="00275FBD">
        <w:rPr>
          <w:b/>
          <w:szCs w:val="20"/>
          <w:lang w:val="sl-SI"/>
        </w:rPr>
        <w:t>IZDELALI</w:t>
      </w:r>
      <w:r w:rsidR="00310810" w:rsidRPr="00275FBD">
        <w:rPr>
          <w:b/>
          <w:szCs w:val="20"/>
          <w:lang w:val="sl-SI"/>
        </w:rPr>
        <w:t>:</w:t>
      </w:r>
      <w:r w:rsidR="008E3721" w:rsidRPr="00275FBD">
        <w:rPr>
          <w:lang w:val="sl-SI"/>
        </w:rPr>
        <w:t xml:space="preserve"> </w:t>
      </w:r>
    </w:p>
    <w:p w14:paraId="3C552218" w14:textId="2A437E12" w:rsidR="00310810" w:rsidRPr="00275FBD" w:rsidRDefault="00C85A17" w:rsidP="00310810">
      <w:pPr>
        <w:tabs>
          <w:tab w:val="right" w:pos="8647"/>
        </w:tabs>
        <w:suppressAutoHyphens/>
        <w:spacing w:before="360" w:after="40"/>
        <w:ind w:right="119"/>
        <w:rPr>
          <w:spacing w:val="-3"/>
          <w:lang w:val="sl-SI"/>
        </w:rPr>
      </w:pPr>
      <w:r w:rsidRPr="00275FBD">
        <w:rPr>
          <w:spacing w:val="-3"/>
          <w:u w:val="single"/>
          <w:lang w:val="sl-SI"/>
        </w:rPr>
        <w:t>Ivan Vrbanić, Ivica Bašić</w:t>
      </w:r>
      <w:r w:rsidR="00310810" w:rsidRPr="00275FBD">
        <w:rPr>
          <w:spacing w:val="-3"/>
          <w:u w:val="single"/>
          <w:lang w:val="sl-SI"/>
        </w:rPr>
        <w:t xml:space="preserve">                                                    </w:t>
      </w:r>
      <w:r w:rsidRPr="00275FBD">
        <w:rPr>
          <w:spacing w:val="-3"/>
          <w:lang w:val="sl-SI"/>
        </w:rPr>
        <w:tab/>
      </w:r>
      <w:r w:rsidR="00326AA3" w:rsidRPr="00275FBD">
        <w:rPr>
          <w:spacing w:val="-3"/>
          <w:lang w:val="sl-SI"/>
        </w:rPr>
        <w:t>Datum</w:t>
      </w:r>
      <w:r w:rsidRPr="00275FBD">
        <w:rPr>
          <w:spacing w:val="-3"/>
          <w:lang w:val="sl-SI"/>
        </w:rPr>
        <w:t xml:space="preserve">: </w:t>
      </w:r>
      <w:r w:rsidR="008D1920" w:rsidRPr="00275FBD">
        <w:rPr>
          <w:spacing w:val="-3"/>
          <w:u w:val="single"/>
          <w:lang w:val="sl-SI"/>
        </w:rPr>
        <w:t xml:space="preserve"> </w:t>
      </w:r>
      <w:r w:rsidR="00256823">
        <w:rPr>
          <w:spacing w:val="-3"/>
          <w:u w:val="single"/>
          <w:lang w:val="sl-SI"/>
        </w:rPr>
        <w:t>04</w:t>
      </w:r>
      <w:r w:rsidRPr="00275FBD">
        <w:rPr>
          <w:spacing w:val="-3"/>
          <w:u w:val="single"/>
          <w:lang w:val="sl-SI"/>
        </w:rPr>
        <w:t>/</w:t>
      </w:r>
      <w:r w:rsidR="008D1920" w:rsidRPr="00275FBD">
        <w:rPr>
          <w:spacing w:val="-3"/>
          <w:u w:val="single"/>
          <w:lang w:val="sl-SI"/>
        </w:rPr>
        <w:t xml:space="preserve"> </w:t>
      </w:r>
      <w:r w:rsidR="00256823">
        <w:rPr>
          <w:spacing w:val="-3"/>
          <w:u w:val="single"/>
          <w:lang w:val="sl-SI"/>
        </w:rPr>
        <w:t>04</w:t>
      </w:r>
      <w:r w:rsidR="00310810" w:rsidRPr="00275FBD">
        <w:rPr>
          <w:spacing w:val="-3"/>
          <w:u w:val="single"/>
          <w:lang w:val="sl-SI"/>
        </w:rPr>
        <w:t>/</w:t>
      </w:r>
      <w:r w:rsidRPr="00275FBD">
        <w:rPr>
          <w:spacing w:val="-3"/>
          <w:u w:val="single"/>
          <w:lang w:val="sl-SI"/>
        </w:rPr>
        <w:t>202</w:t>
      </w:r>
      <w:r w:rsidR="00D74690">
        <w:rPr>
          <w:spacing w:val="-3"/>
          <w:u w:val="single"/>
          <w:lang w:val="sl-SI"/>
        </w:rPr>
        <w:t>4</w:t>
      </w:r>
    </w:p>
    <w:p w14:paraId="2909C6F1" w14:textId="75EBA5C6" w:rsidR="00310810" w:rsidRPr="00275FBD" w:rsidRDefault="00C85A17" w:rsidP="00310810">
      <w:pPr>
        <w:tabs>
          <w:tab w:val="left" w:pos="566"/>
          <w:tab w:val="left" w:pos="766"/>
          <w:tab w:val="left" w:pos="1006"/>
          <w:tab w:val="left" w:pos="1246"/>
          <w:tab w:val="left" w:pos="1486"/>
          <w:tab w:val="left" w:pos="1726"/>
          <w:tab w:val="left" w:pos="1966"/>
          <w:tab w:val="left" w:pos="2850"/>
          <w:tab w:val="left" w:pos="3326"/>
          <w:tab w:val="left" w:pos="3802"/>
          <w:tab w:val="left" w:pos="4277"/>
          <w:tab w:val="left" w:pos="4752"/>
          <w:tab w:val="left" w:pos="5227"/>
          <w:tab w:val="left" w:pos="5702"/>
          <w:tab w:val="left" w:pos="6178"/>
          <w:tab w:val="left" w:pos="6653"/>
        </w:tabs>
        <w:suppressAutoHyphens/>
        <w:spacing w:before="40" w:after="40"/>
        <w:rPr>
          <w:spacing w:val="-3"/>
          <w:lang w:val="sl-SI"/>
        </w:rPr>
      </w:pPr>
      <w:r w:rsidRPr="00275FBD">
        <w:rPr>
          <w:spacing w:val="-3"/>
          <w:lang w:val="sl-SI"/>
        </w:rPr>
        <w:t>APOSS</w:t>
      </w:r>
      <w:r w:rsidR="009D30B4" w:rsidRPr="00275FBD">
        <w:rPr>
          <w:spacing w:val="-3"/>
          <w:lang w:val="sl-SI"/>
        </w:rPr>
        <w:t>,</w:t>
      </w:r>
      <w:r w:rsidR="00310810" w:rsidRPr="00275FBD">
        <w:rPr>
          <w:spacing w:val="-3"/>
          <w:lang w:val="sl-SI"/>
        </w:rPr>
        <w:t xml:space="preserve"> </w:t>
      </w:r>
      <w:r w:rsidR="009D30B4" w:rsidRPr="00275FBD">
        <w:rPr>
          <w:spacing w:val="-3"/>
          <w:lang w:val="sl-SI"/>
        </w:rPr>
        <w:t>odgovorn</w:t>
      </w:r>
      <w:r w:rsidR="00883EFD">
        <w:rPr>
          <w:spacing w:val="-3"/>
          <w:lang w:val="sl-SI"/>
        </w:rPr>
        <w:t>a</w:t>
      </w:r>
      <w:r w:rsidR="009D30B4" w:rsidRPr="00275FBD">
        <w:rPr>
          <w:spacing w:val="-3"/>
          <w:lang w:val="sl-SI"/>
        </w:rPr>
        <w:t xml:space="preserve"> inženirj</w:t>
      </w:r>
      <w:r w:rsidR="00883EFD">
        <w:rPr>
          <w:spacing w:val="-3"/>
          <w:lang w:val="sl-SI"/>
        </w:rPr>
        <w:t>a</w:t>
      </w:r>
    </w:p>
    <w:p w14:paraId="67C39D85" w14:textId="3BADDD63" w:rsidR="00310810" w:rsidRPr="00275FBD" w:rsidRDefault="00310810" w:rsidP="00310810">
      <w:pPr>
        <w:tabs>
          <w:tab w:val="left" w:pos="566"/>
          <w:tab w:val="left" w:pos="766"/>
          <w:tab w:val="left" w:pos="1006"/>
          <w:tab w:val="left" w:pos="1246"/>
          <w:tab w:val="left" w:pos="1486"/>
          <w:tab w:val="left" w:pos="1726"/>
          <w:tab w:val="left" w:pos="1966"/>
          <w:tab w:val="left" w:pos="2850"/>
          <w:tab w:val="left" w:pos="3326"/>
          <w:tab w:val="left" w:pos="3802"/>
          <w:tab w:val="left" w:pos="4277"/>
          <w:tab w:val="left" w:pos="4752"/>
          <w:tab w:val="left" w:pos="5227"/>
          <w:tab w:val="left" w:pos="5702"/>
          <w:tab w:val="left" w:pos="6178"/>
          <w:tab w:val="left" w:pos="6653"/>
        </w:tabs>
        <w:suppressAutoHyphens/>
        <w:outlineLvl w:val="0"/>
        <w:rPr>
          <w:b/>
          <w:spacing w:val="-3"/>
          <w:lang w:val="sl-SI"/>
        </w:rPr>
      </w:pPr>
    </w:p>
    <w:p w14:paraId="567EDE57" w14:textId="4E36CE72" w:rsidR="00310810" w:rsidRPr="00275FBD" w:rsidRDefault="009D30B4" w:rsidP="00310810">
      <w:pPr>
        <w:rPr>
          <w:b/>
          <w:szCs w:val="20"/>
          <w:lang w:val="sl-SI"/>
        </w:rPr>
      </w:pPr>
      <w:r w:rsidRPr="00275FBD">
        <w:rPr>
          <w:b/>
          <w:szCs w:val="20"/>
          <w:lang w:val="sl-SI"/>
        </w:rPr>
        <w:t>PREGLEDALI</w:t>
      </w:r>
      <w:r w:rsidR="00310810" w:rsidRPr="00275FBD">
        <w:rPr>
          <w:b/>
          <w:szCs w:val="20"/>
          <w:lang w:val="sl-SI"/>
        </w:rPr>
        <w:t>:</w:t>
      </w:r>
    </w:p>
    <w:p w14:paraId="58ED6717" w14:textId="7A48347A" w:rsidR="00115679" w:rsidRPr="00275FBD" w:rsidRDefault="000106D6" w:rsidP="00115679">
      <w:pPr>
        <w:tabs>
          <w:tab w:val="right" w:pos="8647"/>
        </w:tabs>
        <w:suppressAutoHyphens/>
        <w:spacing w:before="360" w:after="40"/>
        <w:ind w:right="119"/>
        <w:rPr>
          <w:spacing w:val="-3"/>
          <w:lang w:val="sl-SI"/>
        </w:rPr>
      </w:pPr>
      <w:r>
        <w:rPr>
          <w:spacing w:val="-3"/>
          <w:u w:val="single"/>
          <w:lang w:val="sl-SI"/>
        </w:rPr>
        <w:t xml:space="preserve">Sara Kvenderc          </w:t>
      </w:r>
      <w:r w:rsidR="008E3721" w:rsidRPr="00275FBD">
        <w:rPr>
          <w:spacing w:val="-3"/>
          <w:u w:val="single"/>
          <w:lang w:val="sl-SI"/>
        </w:rPr>
        <w:t xml:space="preserve">                                                        </w:t>
      </w:r>
      <w:r w:rsidR="00115679" w:rsidRPr="00275FBD">
        <w:rPr>
          <w:spacing w:val="-3"/>
          <w:lang w:val="sl-SI"/>
        </w:rPr>
        <w:tab/>
      </w:r>
      <w:r w:rsidR="00326AA3" w:rsidRPr="00275FBD">
        <w:rPr>
          <w:spacing w:val="-3"/>
          <w:lang w:val="sl-SI"/>
        </w:rPr>
        <w:t>Datum</w:t>
      </w:r>
      <w:r w:rsidR="00115679" w:rsidRPr="00275FBD">
        <w:rPr>
          <w:spacing w:val="-3"/>
          <w:lang w:val="sl-SI"/>
        </w:rPr>
        <w:t>: ___/___/___</w:t>
      </w:r>
    </w:p>
    <w:p w14:paraId="2698D325" w14:textId="390ECDBC" w:rsidR="00115679" w:rsidRPr="00275FBD" w:rsidRDefault="00115679" w:rsidP="00115679">
      <w:pPr>
        <w:tabs>
          <w:tab w:val="left" w:pos="566"/>
          <w:tab w:val="left" w:pos="766"/>
          <w:tab w:val="left" w:pos="1006"/>
          <w:tab w:val="left" w:pos="1246"/>
          <w:tab w:val="left" w:pos="1486"/>
          <w:tab w:val="left" w:pos="1726"/>
          <w:tab w:val="left" w:pos="1966"/>
          <w:tab w:val="left" w:pos="2850"/>
          <w:tab w:val="left" w:pos="3326"/>
          <w:tab w:val="left" w:pos="3802"/>
          <w:tab w:val="left" w:pos="4277"/>
          <w:tab w:val="left" w:pos="4752"/>
          <w:tab w:val="left" w:pos="5227"/>
          <w:tab w:val="left" w:pos="5702"/>
          <w:tab w:val="left" w:pos="6178"/>
          <w:tab w:val="left" w:pos="6653"/>
        </w:tabs>
        <w:suppressAutoHyphens/>
        <w:spacing w:before="40" w:after="40"/>
        <w:rPr>
          <w:spacing w:val="-3"/>
          <w:lang w:val="sl-SI"/>
        </w:rPr>
      </w:pPr>
      <w:r w:rsidRPr="00275FBD">
        <w:rPr>
          <w:spacing w:val="-3"/>
          <w:lang w:val="sl-SI"/>
        </w:rPr>
        <w:t>NEK</w:t>
      </w:r>
      <w:r w:rsidR="009D30B4" w:rsidRPr="00275FBD">
        <w:rPr>
          <w:spacing w:val="-3"/>
          <w:lang w:val="sl-SI"/>
        </w:rPr>
        <w:t>,</w:t>
      </w:r>
      <w:r w:rsidRPr="00275FBD">
        <w:rPr>
          <w:spacing w:val="-3"/>
          <w:lang w:val="sl-SI"/>
        </w:rPr>
        <w:t xml:space="preserve"> </w:t>
      </w:r>
      <w:r w:rsidR="009D30B4" w:rsidRPr="00275FBD">
        <w:rPr>
          <w:spacing w:val="-3"/>
          <w:lang w:val="sl-SI"/>
        </w:rPr>
        <w:t>inženirka</w:t>
      </w:r>
      <w:r w:rsidR="000106D6">
        <w:rPr>
          <w:spacing w:val="-3"/>
          <w:lang w:val="sl-SI"/>
        </w:rPr>
        <w:t xml:space="preserve"> za dovoljenja</w:t>
      </w:r>
    </w:p>
    <w:p w14:paraId="4FE8FA99" w14:textId="79A77D56" w:rsidR="00115679" w:rsidRPr="00275FBD" w:rsidRDefault="000106D6" w:rsidP="00115679">
      <w:pPr>
        <w:tabs>
          <w:tab w:val="right" w:pos="8647"/>
        </w:tabs>
        <w:suppressAutoHyphens/>
        <w:spacing w:before="360" w:after="40"/>
        <w:ind w:right="119"/>
        <w:rPr>
          <w:spacing w:val="-3"/>
          <w:lang w:val="sl-SI"/>
        </w:rPr>
      </w:pPr>
      <w:r>
        <w:rPr>
          <w:spacing w:val="-3"/>
          <w:u w:val="single"/>
          <w:lang w:val="sl-SI"/>
        </w:rPr>
        <w:t xml:space="preserve">Barbara Grobelnik  </w:t>
      </w:r>
      <w:r w:rsidR="00115679" w:rsidRPr="00275FBD">
        <w:rPr>
          <w:spacing w:val="-3"/>
          <w:lang w:val="sl-SI"/>
        </w:rPr>
        <w:t>______________</w:t>
      </w:r>
      <w:r w:rsidR="008E3721" w:rsidRPr="00275FBD">
        <w:rPr>
          <w:spacing w:val="-3"/>
          <w:u w:val="single"/>
          <w:lang w:val="sl-SI"/>
        </w:rPr>
        <w:t xml:space="preserve">                                 </w:t>
      </w:r>
      <w:r w:rsidR="00115679" w:rsidRPr="00275FBD">
        <w:rPr>
          <w:spacing w:val="-3"/>
          <w:lang w:val="sl-SI"/>
        </w:rPr>
        <w:tab/>
      </w:r>
      <w:r w:rsidR="00326AA3" w:rsidRPr="00275FBD">
        <w:rPr>
          <w:spacing w:val="-3"/>
          <w:lang w:val="sl-SI"/>
        </w:rPr>
        <w:t>Datum</w:t>
      </w:r>
      <w:r w:rsidR="00115679" w:rsidRPr="00275FBD">
        <w:rPr>
          <w:spacing w:val="-3"/>
          <w:lang w:val="sl-SI"/>
        </w:rPr>
        <w:t>: ___/___/___</w:t>
      </w:r>
    </w:p>
    <w:p w14:paraId="37E2965A" w14:textId="37C29D07" w:rsidR="00115679" w:rsidRPr="00275FBD" w:rsidRDefault="00115679" w:rsidP="00115679">
      <w:pPr>
        <w:tabs>
          <w:tab w:val="left" w:pos="566"/>
          <w:tab w:val="left" w:pos="766"/>
          <w:tab w:val="left" w:pos="1006"/>
          <w:tab w:val="left" w:pos="1246"/>
          <w:tab w:val="left" w:pos="1486"/>
          <w:tab w:val="left" w:pos="1726"/>
          <w:tab w:val="left" w:pos="1966"/>
          <w:tab w:val="left" w:pos="2850"/>
          <w:tab w:val="left" w:pos="3326"/>
          <w:tab w:val="left" w:pos="3802"/>
          <w:tab w:val="left" w:pos="4277"/>
          <w:tab w:val="left" w:pos="4752"/>
          <w:tab w:val="left" w:pos="5227"/>
          <w:tab w:val="left" w:pos="5702"/>
          <w:tab w:val="left" w:pos="6178"/>
          <w:tab w:val="left" w:pos="6653"/>
        </w:tabs>
        <w:suppressAutoHyphens/>
        <w:spacing w:before="40" w:after="40"/>
        <w:rPr>
          <w:spacing w:val="-3"/>
          <w:lang w:val="sl-SI"/>
        </w:rPr>
      </w:pPr>
      <w:r w:rsidRPr="00275FBD">
        <w:rPr>
          <w:spacing w:val="-3"/>
          <w:lang w:val="sl-SI"/>
        </w:rPr>
        <w:t>NEK</w:t>
      </w:r>
      <w:r w:rsidR="009D30B4" w:rsidRPr="00275FBD">
        <w:rPr>
          <w:spacing w:val="-3"/>
          <w:lang w:val="sl-SI"/>
        </w:rPr>
        <w:t>,</w:t>
      </w:r>
      <w:r w:rsidRPr="00275FBD">
        <w:rPr>
          <w:spacing w:val="-3"/>
          <w:lang w:val="sl-SI"/>
        </w:rPr>
        <w:t xml:space="preserve"> </w:t>
      </w:r>
      <w:r w:rsidR="000106D6" w:rsidRPr="00275FBD">
        <w:rPr>
          <w:spacing w:val="-3"/>
          <w:lang w:val="sl-SI"/>
        </w:rPr>
        <w:t>inženirka</w:t>
      </w:r>
      <w:r w:rsidR="000106D6">
        <w:rPr>
          <w:spacing w:val="-3"/>
          <w:lang w:val="sl-SI"/>
        </w:rPr>
        <w:t xml:space="preserve"> za dovoljenja</w:t>
      </w:r>
      <w:r w:rsidR="000106D6" w:rsidRPr="00275FBD" w:rsidDel="000106D6">
        <w:rPr>
          <w:spacing w:val="-3"/>
          <w:lang w:val="sl-SI"/>
        </w:rPr>
        <w:t xml:space="preserve"> </w:t>
      </w:r>
    </w:p>
    <w:p w14:paraId="0AAEBB36" w14:textId="73F9A9D8" w:rsidR="00115679" w:rsidRPr="00275FBD" w:rsidRDefault="00115679" w:rsidP="00115679">
      <w:pPr>
        <w:tabs>
          <w:tab w:val="right" w:pos="8647"/>
        </w:tabs>
        <w:suppressAutoHyphens/>
        <w:spacing w:before="360" w:after="40"/>
        <w:ind w:right="119"/>
        <w:rPr>
          <w:spacing w:val="-3"/>
          <w:lang w:val="sl-SI"/>
        </w:rPr>
      </w:pPr>
      <w:r w:rsidRPr="00275FBD">
        <w:rPr>
          <w:spacing w:val="-3"/>
          <w:u w:val="single"/>
          <w:lang w:val="sl-SI"/>
        </w:rPr>
        <w:t>Rudolf Prosen</w:t>
      </w:r>
      <w:r w:rsidRPr="00275FBD">
        <w:rPr>
          <w:spacing w:val="-3"/>
          <w:lang w:val="sl-SI"/>
        </w:rPr>
        <w:t>___________________</w:t>
      </w:r>
      <w:r w:rsidR="008E3721" w:rsidRPr="00275FBD">
        <w:rPr>
          <w:spacing w:val="-3"/>
          <w:u w:val="single"/>
          <w:lang w:val="sl-SI"/>
        </w:rPr>
        <w:t xml:space="preserve">                                 </w:t>
      </w:r>
      <w:r w:rsidRPr="00275FBD">
        <w:rPr>
          <w:spacing w:val="-3"/>
          <w:lang w:val="sl-SI"/>
        </w:rPr>
        <w:tab/>
      </w:r>
      <w:r w:rsidR="00326AA3" w:rsidRPr="00275FBD">
        <w:rPr>
          <w:spacing w:val="-3"/>
          <w:lang w:val="sl-SI"/>
        </w:rPr>
        <w:t>Datum</w:t>
      </w:r>
      <w:r w:rsidRPr="00275FBD">
        <w:rPr>
          <w:spacing w:val="-3"/>
          <w:lang w:val="sl-SI"/>
        </w:rPr>
        <w:t>: ___/___/___</w:t>
      </w:r>
    </w:p>
    <w:p w14:paraId="6C50C927" w14:textId="22455D98" w:rsidR="00115679" w:rsidRPr="00275FBD" w:rsidRDefault="00115679" w:rsidP="00115679">
      <w:pPr>
        <w:tabs>
          <w:tab w:val="left" w:pos="566"/>
          <w:tab w:val="left" w:pos="766"/>
          <w:tab w:val="left" w:pos="1006"/>
          <w:tab w:val="left" w:pos="1246"/>
          <w:tab w:val="left" w:pos="1486"/>
          <w:tab w:val="left" w:pos="1726"/>
          <w:tab w:val="left" w:pos="1966"/>
          <w:tab w:val="left" w:pos="2850"/>
          <w:tab w:val="left" w:pos="3326"/>
          <w:tab w:val="left" w:pos="3802"/>
          <w:tab w:val="left" w:pos="4277"/>
          <w:tab w:val="left" w:pos="4752"/>
          <w:tab w:val="left" w:pos="5227"/>
          <w:tab w:val="left" w:pos="5702"/>
          <w:tab w:val="left" w:pos="6178"/>
          <w:tab w:val="left" w:pos="6653"/>
        </w:tabs>
        <w:suppressAutoHyphens/>
        <w:spacing w:before="40" w:after="40"/>
        <w:rPr>
          <w:spacing w:val="-3"/>
          <w:lang w:val="sl-SI"/>
        </w:rPr>
      </w:pPr>
      <w:r w:rsidRPr="00275FBD">
        <w:rPr>
          <w:spacing w:val="-3"/>
          <w:lang w:val="sl-SI"/>
        </w:rPr>
        <w:t>NEK PSR</w:t>
      </w:r>
      <w:r w:rsidR="009D30B4" w:rsidRPr="00275FBD">
        <w:rPr>
          <w:spacing w:val="-3"/>
          <w:lang w:val="sl-SI"/>
        </w:rPr>
        <w:t>,</w:t>
      </w:r>
      <w:r w:rsidRPr="00275FBD">
        <w:rPr>
          <w:spacing w:val="-3"/>
          <w:lang w:val="sl-SI"/>
        </w:rPr>
        <w:t xml:space="preserve"> </w:t>
      </w:r>
      <w:r w:rsidR="009D30B4" w:rsidRPr="00275FBD">
        <w:rPr>
          <w:spacing w:val="-3"/>
          <w:lang w:val="sl-SI"/>
        </w:rPr>
        <w:t>vod</w:t>
      </w:r>
      <w:r w:rsidR="00BB263E" w:rsidRPr="00275FBD">
        <w:rPr>
          <w:spacing w:val="-3"/>
          <w:lang w:val="sl-SI"/>
        </w:rPr>
        <w:t>ja</w:t>
      </w:r>
      <w:r w:rsidR="009D30B4" w:rsidRPr="00275FBD">
        <w:rPr>
          <w:spacing w:val="-3"/>
          <w:lang w:val="sl-SI"/>
        </w:rPr>
        <w:t xml:space="preserve"> projekta</w:t>
      </w:r>
    </w:p>
    <w:p w14:paraId="7241C265" w14:textId="77777777" w:rsidR="00115679" w:rsidRPr="00275FBD" w:rsidRDefault="00115679" w:rsidP="00115679">
      <w:pPr>
        <w:tabs>
          <w:tab w:val="left" w:pos="566"/>
          <w:tab w:val="left" w:pos="766"/>
          <w:tab w:val="left" w:pos="1006"/>
          <w:tab w:val="left" w:pos="1246"/>
          <w:tab w:val="left" w:pos="1486"/>
          <w:tab w:val="left" w:pos="1726"/>
          <w:tab w:val="left" w:pos="1966"/>
          <w:tab w:val="left" w:pos="2850"/>
          <w:tab w:val="left" w:pos="3326"/>
          <w:tab w:val="left" w:pos="3802"/>
          <w:tab w:val="left" w:pos="4277"/>
          <w:tab w:val="left" w:pos="4752"/>
          <w:tab w:val="left" w:pos="5227"/>
          <w:tab w:val="left" w:pos="5702"/>
          <w:tab w:val="left" w:pos="6178"/>
          <w:tab w:val="left" w:pos="6653"/>
        </w:tabs>
        <w:suppressAutoHyphens/>
        <w:rPr>
          <w:bCs/>
          <w:spacing w:val="-3"/>
          <w:lang w:val="sl-SI"/>
        </w:rPr>
      </w:pPr>
    </w:p>
    <w:p w14:paraId="50321056" w14:textId="11963184" w:rsidR="00310810" w:rsidRPr="00275FBD" w:rsidRDefault="00BB263E" w:rsidP="00310810">
      <w:pPr>
        <w:tabs>
          <w:tab w:val="left" w:pos="566"/>
          <w:tab w:val="left" w:pos="766"/>
          <w:tab w:val="left" w:pos="1006"/>
          <w:tab w:val="left" w:pos="1246"/>
          <w:tab w:val="left" w:pos="1486"/>
          <w:tab w:val="left" w:pos="1726"/>
          <w:tab w:val="left" w:pos="1966"/>
          <w:tab w:val="left" w:pos="2850"/>
          <w:tab w:val="left" w:pos="3326"/>
          <w:tab w:val="left" w:pos="3802"/>
          <w:tab w:val="left" w:pos="4277"/>
          <w:tab w:val="left" w:pos="4752"/>
          <w:tab w:val="left" w:pos="5227"/>
          <w:tab w:val="left" w:pos="5702"/>
          <w:tab w:val="left" w:pos="6178"/>
          <w:tab w:val="left" w:pos="6653"/>
        </w:tabs>
        <w:suppressAutoHyphens/>
        <w:rPr>
          <w:b/>
          <w:spacing w:val="-3"/>
          <w:lang w:val="sl-SI"/>
        </w:rPr>
      </w:pPr>
      <w:r w:rsidRPr="00275FBD">
        <w:rPr>
          <w:b/>
          <w:spacing w:val="-3"/>
          <w:lang w:val="sl-SI"/>
        </w:rPr>
        <w:t>ODOBRILI</w:t>
      </w:r>
      <w:r w:rsidR="00310810" w:rsidRPr="00275FBD">
        <w:rPr>
          <w:b/>
          <w:spacing w:val="-3"/>
          <w:lang w:val="sl-SI"/>
        </w:rPr>
        <w:t>:</w:t>
      </w:r>
    </w:p>
    <w:p w14:paraId="2BA99028" w14:textId="21F973EF" w:rsidR="00310810" w:rsidRPr="00275FBD" w:rsidRDefault="00E31599" w:rsidP="00310810">
      <w:pPr>
        <w:tabs>
          <w:tab w:val="right" w:pos="8647"/>
        </w:tabs>
        <w:suppressAutoHyphens/>
        <w:spacing w:before="360" w:after="40"/>
        <w:ind w:right="119"/>
        <w:rPr>
          <w:spacing w:val="-3"/>
          <w:lang w:val="sl-SI"/>
        </w:rPr>
      </w:pPr>
      <w:r w:rsidRPr="00275FBD">
        <w:rPr>
          <w:spacing w:val="-3"/>
          <w:u w:val="single"/>
          <w:lang w:val="sl-SI"/>
        </w:rPr>
        <w:t xml:space="preserve">Aleksandra </w:t>
      </w:r>
      <w:proofErr w:type="spellStart"/>
      <w:r w:rsidRPr="00275FBD">
        <w:rPr>
          <w:spacing w:val="-3"/>
          <w:u w:val="single"/>
          <w:lang w:val="sl-SI"/>
        </w:rPr>
        <w:t>Antolovič</w:t>
      </w:r>
      <w:proofErr w:type="spellEnd"/>
      <w:r w:rsidRPr="00275FBD">
        <w:rPr>
          <w:spacing w:val="-3"/>
          <w:u w:val="single"/>
          <w:lang w:val="sl-SI"/>
        </w:rPr>
        <w:t xml:space="preserve">                                                     </w:t>
      </w:r>
      <w:r w:rsidR="00310810" w:rsidRPr="00275FBD">
        <w:rPr>
          <w:spacing w:val="-3"/>
          <w:lang w:val="sl-SI"/>
        </w:rPr>
        <w:t>___</w:t>
      </w:r>
      <w:r w:rsidR="00310810" w:rsidRPr="00275FBD">
        <w:rPr>
          <w:spacing w:val="-3"/>
          <w:lang w:val="sl-SI"/>
        </w:rPr>
        <w:tab/>
      </w:r>
      <w:r w:rsidR="00326AA3" w:rsidRPr="00275FBD">
        <w:rPr>
          <w:spacing w:val="-3"/>
          <w:lang w:val="sl-SI"/>
        </w:rPr>
        <w:t>Datum</w:t>
      </w:r>
      <w:r w:rsidR="00310810" w:rsidRPr="00275FBD">
        <w:rPr>
          <w:spacing w:val="-3"/>
          <w:lang w:val="sl-SI"/>
        </w:rPr>
        <w:t>: __/___/___</w:t>
      </w:r>
    </w:p>
    <w:p w14:paraId="230C0B00" w14:textId="3C61894B" w:rsidR="00310810" w:rsidRPr="00275FBD" w:rsidRDefault="00310810" w:rsidP="00310810">
      <w:pPr>
        <w:tabs>
          <w:tab w:val="left" w:pos="566"/>
          <w:tab w:val="left" w:pos="766"/>
          <w:tab w:val="left" w:pos="1006"/>
          <w:tab w:val="left" w:pos="1246"/>
          <w:tab w:val="left" w:pos="1486"/>
          <w:tab w:val="left" w:pos="1726"/>
          <w:tab w:val="left" w:pos="1966"/>
          <w:tab w:val="left" w:pos="2850"/>
          <w:tab w:val="left" w:pos="3326"/>
          <w:tab w:val="left" w:pos="3802"/>
          <w:tab w:val="left" w:pos="4277"/>
          <w:tab w:val="left" w:pos="4752"/>
          <w:tab w:val="left" w:pos="5227"/>
          <w:tab w:val="left" w:pos="5702"/>
          <w:tab w:val="left" w:pos="6178"/>
          <w:tab w:val="left" w:pos="6653"/>
        </w:tabs>
        <w:suppressAutoHyphens/>
        <w:spacing w:before="40" w:after="40"/>
        <w:rPr>
          <w:spacing w:val="-3"/>
          <w:lang w:val="sl-SI"/>
        </w:rPr>
      </w:pPr>
      <w:r w:rsidRPr="00275FBD">
        <w:rPr>
          <w:spacing w:val="-3"/>
          <w:lang w:val="sl-SI"/>
        </w:rPr>
        <w:t>NEK</w:t>
      </w:r>
      <w:r w:rsidR="00A365B4" w:rsidRPr="00275FBD">
        <w:rPr>
          <w:spacing w:val="-3"/>
          <w:lang w:val="sl-SI"/>
        </w:rPr>
        <w:t>, vodja</w:t>
      </w:r>
      <w:r w:rsidRPr="00275FBD">
        <w:rPr>
          <w:spacing w:val="-3"/>
          <w:lang w:val="sl-SI"/>
        </w:rPr>
        <w:t xml:space="preserve"> </w:t>
      </w:r>
      <w:r w:rsidR="00A365B4" w:rsidRPr="00275FBD">
        <w:rPr>
          <w:spacing w:val="-3"/>
          <w:lang w:val="sl-SI"/>
        </w:rPr>
        <w:t>ING</w:t>
      </w:r>
      <w:r w:rsidRPr="00275FBD">
        <w:rPr>
          <w:spacing w:val="-3"/>
          <w:lang w:val="sl-SI"/>
        </w:rPr>
        <w:t xml:space="preserve"> </w:t>
      </w:r>
      <w:r w:rsidR="00A365B4" w:rsidRPr="00275FBD">
        <w:rPr>
          <w:spacing w:val="-3"/>
          <w:lang w:val="sl-SI"/>
        </w:rPr>
        <w:t>DOV</w:t>
      </w:r>
      <w:r w:rsidRPr="00275FBD">
        <w:rPr>
          <w:spacing w:val="-3"/>
          <w:lang w:val="sl-SI"/>
        </w:rPr>
        <w:t xml:space="preserve"> </w:t>
      </w:r>
    </w:p>
    <w:p w14:paraId="200EC8E2" w14:textId="2F9CA102" w:rsidR="00310810" w:rsidRPr="00275FBD" w:rsidRDefault="00310810" w:rsidP="00310810">
      <w:pPr>
        <w:tabs>
          <w:tab w:val="right" w:pos="8647"/>
        </w:tabs>
        <w:suppressAutoHyphens/>
        <w:spacing w:before="360" w:after="40"/>
        <w:ind w:right="119"/>
        <w:rPr>
          <w:spacing w:val="-3"/>
          <w:lang w:val="sl-SI"/>
        </w:rPr>
      </w:pPr>
      <w:r w:rsidRPr="00275FBD">
        <w:rPr>
          <w:spacing w:val="-3"/>
          <w:u w:val="single"/>
          <w:lang w:val="sl-SI"/>
        </w:rPr>
        <w:t>Božidar Krajnc</w:t>
      </w:r>
      <w:r w:rsidRPr="00275FBD">
        <w:rPr>
          <w:spacing w:val="-3"/>
          <w:lang w:val="sl-SI"/>
        </w:rPr>
        <w:t>____________________________________</w:t>
      </w:r>
      <w:r w:rsidR="008E3721" w:rsidRPr="00275FBD">
        <w:rPr>
          <w:spacing w:val="-3"/>
          <w:u w:val="single"/>
          <w:lang w:val="sl-SI"/>
        </w:rPr>
        <w:t xml:space="preserve"> </w:t>
      </w:r>
      <w:r w:rsidRPr="00275FBD">
        <w:rPr>
          <w:spacing w:val="-3"/>
          <w:lang w:val="sl-SI"/>
        </w:rPr>
        <w:tab/>
      </w:r>
      <w:r w:rsidR="00326AA3" w:rsidRPr="00275FBD">
        <w:rPr>
          <w:spacing w:val="-3"/>
          <w:lang w:val="sl-SI"/>
        </w:rPr>
        <w:t>Datum</w:t>
      </w:r>
      <w:r w:rsidRPr="00275FBD">
        <w:rPr>
          <w:spacing w:val="-3"/>
          <w:lang w:val="sl-SI"/>
        </w:rPr>
        <w:t>: __/___/___</w:t>
      </w:r>
    </w:p>
    <w:p w14:paraId="723D3D52" w14:textId="5E4DEBC9" w:rsidR="00BB3D60" w:rsidRPr="00275FBD" w:rsidRDefault="00310810" w:rsidP="00310810">
      <w:pPr>
        <w:tabs>
          <w:tab w:val="left" w:pos="566"/>
          <w:tab w:val="left" w:pos="766"/>
          <w:tab w:val="left" w:pos="1006"/>
          <w:tab w:val="left" w:pos="1246"/>
          <w:tab w:val="left" w:pos="1486"/>
          <w:tab w:val="left" w:pos="1726"/>
          <w:tab w:val="left" w:pos="1966"/>
          <w:tab w:val="left" w:pos="2850"/>
          <w:tab w:val="left" w:pos="3326"/>
          <w:tab w:val="left" w:pos="3802"/>
          <w:tab w:val="left" w:pos="4277"/>
          <w:tab w:val="left" w:pos="4752"/>
          <w:tab w:val="left" w:pos="5227"/>
          <w:tab w:val="left" w:pos="5702"/>
          <w:tab w:val="left" w:pos="6178"/>
          <w:tab w:val="left" w:pos="6653"/>
        </w:tabs>
        <w:suppressAutoHyphens/>
        <w:spacing w:before="40" w:after="40"/>
        <w:rPr>
          <w:sz w:val="16"/>
          <w:szCs w:val="16"/>
          <w:lang w:val="sl-SI"/>
        </w:rPr>
      </w:pPr>
      <w:r w:rsidRPr="00275FBD">
        <w:rPr>
          <w:spacing w:val="-3"/>
          <w:lang w:val="sl-SI"/>
        </w:rPr>
        <w:t>NEK</w:t>
      </w:r>
      <w:r w:rsidR="00A365B4" w:rsidRPr="00275FBD">
        <w:rPr>
          <w:spacing w:val="-3"/>
          <w:lang w:val="sl-SI"/>
        </w:rPr>
        <w:t>,</w:t>
      </w:r>
      <w:r w:rsidRPr="00275FBD">
        <w:rPr>
          <w:spacing w:val="-3"/>
          <w:lang w:val="sl-SI"/>
        </w:rPr>
        <w:t xml:space="preserve"> </w:t>
      </w:r>
      <w:r w:rsidR="00A365B4" w:rsidRPr="00275FBD">
        <w:rPr>
          <w:spacing w:val="-3"/>
          <w:lang w:val="sl-SI"/>
        </w:rPr>
        <w:t>d</w:t>
      </w:r>
      <w:r w:rsidRPr="00275FBD">
        <w:rPr>
          <w:spacing w:val="-3"/>
          <w:lang w:val="sl-SI"/>
        </w:rPr>
        <w:t>ire</w:t>
      </w:r>
      <w:r w:rsidR="00A365B4" w:rsidRPr="00275FBD">
        <w:rPr>
          <w:spacing w:val="-3"/>
          <w:lang w:val="sl-SI"/>
        </w:rPr>
        <w:t>k</w:t>
      </w:r>
      <w:r w:rsidRPr="00275FBD">
        <w:rPr>
          <w:spacing w:val="-3"/>
          <w:lang w:val="sl-SI"/>
        </w:rPr>
        <w:t>tor</w:t>
      </w:r>
      <w:r w:rsidR="00A365B4" w:rsidRPr="00275FBD">
        <w:rPr>
          <w:spacing w:val="-3"/>
          <w:lang w:val="sl-SI"/>
        </w:rPr>
        <w:t xml:space="preserve"> ING</w:t>
      </w:r>
    </w:p>
    <w:p w14:paraId="32666DF9" w14:textId="77777777" w:rsidR="00BF4752" w:rsidRPr="00275FBD" w:rsidRDefault="00BF4752" w:rsidP="00BF4752">
      <w:pPr>
        <w:pStyle w:val="ENCOtitleblackCharChar"/>
        <w:spacing w:before="120" w:after="120"/>
        <w:rPr>
          <w:sz w:val="20"/>
          <w:szCs w:val="20"/>
          <w:lang w:val="sl-SI"/>
        </w:rPr>
        <w:sectPr w:rsidR="00BF4752" w:rsidRPr="00275FBD" w:rsidSect="005F6909">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8" w:footer="708" w:gutter="0"/>
          <w:pgNumType w:fmt="lowerRoman" w:start="1"/>
          <w:cols w:space="708"/>
          <w:titlePg/>
          <w:docGrid w:linePitch="272"/>
        </w:sectPr>
      </w:pPr>
    </w:p>
    <w:p w14:paraId="1E95B49D" w14:textId="77777777" w:rsidR="0033223E" w:rsidRPr="00275FBD" w:rsidRDefault="0033223E" w:rsidP="0033223E">
      <w:pPr>
        <w:pStyle w:val="ENCOtitleblackCharChar"/>
        <w:rPr>
          <w:sz w:val="16"/>
          <w:szCs w:val="16"/>
          <w:lang w:val="sl-SI"/>
        </w:rPr>
      </w:pPr>
    </w:p>
    <w:tbl>
      <w:tblPr>
        <w:tblW w:w="944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34"/>
        <w:gridCol w:w="7235"/>
        <w:gridCol w:w="1080"/>
      </w:tblGrid>
      <w:tr w:rsidR="00C85A17" w:rsidRPr="00C656D7" w14:paraId="2E64ECFA" w14:textId="77777777" w:rsidTr="004E5F18">
        <w:trPr>
          <w:cantSplit/>
          <w:trHeight w:val="750"/>
          <w:jc w:val="center"/>
        </w:trPr>
        <w:tc>
          <w:tcPr>
            <w:tcW w:w="9449" w:type="dxa"/>
            <w:gridSpan w:val="3"/>
            <w:tcBorders>
              <w:top w:val="double" w:sz="6" w:space="0" w:color="auto"/>
              <w:bottom w:val="double" w:sz="6" w:space="0" w:color="auto"/>
            </w:tcBorders>
          </w:tcPr>
          <w:p w14:paraId="703EA5A0" w14:textId="26524F91" w:rsidR="00C85A17" w:rsidRPr="00275FBD" w:rsidRDefault="00860B26" w:rsidP="00A53E36">
            <w:pPr>
              <w:rPr>
                <w:lang w:val="sl-SI"/>
              </w:rPr>
            </w:pPr>
            <w:r w:rsidRPr="00275FBD">
              <w:rPr>
                <w:lang w:val="sl-SI"/>
              </w:rPr>
              <w:t>Š</w:t>
            </w:r>
            <w:r w:rsidR="00A365B4" w:rsidRPr="00275FBD">
              <w:rPr>
                <w:lang w:val="sl-SI"/>
              </w:rPr>
              <w:t>t</w:t>
            </w:r>
            <w:r w:rsidRPr="00275FBD">
              <w:rPr>
                <w:lang w:val="sl-SI"/>
              </w:rPr>
              <w:t>evilka dokumenta</w:t>
            </w:r>
            <w:r w:rsidR="00C85A17" w:rsidRPr="00275FBD">
              <w:rPr>
                <w:lang w:val="sl-SI"/>
              </w:rPr>
              <w:t>:</w:t>
            </w:r>
            <w:r w:rsidR="00C85A17" w:rsidRPr="00275FBD">
              <w:rPr>
                <w:b/>
                <w:lang w:val="sl-SI"/>
              </w:rPr>
              <w:t xml:space="preserve"> </w:t>
            </w:r>
            <w:r w:rsidR="00A365B4" w:rsidRPr="00275FBD">
              <w:rPr>
                <w:b/>
                <w:lang w:val="sl-SI"/>
              </w:rPr>
              <w:t>PSR3-NEK-10.0</w:t>
            </w:r>
            <w:r w:rsidR="00C85A17" w:rsidRPr="00275FBD">
              <w:rPr>
                <w:b/>
                <w:lang w:val="sl-SI"/>
              </w:rPr>
              <w:t>, Rev:</w:t>
            </w:r>
            <w:r w:rsidR="00A53E36" w:rsidRPr="00275FBD">
              <w:rPr>
                <w:b/>
                <w:lang w:val="sl-SI"/>
              </w:rPr>
              <w:t xml:space="preserve"> </w:t>
            </w:r>
            <w:r w:rsidR="00287BED">
              <w:rPr>
                <w:b/>
                <w:lang w:val="sl-SI"/>
              </w:rPr>
              <w:t>1</w:t>
            </w:r>
          </w:p>
        </w:tc>
      </w:tr>
      <w:tr w:rsidR="0033223E" w:rsidRPr="00C656D7" w14:paraId="768A4F4A" w14:textId="77777777">
        <w:trPr>
          <w:jc w:val="center"/>
        </w:trPr>
        <w:tc>
          <w:tcPr>
            <w:tcW w:w="9449" w:type="dxa"/>
            <w:gridSpan w:val="3"/>
            <w:tcBorders>
              <w:top w:val="double" w:sz="6" w:space="0" w:color="auto"/>
              <w:bottom w:val="double" w:sz="6" w:space="0" w:color="auto"/>
            </w:tcBorders>
          </w:tcPr>
          <w:p w14:paraId="70E4046A" w14:textId="1CE489D0" w:rsidR="0033223E" w:rsidRPr="00275FBD" w:rsidRDefault="00A365B4" w:rsidP="00E31599">
            <w:pPr>
              <w:tabs>
                <w:tab w:val="left" w:pos="1216"/>
              </w:tabs>
              <w:ind w:left="791" w:hanging="791"/>
              <w:rPr>
                <w:lang w:val="sl-SI"/>
              </w:rPr>
            </w:pPr>
            <w:r w:rsidRPr="00275FBD">
              <w:rPr>
                <w:lang w:val="sl-SI"/>
              </w:rPr>
              <w:t>NASLOV</w:t>
            </w:r>
            <w:r w:rsidR="00C85A17" w:rsidRPr="00275FBD">
              <w:rPr>
                <w:lang w:val="sl-SI"/>
              </w:rPr>
              <w:t xml:space="preserve">: </w:t>
            </w:r>
            <w:r w:rsidRPr="00275FBD">
              <w:rPr>
                <w:lang w:val="sl-SI"/>
              </w:rPr>
              <w:t xml:space="preserve">Povzetek zbirnega poročila o tretjem občasnem varnostnem pregledu </w:t>
            </w:r>
            <w:r w:rsidR="00F215AD">
              <w:rPr>
                <w:lang w:val="sl-SI"/>
              </w:rPr>
              <w:t xml:space="preserve">s celovito </w:t>
            </w:r>
            <w:r w:rsidRPr="00275FBD">
              <w:rPr>
                <w:lang w:val="sl-SI"/>
              </w:rPr>
              <w:t>oceno varnosti NEK</w:t>
            </w:r>
          </w:p>
        </w:tc>
      </w:tr>
      <w:tr w:rsidR="00FB51B8" w:rsidRPr="00275FBD" w14:paraId="2FFB73A5" w14:textId="77777777">
        <w:trPr>
          <w:jc w:val="center"/>
        </w:trPr>
        <w:tc>
          <w:tcPr>
            <w:tcW w:w="1134" w:type="dxa"/>
            <w:tcBorders>
              <w:top w:val="double" w:sz="6" w:space="0" w:color="auto"/>
              <w:bottom w:val="double" w:sz="6" w:space="0" w:color="auto"/>
              <w:right w:val="double" w:sz="6" w:space="0" w:color="auto"/>
            </w:tcBorders>
          </w:tcPr>
          <w:p w14:paraId="3310C298" w14:textId="77777777" w:rsidR="00FB51B8" w:rsidRPr="00275FBD" w:rsidRDefault="00FB51B8" w:rsidP="00300394">
            <w:pPr>
              <w:rPr>
                <w:szCs w:val="20"/>
                <w:lang w:val="sl-SI"/>
              </w:rPr>
            </w:pPr>
            <w:r w:rsidRPr="00275FBD">
              <w:rPr>
                <w:szCs w:val="20"/>
                <w:lang w:val="sl-SI"/>
              </w:rPr>
              <w:t>Rev.</w:t>
            </w:r>
          </w:p>
        </w:tc>
        <w:tc>
          <w:tcPr>
            <w:tcW w:w="7235" w:type="dxa"/>
            <w:tcBorders>
              <w:top w:val="double" w:sz="6" w:space="0" w:color="auto"/>
              <w:left w:val="double" w:sz="6" w:space="0" w:color="auto"/>
              <w:bottom w:val="double" w:sz="6" w:space="0" w:color="auto"/>
              <w:right w:val="double" w:sz="6" w:space="0" w:color="auto"/>
            </w:tcBorders>
          </w:tcPr>
          <w:p w14:paraId="25060CAC" w14:textId="19F21755" w:rsidR="00FB51B8" w:rsidRPr="00275FBD" w:rsidRDefault="00A365B4" w:rsidP="00300394">
            <w:pPr>
              <w:rPr>
                <w:szCs w:val="20"/>
                <w:lang w:val="sl-SI"/>
              </w:rPr>
            </w:pPr>
            <w:r w:rsidRPr="00275FBD">
              <w:rPr>
                <w:szCs w:val="20"/>
                <w:lang w:val="sl-SI"/>
              </w:rPr>
              <w:t>Seznam revizij</w:t>
            </w:r>
          </w:p>
        </w:tc>
        <w:tc>
          <w:tcPr>
            <w:tcW w:w="1080" w:type="dxa"/>
            <w:tcBorders>
              <w:top w:val="double" w:sz="6" w:space="0" w:color="auto"/>
              <w:left w:val="double" w:sz="6" w:space="0" w:color="auto"/>
              <w:bottom w:val="double" w:sz="6" w:space="0" w:color="auto"/>
            </w:tcBorders>
          </w:tcPr>
          <w:p w14:paraId="7420F8F3" w14:textId="558DD1D5" w:rsidR="00FB51B8" w:rsidRPr="00275FBD" w:rsidRDefault="00A365B4" w:rsidP="00300394">
            <w:pPr>
              <w:rPr>
                <w:szCs w:val="20"/>
                <w:lang w:val="sl-SI"/>
              </w:rPr>
            </w:pPr>
            <w:r w:rsidRPr="00275FBD">
              <w:rPr>
                <w:szCs w:val="20"/>
                <w:lang w:val="sl-SI"/>
              </w:rPr>
              <w:t>Datum</w:t>
            </w:r>
          </w:p>
        </w:tc>
      </w:tr>
      <w:tr w:rsidR="00FB51B8" w:rsidRPr="00275FBD" w14:paraId="75EF0F41" w14:textId="77777777">
        <w:trPr>
          <w:trHeight w:val="9967"/>
          <w:jc w:val="center"/>
        </w:trPr>
        <w:tc>
          <w:tcPr>
            <w:tcW w:w="1134" w:type="dxa"/>
            <w:tcBorders>
              <w:top w:val="nil"/>
            </w:tcBorders>
          </w:tcPr>
          <w:p w14:paraId="5C905409" w14:textId="38749EAD" w:rsidR="00FB51B8" w:rsidRPr="00275FBD" w:rsidRDefault="00287BED" w:rsidP="00300394">
            <w:pPr>
              <w:rPr>
                <w:szCs w:val="20"/>
                <w:lang w:val="sl-SI"/>
              </w:rPr>
            </w:pPr>
            <w:r>
              <w:rPr>
                <w:szCs w:val="20"/>
                <w:lang w:val="sl-SI"/>
              </w:rPr>
              <w:t>1</w:t>
            </w:r>
          </w:p>
        </w:tc>
        <w:tc>
          <w:tcPr>
            <w:tcW w:w="7235" w:type="dxa"/>
            <w:tcBorders>
              <w:top w:val="nil"/>
            </w:tcBorders>
          </w:tcPr>
          <w:p w14:paraId="5369AB44" w14:textId="77777777" w:rsidR="00BA25CD" w:rsidRDefault="00BA25CD" w:rsidP="00300394">
            <w:pPr>
              <w:rPr>
                <w:szCs w:val="20"/>
                <w:lang w:val="sl-SI"/>
              </w:rPr>
            </w:pPr>
            <w:r>
              <w:rPr>
                <w:szCs w:val="20"/>
                <w:lang w:val="sl-SI"/>
              </w:rPr>
              <w:t xml:space="preserve">Poročilo je usklajeno z URSJV komentarji. </w:t>
            </w:r>
          </w:p>
          <w:p w14:paraId="61A641D7" w14:textId="77777777" w:rsidR="00BA25CD" w:rsidRDefault="00BA25CD" w:rsidP="00300394">
            <w:pPr>
              <w:rPr>
                <w:szCs w:val="20"/>
                <w:lang w:val="sl-SI"/>
              </w:rPr>
            </w:pPr>
            <w:r>
              <w:rPr>
                <w:szCs w:val="20"/>
                <w:lang w:val="sl-SI"/>
              </w:rPr>
              <w:t>Izrazoslovje je poenoteno.</w:t>
            </w:r>
          </w:p>
          <w:p w14:paraId="27F4C7F8" w14:textId="636D2DED" w:rsidR="00FB51B8" w:rsidRPr="00275FBD" w:rsidRDefault="00BA25CD" w:rsidP="00300394">
            <w:pPr>
              <w:rPr>
                <w:szCs w:val="20"/>
                <w:lang w:val="sl-SI"/>
              </w:rPr>
            </w:pPr>
            <w:r>
              <w:rPr>
                <w:szCs w:val="20"/>
                <w:lang w:val="sl-SI"/>
              </w:rPr>
              <w:t>P</w:t>
            </w:r>
            <w:r w:rsidR="00287BED">
              <w:rPr>
                <w:szCs w:val="20"/>
                <w:lang w:val="sl-SI"/>
              </w:rPr>
              <w:t xml:space="preserve">opravljene </w:t>
            </w:r>
            <w:r>
              <w:rPr>
                <w:szCs w:val="20"/>
                <w:lang w:val="sl-SI"/>
              </w:rPr>
              <w:t xml:space="preserve">so </w:t>
            </w:r>
            <w:r w:rsidR="00287BED">
              <w:rPr>
                <w:szCs w:val="20"/>
                <w:lang w:val="sl-SI"/>
              </w:rPr>
              <w:t>tipkarske in slovnične napake.</w:t>
            </w:r>
          </w:p>
        </w:tc>
        <w:tc>
          <w:tcPr>
            <w:tcW w:w="1080" w:type="dxa"/>
            <w:tcBorders>
              <w:top w:val="nil"/>
            </w:tcBorders>
          </w:tcPr>
          <w:p w14:paraId="74A841BE" w14:textId="77777777" w:rsidR="00FB51B8" w:rsidRPr="00275FBD" w:rsidRDefault="00FB51B8" w:rsidP="00300394">
            <w:pPr>
              <w:rPr>
                <w:szCs w:val="20"/>
                <w:lang w:val="sl-SI"/>
              </w:rPr>
            </w:pPr>
          </w:p>
        </w:tc>
      </w:tr>
    </w:tbl>
    <w:p w14:paraId="6F292CEB" w14:textId="77777777" w:rsidR="00CD4C16" w:rsidRPr="00275FBD" w:rsidRDefault="00CD4C16" w:rsidP="00E26A9A">
      <w:pPr>
        <w:pStyle w:val="ENCOstandardEN"/>
        <w:rPr>
          <w:sz w:val="22"/>
          <w:lang w:val="sl-SI"/>
        </w:rPr>
      </w:pPr>
    </w:p>
    <w:p w14:paraId="19AD1A66" w14:textId="77777777" w:rsidR="005C6834" w:rsidRPr="00275FBD" w:rsidRDefault="005C6834" w:rsidP="00EB4666">
      <w:pPr>
        <w:pStyle w:val="ENCOstandardEN"/>
        <w:rPr>
          <w:lang w:val="sl-SI"/>
        </w:rPr>
      </w:pPr>
      <w:r w:rsidRPr="00275FBD">
        <w:rPr>
          <w:lang w:val="sl-SI"/>
        </w:rPr>
        <w:br w:type="page"/>
      </w:r>
    </w:p>
    <w:tbl>
      <w:tblPr>
        <w:tblW w:w="9071" w:type="dxa"/>
        <w:tblInd w:w="120" w:type="dxa"/>
        <w:tblLayout w:type="fixed"/>
        <w:tblCellMar>
          <w:left w:w="120" w:type="dxa"/>
          <w:right w:w="120" w:type="dxa"/>
        </w:tblCellMar>
        <w:tblLook w:val="0000" w:firstRow="0" w:lastRow="0" w:firstColumn="0" w:lastColumn="0" w:noHBand="0" w:noVBand="0"/>
      </w:tblPr>
      <w:tblGrid>
        <w:gridCol w:w="1675"/>
        <w:gridCol w:w="3854"/>
        <w:gridCol w:w="1431"/>
        <w:gridCol w:w="553"/>
        <w:gridCol w:w="1558"/>
      </w:tblGrid>
      <w:tr w:rsidR="005C6834" w:rsidRPr="00275FBD" w14:paraId="1A8D3302" w14:textId="77777777" w:rsidTr="00860B26">
        <w:tc>
          <w:tcPr>
            <w:tcW w:w="5529" w:type="dxa"/>
            <w:gridSpan w:val="2"/>
            <w:tcBorders>
              <w:top w:val="double" w:sz="6" w:space="0" w:color="auto"/>
              <w:left w:val="double" w:sz="6" w:space="0" w:color="auto"/>
            </w:tcBorders>
          </w:tcPr>
          <w:p w14:paraId="20DA8B9B" w14:textId="77777777" w:rsidR="005C6834" w:rsidRPr="00275FBD" w:rsidRDefault="00904B97" w:rsidP="00946BA4">
            <w:pPr>
              <w:pStyle w:val="Napis"/>
              <w:suppressAutoHyphens/>
              <w:spacing w:before="0" w:after="0"/>
              <w:ind w:left="85" w:right="-40"/>
              <w:rPr>
                <w:spacing w:val="-2"/>
                <w:lang w:val="sl-SI"/>
              </w:rPr>
            </w:pPr>
            <w:bookmarkStart w:id="0" w:name="_Toc466292393"/>
            <w:r w:rsidRPr="00275FBD">
              <w:rPr>
                <w:noProof/>
                <w:spacing w:val="-2"/>
                <w:lang w:val="sl-SI" w:eastAsia="en-GB"/>
              </w:rPr>
              <w:lastRenderedPageBreak/>
              <w:drawing>
                <wp:inline distT="0" distB="0" distL="0" distR="0" wp14:anchorId="0045A08B" wp14:editId="67769071">
                  <wp:extent cx="510540" cy="297815"/>
                  <wp:effectExtent l="0" t="0" r="3810" b="698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540" cy="297815"/>
                          </a:xfrm>
                          <a:prstGeom prst="rect">
                            <a:avLst/>
                          </a:prstGeom>
                          <a:noFill/>
                          <a:ln>
                            <a:noFill/>
                          </a:ln>
                        </pic:spPr>
                      </pic:pic>
                    </a:graphicData>
                  </a:graphic>
                </wp:inline>
              </w:drawing>
            </w:r>
            <w:bookmarkEnd w:id="0"/>
          </w:p>
        </w:tc>
        <w:tc>
          <w:tcPr>
            <w:tcW w:w="1431" w:type="dxa"/>
            <w:tcBorders>
              <w:top w:val="double" w:sz="6" w:space="0" w:color="auto"/>
              <w:left w:val="single" w:sz="6" w:space="0" w:color="auto"/>
            </w:tcBorders>
          </w:tcPr>
          <w:p w14:paraId="7B2A76E5" w14:textId="20D0CF32" w:rsidR="005C6834" w:rsidRPr="00275FBD" w:rsidRDefault="00860B26" w:rsidP="00946BA4">
            <w:pPr>
              <w:suppressAutoHyphens/>
              <w:spacing w:before="0" w:after="0" w:line="288" w:lineRule="auto"/>
              <w:rPr>
                <w:spacing w:val="-2"/>
                <w:lang w:val="sl-SI"/>
              </w:rPr>
            </w:pPr>
            <w:r w:rsidRPr="00275FBD">
              <w:rPr>
                <w:spacing w:val="-2"/>
                <w:lang w:val="sl-SI"/>
              </w:rPr>
              <w:t>Številka dokumenta</w:t>
            </w:r>
          </w:p>
        </w:tc>
        <w:tc>
          <w:tcPr>
            <w:tcW w:w="2111" w:type="dxa"/>
            <w:gridSpan w:val="2"/>
            <w:tcBorders>
              <w:top w:val="double" w:sz="6" w:space="0" w:color="auto"/>
              <w:left w:val="single" w:sz="6" w:space="0" w:color="auto"/>
              <w:right w:val="double" w:sz="6" w:space="0" w:color="auto"/>
            </w:tcBorders>
            <w:shd w:val="pct10" w:color="auto" w:fill="auto"/>
          </w:tcPr>
          <w:p w14:paraId="27203B3C" w14:textId="5FC64846" w:rsidR="005C6834" w:rsidRPr="00275FBD" w:rsidRDefault="00C85A17" w:rsidP="00A53E36">
            <w:pPr>
              <w:suppressAutoHyphens/>
              <w:spacing w:before="0" w:after="0" w:line="288" w:lineRule="auto"/>
              <w:rPr>
                <w:spacing w:val="-2"/>
                <w:lang w:val="sl-SI"/>
                <w14:shadow w14:blurRad="50800" w14:dist="38100" w14:dir="2700000" w14:sx="100000" w14:sy="100000" w14:kx="0" w14:ky="0" w14:algn="tl">
                  <w14:srgbClr w14:val="000000">
                    <w14:alpha w14:val="60000"/>
                  </w14:srgbClr>
                </w14:shadow>
              </w:rPr>
            </w:pPr>
            <w:r w:rsidRPr="00275FBD">
              <w:rPr>
                <w:spacing w:val="-2"/>
                <w:szCs w:val="20"/>
                <w:lang w:val="sl-SI"/>
              </w:rPr>
              <w:t>PSR</w:t>
            </w:r>
            <w:r w:rsidR="004C7F1A" w:rsidRPr="00275FBD">
              <w:rPr>
                <w:spacing w:val="-2"/>
                <w:szCs w:val="20"/>
                <w:lang w:val="sl-SI"/>
              </w:rPr>
              <w:t>3</w:t>
            </w:r>
            <w:r w:rsidRPr="00275FBD">
              <w:rPr>
                <w:spacing w:val="-2"/>
                <w:szCs w:val="20"/>
                <w:lang w:val="sl-SI"/>
              </w:rPr>
              <w:t>-NEK-</w:t>
            </w:r>
            <w:r w:rsidR="00A365B4" w:rsidRPr="00275FBD">
              <w:rPr>
                <w:spacing w:val="-2"/>
                <w:szCs w:val="20"/>
                <w:lang w:val="sl-SI"/>
              </w:rPr>
              <w:t>10</w:t>
            </w:r>
            <w:r w:rsidRPr="00275FBD">
              <w:rPr>
                <w:spacing w:val="-2"/>
                <w:szCs w:val="20"/>
                <w:lang w:val="sl-SI"/>
              </w:rPr>
              <w:t>.</w:t>
            </w:r>
            <w:r w:rsidR="00A365B4" w:rsidRPr="00275FBD">
              <w:rPr>
                <w:spacing w:val="-2"/>
                <w:szCs w:val="20"/>
                <w:lang w:val="sl-SI"/>
              </w:rPr>
              <w:t>0</w:t>
            </w:r>
            <w:r w:rsidR="005C6834" w:rsidRPr="00275FBD">
              <w:rPr>
                <w:spacing w:val="-2"/>
                <w:szCs w:val="20"/>
                <w:lang w:val="sl-SI"/>
              </w:rPr>
              <w:t xml:space="preserve">, Rev: </w:t>
            </w:r>
            <w:r w:rsidR="00287BED">
              <w:rPr>
                <w:spacing w:val="-2"/>
                <w:szCs w:val="20"/>
                <w:lang w:val="sl-SI"/>
              </w:rPr>
              <w:t>1</w:t>
            </w:r>
          </w:p>
        </w:tc>
      </w:tr>
      <w:tr w:rsidR="005C6834" w:rsidRPr="00C656D7" w14:paraId="365DDFA9" w14:textId="77777777" w:rsidTr="00946BA4">
        <w:tc>
          <w:tcPr>
            <w:tcW w:w="1675" w:type="dxa"/>
            <w:tcBorders>
              <w:top w:val="double" w:sz="6" w:space="0" w:color="auto"/>
              <w:left w:val="double" w:sz="6" w:space="0" w:color="auto"/>
            </w:tcBorders>
          </w:tcPr>
          <w:p w14:paraId="35EA8EC5" w14:textId="2F987F9F" w:rsidR="005C6834" w:rsidRPr="00275FBD" w:rsidRDefault="00BB263E" w:rsidP="00946BA4">
            <w:pPr>
              <w:suppressAutoHyphens/>
              <w:spacing w:before="0" w:after="0" w:line="288" w:lineRule="auto"/>
              <w:rPr>
                <w:spacing w:val="-2"/>
                <w:sz w:val="24"/>
                <w:u w:val="single"/>
                <w:lang w:val="sl-SI"/>
              </w:rPr>
            </w:pPr>
            <w:r w:rsidRPr="001848EB">
              <w:rPr>
                <w:sz w:val="24"/>
                <w:lang w:val="sl-SI"/>
              </w:rPr>
              <w:t>Naslov</w:t>
            </w:r>
          </w:p>
        </w:tc>
        <w:tc>
          <w:tcPr>
            <w:tcW w:w="7396" w:type="dxa"/>
            <w:gridSpan w:val="4"/>
            <w:tcBorders>
              <w:top w:val="double" w:sz="6" w:space="0" w:color="auto"/>
              <w:left w:val="single" w:sz="6" w:space="0" w:color="auto"/>
              <w:right w:val="double" w:sz="6" w:space="0" w:color="auto"/>
            </w:tcBorders>
            <w:shd w:val="pct10" w:color="auto" w:fill="auto"/>
          </w:tcPr>
          <w:p w14:paraId="0273FA81" w14:textId="0FBE092C" w:rsidR="005C6834" w:rsidRPr="00275FBD" w:rsidRDefault="00454A15" w:rsidP="00C85A17">
            <w:pPr>
              <w:suppressAutoHyphens/>
              <w:spacing w:before="0" w:after="0" w:line="288" w:lineRule="auto"/>
              <w:jc w:val="left"/>
              <w:rPr>
                <w:sz w:val="24"/>
                <w:lang w:val="sl-SI"/>
              </w:rPr>
            </w:pPr>
            <w:r w:rsidRPr="00454A15">
              <w:rPr>
                <w:sz w:val="24"/>
                <w:lang w:val="sl-SI"/>
              </w:rPr>
              <w:t>Povzetek zbirnega poročila o tretjem občasnem varnostnem pregledu s celovito oceno varnosti NEK</w:t>
            </w:r>
          </w:p>
        </w:tc>
      </w:tr>
      <w:tr w:rsidR="005C6834" w:rsidRPr="00275FBD" w14:paraId="0AA7B3B9" w14:textId="77777777" w:rsidTr="00860B26">
        <w:tc>
          <w:tcPr>
            <w:tcW w:w="1675" w:type="dxa"/>
            <w:tcBorders>
              <w:top w:val="double" w:sz="6" w:space="0" w:color="auto"/>
              <w:left w:val="double" w:sz="6" w:space="0" w:color="auto"/>
            </w:tcBorders>
          </w:tcPr>
          <w:p w14:paraId="4A5A2419" w14:textId="5892553F" w:rsidR="005C6834" w:rsidRPr="00275FBD" w:rsidRDefault="00A365B4" w:rsidP="00946BA4">
            <w:pPr>
              <w:suppressAutoHyphens/>
              <w:spacing w:before="0" w:after="0" w:line="288" w:lineRule="auto"/>
              <w:jc w:val="left"/>
              <w:rPr>
                <w:spacing w:val="-2"/>
                <w:szCs w:val="20"/>
                <w:lang w:val="sl-SI"/>
              </w:rPr>
            </w:pPr>
            <w:r w:rsidRPr="00275FBD">
              <w:rPr>
                <w:spacing w:val="-2"/>
                <w:szCs w:val="20"/>
                <w:lang w:val="sl-SI"/>
              </w:rPr>
              <w:t>Dodeljeni</w:t>
            </w:r>
            <w:r w:rsidR="005C6834" w:rsidRPr="00275FBD">
              <w:rPr>
                <w:spacing w:val="-2"/>
                <w:szCs w:val="20"/>
                <w:lang w:val="sl-SI"/>
              </w:rPr>
              <w:t xml:space="preserve"> </w:t>
            </w:r>
            <w:r w:rsidRPr="00275FBD">
              <w:rPr>
                <w:spacing w:val="-2"/>
                <w:szCs w:val="20"/>
                <w:lang w:val="sl-SI"/>
              </w:rPr>
              <w:t>pregledovalci</w:t>
            </w:r>
          </w:p>
        </w:tc>
        <w:tc>
          <w:tcPr>
            <w:tcW w:w="3854" w:type="dxa"/>
            <w:tcBorders>
              <w:top w:val="double" w:sz="6" w:space="0" w:color="auto"/>
              <w:left w:val="single" w:sz="6" w:space="0" w:color="auto"/>
            </w:tcBorders>
            <w:shd w:val="pct10" w:color="auto" w:fill="auto"/>
          </w:tcPr>
          <w:p w14:paraId="2FE82DFE" w14:textId="22F132E8" w:rsidR="005C6834" w:rsidRPr="00275FBD" w:rsidRDefault="00A365B4" w:rsidP="00946BA4">
            <w:pPr>
              <w:suppressAutoHyphens/>
              <w:spacing w:before="0" w:after="0" w:line="288" w:lineRule="auto"/>
              <w:rPr>
                <w:spacing w:val="-2"/>
                <w:szCs w:val="20"/>
                <w:lang w:val="sl-SI"/>
              </w:rPr>
            </w:pPr>
            <w:r w:rsidRPr="00275FBD">
              <w:rPr>
                <w:spacing w:val="-2"/>
                <w:szCs w:val="20"/>
                <w:lang w:val="sl-SI"/>
              </w:rPr>
              <w:t>Odg. inž. NEK</w:t>
            </w:r>
          </w:p>
          <w:p w14:paraId="79394881" w14:textId="77777777" w:rsidR="005C6834" w:rsidRPr="00275FBD" w:rsidRDefault="005C6834" w:rsidP="00946BA4">
            <w:pPr>
              <w:suppressAutoHyphens/>
              <w:spacing w:before="0" w:after="0" w:line="288" w:lineRule="auto"/>
              <w:rPr>
                <w:spacing w:val="-2"/>
                <w:szCs w:val="20"/>
                <w:lang w:val="sl-SI"/>
              </w:rPr>
            </w:pPr>
          </w:p>
        </w:tc>
        <w:tc>
          <w:tcPr>
            <w:tcW w:w="1984" w:type="dxa"/>
            <w:gridSpan w:val="2"/>
            <w:tcBorders>
              <w:top w:val="double" w:sz="6" w:space="0" w:color="auto"/>
              <w:left w:val="single" w:sz="6" w:space="0" w:color="auto"/>
            </w:tcBorders>
          </w:tcPr>
          <w:p w14:paraId="259F77E6" w14:textId="7C082584" w:rsidR="005C6834" w:rsidRPr="00275FBD" w:rsidRDefault="00A365B4" w:rsidP="00946BA4">
            <w:pPr>
              <w:suppressAutoHyphens/>
              <w:spacing w:before="0" w:after="0" w:line="288" w:lineRule="auto"/>
              <w:rPr>
                <w:spacing w:val="-2"/>
                <w:szCs w:val="20"/>
                <w:lang w:val="sl-SI"/>
              </w:rPr>
            </w:pPr>
            <w:r w:rsidRPr="00275FBD">
              <w:rPr>
                <w:spacing w:val="-2"/>
                <w:szCs w:val="20"/>
                <w:lang w:val="sl-SI"/>
              </w:rPr>
              <w:t>Dodelil/a</w:t>
            </w:r>
            <w:r w:rsidR="005C6834" w:rsidRPr="00275FBD">
              <w:rPr>
                <w:spacing w:val="-2"/>
                <w:szCs w:val="20"/>
                <w:lang w:val="sl-SI"/>
              </w:rPr>
              <w:t>:</w:t>
            </w:r>
          </w:p>
          <w:p w14:paraId="5607754D" w14:textId="77777777" w:rsidR="005C6834" w:rsidRPr="00275FBD" w:rsidRDefault="005C6834" w:rsidP="00A365B4">
            <w:pPr>
              <w:suppressAutoHyphens/>
              <w:spacing w:before="0" w:after="0" w:line="288" w:lineRule="auto"/>
              <w:jc w:val="center"/>
              <w:rPr>
                <w:spacing w:val="-2"/>
                <w:szCs w:val="20"/>
                <w:lang w:val="sl-SI"/>
              </w:rPr>
            </w:pPr>
          </w:p>
          <w:p w14:paraId="0B1D8183" w14:textId="7C0B3BF1" w:rsidR="008E3721" w:rsidRPr="00275FBD" w:rsidRDefault="008E3721" w:rsidP="00A365B4">
            <w:pPr>
              <w:suppressAutoHyphens/>
              <w:spacing w:before="0" w:after="0" w:line="288" w:lineRule="auto"/>
              <w:jc w:val="center"/>
              <w:rPr>
                <w:spacing w:val="-2"/>
                <w:szCs w:val="20"/>
                <w:lang w:val="sl-SI"/>
              </w:rPr>
            </w:pPr>
          </w:p>
        </w:tc>
        <w:tc>
          <w:tcPr>
            <w:tcW w:w="1558" w:type="dxa"/>
            <w:tcBorders>
              <w:top w:val="double" w:sz="6" w:space="0" w:color="auto"/>
              <w:left w:val="single" w:sz="6" w:space="0" w:color="auto"/>
              <w:right w:val="double" w:sz="6" w:space="0" w:color="auto"/>
            </w:tcBorders>
            <w:shd w:val="pct10" w:color="auto" w:fill="auto"/>
          </w:tcPr>
          <w:p w14:paraId="05FE2AE0" w14:textId="77777777" w:rsidR="005C6834" w:rsidRPr="00275FBD" w:rsidRDefault="005C6834" w:rsidP="00946BA4">
            <w:pPr>
              <w:suppressAutoHyphens/>
              <w:spacing w:before="0" w:after="0" w:line="288" w:lineRule="auto"/>
              <w:ind w:right="-121"/>
              <w:jc w:val="left"/>
              <w:rPr>
                <w:spacing w:val="-2"/>
                <w:szCs w:val="20"/>
                <w:lang w:val="sl-SI"/>
              </w:rPr>
            </w:pPr>
          </w:p>
          <w:p w14:paraId="02BF9444" w14:textId="77777777" w:rsidR="005C6834" w:rsidRPr="00275FBD" w:rsidRDefault="00C85A17" w:rsidP="00C85A17">
            <w:pPr>
              <w:suppressAutoHyphens/>
              <w:spacing w:before="0" w:after="0" w:line="288" w:lineRule="auto"/>
              <w:ind w:right="-121"/>
              <w:jc w:val="left"/>
              <w:rPr>
                <w:spacing w:val="-2"/>
                <w:szCs w:val="20"/>
                <w:lang w:val="sl-SI"/>
              </w:rPr>
            </w:pPr>
            <w:r w:rsidRPr="00275FBD">
              <w:rPr>
                <w:spacing w:val="-2"/>
                <w:szCs w:val="20"/>
                <w:lang w:val="sl-SI"/>
              </w:rPr>
              <w:t xml:space="preserve">A. </w:t>
            </w:r>
            <w:proofErr w:type="spellStart"/>
            <w:r w:rsidRPr="00275FBD">
              <w:rPr>
                <w:spacing w:val="-2"/>
                <w:szCs w:val="20"/>
                <w:lang w:val="sl-SI"/>
              </w:rPr>
              <w:t>Antolovič</w:t>
            </w:r>
            <w:proofErr w:type="spellEnd"/>
          </w:p>
        </w:tc>
      </w:tr>
      <w:tr w:rsidR="005C6834" w:rsidRPr="00275FBD" w14:paraId="6207C852" w14:textId="77777777" w:rsidTr="00860B26">
        <w:tc>
          <w:tcPr>
            <w:tcW w:w="1675" w:type="dxa"/>
            <w:tcBorders>
              <w:top w:val="double" w:sz="6" w:space="0" w:color="auto"/>
              <w:left w:val="double" w:sz="6" w:space="0" w:color="auto"/>
              <w:bottom w:val="double" w:sz="6" w:space="0" w:color="auto"/>
            </w:tcBorders>
          </w:tcPr>
          <w:p w14:paraId="5EA66A78" w14:textId="0E30BAF5" w:rsidR="005C6834" w:rsidRPr="00275FBD" w:rsidRDefault="00A365B4" w:rsidP="00946BA4">
            <w:pPr>
              <w:suppressAutoHyphens/>
              <w:spacing w:before="0" w:after="0" w:line="288" w:lineRule="auto"/>
              <w:jc w:val="center"/>
              <w:rPr>
                <w:spacing w:val="-2"/>
                <w:sz w:val="16"/>
                <w:szCs w:val="16"/>
                <w:lang w:val="sl-SI"/>
              </w:rPr>
            </w:pPr>
            <w:r w:rsidRPr="00275FBD">
              <w:rPr>
                <w:spacing w:val="-2"/>
                <w:sz w:val="16"/>
                <w:szCs w:val="16"/>
                <w:lang w:val="sl-SI"/>
              </w:rPr>
              <w:t xml:space="preserve">Številka </w:t>
            </w:r>
            <w:r w:rsidR="005C6834" w:rsidRPr="00275FBD">
              <w:rPr>
                <w:spacing w:val="-2"/>
                <w:sz w:val="16"/>
                <w:szCs w:val="16"/>
                <w:lang w:val="sl-SI"/>
              </w:rPr>
              <w:t>/</w:t>
            </w:r>
            <w:r w:rsidRPr="00275FBD">
              <w:rPr>
                <w:spacing w:val="-2"/>
                <w:sz w:val="16"/>
                <w:szCs w:val="16"/>
                <w:lang w:val="sl-SI"/>
              </w:rPr>
              <w:t xml:space="preserve"> Stran</w:t>
            </w:r>
          </w:p>
        </w:tc>
        <w:tc>
          <w:tcPr>
            <w:tcW w:w="3854" w:type="dxa"/>
            <w:tcBorders>
              <w:top w:val="double" w:sz="6" w:space="0" w:color="auto"/>
              <w:left w:val="single" w:sz="6" w:space="0" w:color="auto"/>
              <w:bottom w:val="double" w:sz="6" w:space="0" w:color="auto"/>
            </w:tcBorders>
          </w:tcPr>
          <w:p w14:paraId="314F5926" w14:textId="74A1870B" w:rsidR="005C6834" w:rsidRPr="00275FBD" w:rsidRDefault="00A365B4" w:rsidP="00946BA4">
            <w:pPr>
              <w:suppressAutoHyphens/>
              <w:spacing w:before="0" w:after="0" w:line="288" w:lineRule="auto"/>
              <w:jc w:val="center"/>
              <w:rPr>
                <w:spacing w:val="-2"/>
                <w:szCs w:val="20"/>
                <w:lang w:val="sl-SI"/>
              </w:rPr>
            </w:pPr>
            <w:r w:rsidRPr="00275FBD">
              <w:rPr>
                <w:spacing w:val="-2"/>
                <w:szCs w:val="20"/>
                <w:lang w:val="sl-SI"/>
              </w:rPr>
              <w:t>Komentar</w:t>
            </w:r>
          </w:p>
        </w:tc>
        <w:tc>
          <w:tcPr>
            <w:tcW w:w="3542" w:type="dxa"/>
            <w:gridSpan w:val="3"/>
            <w:tcBorders>
              <w:top w:val="double" w:sz="6" w:space="0" w:color="auto"/>
              <w:left w:val="single" w:sz="6" w:space="0" w:color="auto"/>
              <w:bottom w:val="double" w:sz="6" w:space="0" w:color="auto"/>
              <w:right w:val="double" w:sz="6" w:space="0" w:color="auto"/>
            </w:tcBorders>
          </w:tcPr>
          <w:p w14:paraId="4C1BD002" w14:textId="41BC87E1" w:rsidR="005C6834" w:rsidRPr="00275FBD" w:rsidRDefault="00A365B4" w:rsidP="00946BA4">
            <w:pPr>
              <w:suppressAutoHyphens/>
              <w:spacing w:before="0" w:after="0" w:line="288" w:lineRule="auto"/>
              <w:jc w:val="center"/>
              <w:rPr>
                <w:spacing w:val="-2"/>
                <w:szCs w:val="20"/>
                <w:lang w:val="sl-SI"/>
              </w:rPr>
            </w:pPr>
            <w:r w:rsidRPr="00275FBD">
              <w:rPr>
                <w:spacing w:val="-2"/>
                <w:szCs w:val="20"/>
                <w:lang w:val="sl-SI"/>
              </w:rPr>
              <w:t>Odgovor</w:t>
            </w:r>
          </w:p>
        </w:tc>
      </w:tr>
      <w:tr w:rsidR="005C6834" w:rsidRPr="00275FBD" w14:paraId="77FEE7FA" w14:textId="77777777" w:rsidTr="00860B26">
        <w:tc>
          <w:tcPr>
            <w:tcW w:w="1675" w:type="dxa"/>
            <w:tcBorders>
              <w:top w:val="single" w:sz="24" w:space="0" w:color="auto"/>
              <w:left w:val="double" w:sz="6" w:space="0" w:color="auto"/>
              <w:bottom w:val="double" w:sz="6" w:space="0" w:color="auto"/>
            </w:tcBorders>
          </w:tcPr>
          <w:p w14:paraId="5F9CEBB2"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189C1488"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36CC6612"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5A749103"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44EBFD13"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2C58ABB4"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60BFDE26"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3BBA35C4"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71AD717F"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25E8186A"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53FD56F9"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38FE7EB3"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164F769E"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018639DC"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156651B7"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11599414"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349283E4"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73DAA1FF"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2585A5DE"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1338F903"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0BB5A6E2"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52CFE7D2"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0CFD3437"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p w14:paraId="68C8DC0C"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tc>
        <w:tc>
          <w:tcPr>
            <w:tcW w:w="3854" w:type="dxa"/>
            <w:tcBorders>
              <w:top w:val="single" w:sz="24" w:space="0" w:color="auto"/>
              <w:left w:val="single" w:sz="6" w:space="0" w:color="auto"/>
              <w:bottom w:val="double" w:sz="6" w:space="0" w:color="auto"/>
            </w:tcBorders>
          </w:tcPr>
          <w:p w14:paraId="7CAEAFCB" w14:textId="35E4C323" w:rsidR="005C6834" w:rsidRPr="00275FBD" w:rsidRDefault="00A365B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r w:rsidRPr="00275FBD">
              <w:rPr>
                <w:spacing w:val="-2"/>
                <w:lang w:val="sl-SI"/>
              </w:rPr>
              <w:t>Pripombe rešene</w:t>
            </w:r>
            <w:r w:rsidR="00AE3611" w:rsidRPr="00275FBD">
              <w:rPr>
                <w:spacing w:val="-2"/>
                <w:lang w:val="sl-SI"/>
              </w:rPr>
              <w:t>.</w:t>
            </w:r>
          </w:p>
          <w:p w14:paraId="549AED1D"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rPr>
                <w:spacing w:val="-2"/>
                <w:lang w:val="sl-SI"/>
              </w:rPr>
            </w:pPr>
          </w:p>
        </w:tc>
        <w:tc>
          <w:tcPr>
            <w:tcW w:w="3542" w:type="dxa"/>
            <w:gridSpan w:val="3"/>
            <w:tcBorders>
              <w:top w:val="single" w:sz="24" w:space="0" w:color="auto"/>
              <w:left w:val="single" w:sz="6" w:space="0" w:color="auto"/>
              <w:bottom w:val="double" w:sz="6" w:space="0" w:color="auto"/>
              <w:right w:val="double" w:sz="6" w:space="0" w:color="auto"/>
            </w:tcBorders>
          </w:tcPr>
          <w:p w14:paraId="568760CD"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jc w:val="center"/>
              <w:rPr>
                <w:spacing w:val="-2"/>
                <w:lang w:val="sl-SI"/>
              </w:rPr>
            </w:pPr>
          </w:p>
          <w:p w14:paraId="22998E90" w14:textId="77777777" w:rsidR="005C6834" w:rsidRPr="00275FBD" w:rsidRDefault="005C6834" w:rsidP="00946BA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before="0" w:after="0" w:line="288" w:lineRule="auto"/>
              <w:jc w:val="center"/>
              <w:rPr>
                <w:spacing w:val="-2"/>
                <w:lang w:val="sl-SI"/>
              </w:rPr>
            </w:pPr>
          </w:p>
        </w:tc>
      </w:tr>
    </w:tbl>
    <w:p w14:paraId="09164E78" w14:textId="77777777" w:rsidR="005C6834" w:rsidRPr="00275FBD" w:rsidRDefault="005C6834" w:rsidP="005C6834">
      <w:pPr>
        <w:tabs>
          <w:tab w:val="left" w:pos="-1440"/>
          <w:tab w:val="left" w:pos="-720"/>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s>
        <w:suppressAutoHyphens/>
        <w:spacing w:line="288" w:lineRule="auto"/>
        <w:rPr>
          <w:spacing w:val="-2"/>
          <w:lang w:val="sl-SI"/>
        </w:rPr>
      </w:pPr>
    </w:p>
    <w:p w14:paraId="37CD13C2" w14:textId="5F7F049F" w:rsidR="005C6834" w:rsidRPr="00275FBD" w:rsidRDefault="00A365B4" w:rsidP="005C6834">
      <w:pPr>
        <w:tabs>
          <w:tab w:val="left" w:pos="-1440"/>
          <w:tab w:val="left" w:pos="-720"/>
          <w:tab w:val="left" w:pos="2160"/>
          <w:tab w:val="left" w:pos="4500"/>
          <w:tab w:val="left" w:pos="7088"/>
        </w:tabs>
        <w:suppressAutoHyphens/>
        <w:spacing w:line="288" w:lineRule="auto"/>
        <w:rPr>
          <w:spacing w:val="-2"/>
          <w:lang w:val="sl-SI"/>
        </w:rPr>
      </w:pPr>
      <w:r w:rsidRPr="00275FBD">
        <w:rPr>
          <w:spacing w:val="-2"/>
          <w:lang w:val="sl-SI"/>
        </w:rPr>
        <w:t>Pregledali</w:t>
      </w:r>
      <w:r w:rsidR="005C6834" w:rsidRPr="00275FBD">
        <w:rPr>
          <w:spacing w:val="-2"/>
          <w:lang w:val="sl-SI"/>
        </w:rPr>
        <w:t>:</w:t>
      </w:r>
      <w:r w:rsidR="008E3721" w:rsidRPr="00275FBD">
        <w:rPr>
          <w:spacing w:val="-2"/>
          <w:lang w:val="sl-SI"/>
        </w:rPr>
        <w:t xml:space="preserve"> </w:t>
      </w:r>
      <w:r w:rsidR="005C6834" w:rsidRPr="00275FBD">
        <w:rPr>
          <w:spacing w:val="-2"/>
          <w:u w:val="single"/>
          <w:lang w:val="sl-SI"/>
        </w:rPr>
        <w:t>_</w:t>
      </w:r>
      <w:proofErr w:type="spellStart"/>
      <w:r w:rsidR="00B92D33">
        <w:rPr>
          <w:spacing w:val="-2"/>
          <w:u w:val="single"/>
          <w:lang w:val="sl-SI"/>
        </w:rPr>
        <w:t>S.Kvenderc</w:t>
      </w:r>
      <w:proofErr w:type="spellEnd"/>
      <w:r w:rsidR="00B92D33">
        <w:rPr>
          <w:spacing w:val="-2"/>
          <w:u w:val="single"/>
          <w:lang w:val="sl-SI"/>
        </w:rPr>
        <w:t xml:space="preserve">, </w:t>
      </w:r>
      <w:proofErr w:type="spellStart"/>
      <w:r w:rsidR="008E3721" w:rsidRPr="00275FBD">
        <w:rPr>
          <w:spacing w:val="-2"/>
          <w:u w:val="single"/>
          <w:lang w:val="sl-SI"/>
        </w:rPr>
        <w:t>B.</w:t>
      </w:r>
      <w:r w:rsidR="00B92D33">
        <w:rPr>
          <w:spacing w:val="-2"/>
          <w:u w:val="single"/>
          <w:lang w:val="sl-SI"/>
        </w:rPr>
        <w:t>Grobelnik</w:t>
      </w:r>
      <w:proofErr w:type="spellEnd"/>
      <w:r w:rsidR="008E3721" w:rsidRPr="00275FBD">
        <w:rPr>
          <w:spacing w:val="-2"/>
          <w:u w:val="single"/>
          <w:lang w:val="sl-SI"/>
        </w:rPr>
        <w:t xml:space="preserve">, </w:t>
      </w:r>
      <w:proofErr w:type="spellStart"/>
      <w:r w:rsidR="008E3721" w:rsidRPr="00275FBD">
        <w:rPr>
          <w:spacing w:val="-2"/>
          <w:u w:val="single"/>
          <w:lang w:val="sl-SI"/>
        </w:rPr>
        <w:t>R.Prosen</w:t>
      </w:r>
      <w:proofErr w:type="spellEnd"/>
      <w:r w:rsidR="008E3721" w:rsidRPr="00275FBD">
        <w:rPr>
          <w:spacing w:val="-2"/>
          <w:u w:val="single"/>
          <w:lang w:val="sl-SI"/>
        </w:rPr>
        <w:t xml:space="preserve"> </w:t>
      </w:r>
      <w:r w:rsidR="005C6834" w:rsidRPr="00275FBD">
        <w:rPr>
          <w:spacing w:val="-2"/>
          <w:u w:val="single"/>
          <w:lang w:val="sl-SI"/>
        </w:rPr>
        <w:t xml:space="preserve">  _______________</w:t>
      </w:r>
      <w:r w:rsidR="008E3721" w:rsidRPr="00275FBD">
        <w:rPr>
          <w:spacing w:val="-2"/>
          <w:lang w:val="sl-SI"/>
        </w:rPr>
        <w:tab/>
      </w:r>
      <w:r w:rsidR="00871DCD" w:rsidRPr="00275FBD">
        <w:rPr>
          <w:spacing w:val="-2"/>
          <w:lang w:val="sl-SI"/>
        </w:rPr>
        <w:t>Datum</w:t>
      </w:r>
      <w:r w:rsidR="005C6834" w:rsidRPr="00275FBD">
        <w:rPr>
          <w:spacing w:val="-2"/>
          <w:lang w:val="sl-SI"/>
        </w:rPr>
        <w:t xml:space="preserve"> </w:t>
      </w:r>
      <w:r w:rsidR="008E3721" w:rsidRPr="00275FBD">
        <w:rPr>
          <w:spacing w:val="-2"/>
          <w:u w:val="single"/>
          <w:lang w:val="sl-SI"/>
        </w:rPr>
        <w:t xml:space="preserve">   </w:t>
      </w:r>
      <w:r w:rsidR="005C6834" w:rsidRPr="00275FBD">
        <w:rPr>
          <w:spacing w:val="-2"/>
          <w:lang w:val="sl-SI"/>
        </w:rPr>
        <w:t>/</w:t>
      </w:r>
      <w:r w:rsidR="008E3721" w:rsidRPr="00275FBD">
        <w:rPr>
          <w:spacing w:val="-2"/>
          <w:u w:val="single"/>
          <w:lang w:val="sl-SI"/>
        </w:rPr>
        <w:t xml:space="preserve">   </w:t>
      </w:r>
      <w:r w:rsidR="005C6834" w:rsidRPr="00275FBD">
        <w:rPr>
          <w:spacing w:val="-2"/>
          <w:lang w:val="sl-SI"/>
        </w:rPr>
        <w:t>/</w:t>
      </w:r>
      <w:r w:rsidR="00C85A17" w:rsidRPr="00275FBD">
        <w:rPr>
          <w:spacing w:val="-2"/>
          <w:u w:val="single"/>
          <w:lang w:val="sl-SI"/>
        </w:rPr>
        <w:t>202</w:t>
      </w:r>
      <w:r w:rsidR="000106D6">
        <w:rPr>
          <w:spacing w:val="-2"/>
          <w:u w:val="single"/>
          <w:lang w:val="sl-SI"/>
        </w:rPr>
        <w:t>4</w:t>
      </w:r>
    </w:p>
    <w:p w14:paraId="517BBBDD" w14:textId="24D2F0B0" w:rsidR="005C6834" w:rsidRPr="00275FBD" w:rsidRDefault="005C6834" w:rsidP="005C6834">
      <w:pPr>
        <w:tabs>
          <w:tab w:val="left" w:pos="-1440"/>
          <w:tab w:val="left" w:pos="-720"/>
          <w:tab w:val="left" w:pos="2790"/>
          <w:tab w:val="left" w:pos="5040"/>
        </w:tabs>
        <w:suppressAutoHyphens/>
        <w:spacing w:line="288" w:lineRule="auto"/>
        <w:rPr>
          <w:spacing w:val="-2"/>
          <w:sz w:val="16"/>
          <w:lang w:val="sl-SI"/>
        </w:rPr>
      </w:pPr>
      <w:r w:rsidRPr="00275FBD">
        <w:rPr>
          <w:spacing w:val="-2"/>
          <w:sz w:val="16"/>
          <w:lang w:val="sl-SI"/>
        </w:rPr>
        <w:tab/>
        <w:t>(</w:t>
      </w:r>
      <w:r w:rsidR="00A365B4" w:rsidRPr="00275FBD">
        <w:rPr>
          <w:spacing w:val="-2"/>
          <w:sz w:val="16"/>
          <w:lang w:val="sl-SI"/>
        </w:rPr>
        <w:t>Ime</w:t>
      </w:r>
      <w:r w:rsidRPr="00275FBD">
        <w:rPr>
          <w:spacing w:val="-2"/>
          <w:sz w:val="16"/>
          <w:lang w:val="sl-SI"/>
        </w:rPr>
        <w:t>)</w:t>
      </w:r>
      <w:r w:rsidRPr="00275FBD">
        <w:rPr>
          <w:spacing w:val="-2"/>
          <w:sz w:val="16"/>
          <w:lang w:val="sl-SI"/>
        </w:rPr>
        <w:tab/>
        <w:t>(</w:t>
      </w:r>
      <w:r w:rsidR="00871DCD" w:rsidRPr="00275FBD">
        <w:rPr>
          <w:spacing w:val="-2"/>
          <w:sz w:val="16"/>
          <w:lang w:val="sl-SI"/>
        </w:rPr>
        <w:t>Podpis</w:t>
      </w:r>
      <w:r w:rsidRPr="00275FBD">
        <w:rPr>
          <w:spacing w:val="-2"/>
          <w:sz w:val="16"/>
          <w:lang w:val="sl-SI"/>
        </w:rPr>
        <w:t>)</w:t>
      </w:r>
    </w:p>
    <w:p w14:paraId="12E2E494" w14:textId="27F44393" w:rsidR="005C6834" w:rsidRPr="00275FBD" w:rsidRDefault="005C6834" w:rsidP="005C6834">
      <w:pPr>
        <w:tabs>
          <w:tab w:val="left" w:pos="-1440"/>
          <w:tab w:val="left" w:pos="-720"/>
          <w:tab w:val="left" w:pos="1985"/>
          <w:tab w:val="left" w:pos="3969"/>
          <w:tab w:val="left" w:pos="7088"/>
        </w:tabs>
        <w:suppressAutoHyphens/>
        <w:spacing w:line="288" w:lineRule="auto"/>
        <w:rPr>
          <w:spacing w:val="-2"/>
          <w:lang w:val="sl-SI"/>
        </w:rPr>
      </w:pPr>
    </w:p>
    <w:p w14:paraId="2567CCB2" w14:textId="5A9F975E" w:rsidR="005C6834" w:rsidRPr="00275FBD" w:rsidRDefault="00871DCD" w:rsidP="005C6834">
      <w:pPr>
        <w:tabs>
          <w:tab w:val="left" w:pos="-1440"/>
          <w:tab w:val="left" w:pos="-720"/>
          <w:tab w:val="left" w:pos="2160"/>
          <w:tab w:val="left" w:pos="4500"/>
          <w:tab w:val="left" w:pos="7088"/>
        </w:tabs>
        <w:suppressAutoHyphens/>
        <w:spacing w:line="288" w:lineRule="auto"/>
        <w:rPr>
          <w:spacing w:val="-2"/>
          <w:lang w:val="sl-SI"/>
        </w:rPr>
      </w:pPr>
      <w:r w:rsidRPr="00275FBD">
        <w:rPr>
          <w:spacing w:val="-2"/>
          <w:lang w:val="sl-SI"/>
        </w:rPr>
        <w:t>Odgovor pripravil</w:t>
      </w:r>
      <w:r w:rsidR="00883EFD">
        <w:rPr>
          <w:spacing w:val="-2"/>
          <w:lang w:val="sl-SI"/>
        </w:rPr>
        <w:t>a</w:t>
      </w:r>
      <w:r w:rsidR="005C6834" w:rsidRPr="00275FBD">
        <w:rPr>
          <w:spacing w:val="-2"/>
          <w:lang w:val="sl-SI"/>
        </w:rPr>
        <w:t xml:space="preserve">: </w:t>
      </w:r>
      <w:r w:rsidR="005C6834" w:rsidRPr="00275FBD">
        <w:rPr>
          <w:spacing w:val="-2"/>
          <w:u w:val="single"/>
          <w:lang w:val="sl-SI"/>
        </w:rPr>
        <w:t xml:space="preserve"> </w:t>
      </w:r>
      <w:proofErr w:type="spellStart"/>
      <w:r w:rsidR="008E3721" w:rsidRPr="00275FBD">
        <w:rPr>
          <w:spacing w:val="-2"/>
          <w:u w:val="single"/>
          <w:lang w:val="sl-SI"/>
        </w:rPr>
        <w:t>I.Vrbanić</w:t>
      </w:r>
      <w:proofErr w:type="spellEnd"/>
      <w:r w:rsidR="008E3721" w:rsidRPr="00275FBD">
        <w:rPr>
          <w:spacing w:val="-2"/>
          <w:u w:val="single"/>
          <w:lang w:val="sl-SI"/>
        </w:rPr>
        <w:t xml:space="preserve">, </w:t>
      </w:r>
      <w:proofErr w:type="spellStart"/>
      <w:r w:rsidR="008E3721" w:rsidRPr="00275FBD">
        <w:rPr>
          <w:spacing w:val="-2"/>
          <w:u w:val="single"/>
          <w:lang w:val="sl-SI"/>
        </w:rPr>
        <w:t>I.Bašić</w:t>
      </w:r>
      <w:proofErr w:type="spellEnd"/>
      <w:r w:rsidR="005C6834" w:rsidRPr="00275FBD">
        <w:rPr>
          <w:spacing w:val="-2"/>
          <w:u w:val="single"/>
          <w:lang w:val="sl-SI"/>
        </w:rPr>
        <w:t xml:space="preserve">       </w:t>
      </w:r>
      <w:r w:rsidRPr="00275FBD">
        <w:rPr>
          <w:spacing w:val="-2"/>
          <w:lang w:val="sl-SI"/>
        </w:rPr>
        <w:t>________________</w:t>
      </w:r>
      <w:r w:rsidR="008E3721" w:rsidRPr="00275FBD">
        <w:rPr>
          <w:spacing w:val="-2"/>
          <w:u w:val="single"/>
          <w:lang w:val="sl-SI"/>
        </w:rPr>
        <w:t xml:space="preserve">         </w:t>
      </w:r>
      <w:r w:rsidRPr="00275FBD">
        <w:rPr>
          <w:spacing w:val="-2"/>
          <w:lang w:val="sl-SI"/>
        </w:rPr>
        <w:tab/>
      </w:r>
      <w:r w:rsidR="00326AA3" w:rsidRPr="00256823">
        <w:rPr>
          <w:spacing w:val="-2"/>
          <w:lang w:val="sl-SI"/>
        </w:rPr>
        <w:t>Datum</w:t>
      </w:r>
      <w:r w:rsidR="005C6834" w:rsidRPr="00256823">
        <w:rPr>
          <w:spacing w:val="-2"/>
          <w:lang w:val="sl-SI"/>
        </w:rPr>
        <w:t xml:space="preserve"> </w:t>
      </w:r>
      <w:r w:rsidR="00256823" w:rsidRPr="00256823">
        <w:rPr>
          <w:spacing w:val="-2"/>
          <w:u w:val="single"/>
          <w:lang w:val="sl-SI"/>
        </w:rPr>
        <w:t>04</w:t>
      </w:r>
      <w:r w:rsidR="005C6834" w:rsidRPr="00256823">
        <w:rPr>
          <w:spacing w:val="-2"/>
          <w:lang w:val="sl-SI"/>
        </w:rPr>
        <w:t>/</w:t>
      </w:r>
      <w:r w:rsidR="008E3721" w:rsidRPr="00256823">
        <w:rPr>
          <w:spacing w:val="-2"/>
          <w:u w:val="single"/>
          <w:lang w:val="sl-SI"/>
        </w:rPr>
        <w:t xml:space="preserve"> </w:t>
      </w:r>
      <w:r w:rsidR="00256823" w:rsidRPr="00256823">
        <w:rPr>
          <w:spacing w:val="-2"/>
          <w:u w:val="single"/>
          <w:lang w:val="sl-SI"/>
        </w:rPr>
        <w:t>04</w:t>
      </w:r>
      <w:r w:rsidR="005C6834" w:rsidRPr="00256823">
        <w:rPr>
          <w:spacing w:val="-2"/>
          <w:lang w:val="sl-SI"/>
        </w:rPr>
        <w:t>/</w:t>
      </w:r>
      <w:r w:rsidR="00C85A17" w:rsidRPr="00256823">
        <w:rPr>
          <w:spacing w:val="-2"/>
          <w:u w:val="single"/>
          <w:lang w:val="sl-SI"/>
        </w:rPr>
        <w:t>202</w:t>
      </w:r>
      <w:r w:rsidR="000106D6" w:rsidRPr="00256823">
        <w:rPr>
          <w:spacing w:val="-2"/>
          <w:u w:val="single"/>
          <w:lang w:val="sl-SI"/>
        </w:rPr>
        <w:t>4</w:t>
      </w:r>
    </w:p>
    <w:p w14:paraId="1A2494B8" w14:textId="0EC48836" w:rsidR="00CD4C16" w:rsidRPr="00275FBD" w:rsidRDefault="005C6834" w:rsidP="005C6834">
      <w:pPr>
        <w:pStyle w:val="ENCOstandardEN"/>
        <w:rPr>
          <w:lang w:val="sl-SI"/>
        </w:rPr>
      </w:pPr>
      <w:r w:rsidRPr="00275FBD">
        <w:rPr>
          <w:spacing w:val="-2"/>
          <w:sz w:val="16"/>
          <w:lang w:val="sl-SI"/>
        </w:rPr>
        <w:tab/>
      </w:r>
      <w:r w:rsidRPr="00275FBD">
        <w:rPr>
          <w:spacing w:val="-2"/>
          <w:sz w:val="16"/>
          <w:lang w:val="sl-SI"/>
        </w:rPr>
        <w:tab/>
      </w:r>
      <w:r w:rsidRPr="00275FBD">
        <w:rPr>
          <w:spacing w:val="-2"/>
          <w:sz w:val="16"/>
          <w:lang w:val="sl-SI"/>
        </w:rPr>
        <w:tab/>
      </w:r>
      <w:r w:rsidRPr="00275FBD">
        <w:rPr>
          <w:spacing w:val="-2"/>
          <w:sz w:val="16"/>
          <w:lang w:val="sl-SI"/>
        </w:rPr>
        <w:tab/>
        <w:t>(</w:t>
      </w:r>
      <w:r w:rsidR="00871DCD" w:rsidRPr="00275FBD">
        <w:rPr>
          <w:spacing w:val="-2"/>
          <w:sz w:val="16"/>
          <w:lang w:val="sl-SI"/>
        </w:rPr>
        <w:t>Ime</w:t>
      </w:r>
      <w:r w:rsidRPr="00275FBD">
        <w:rPr>
          <w:spacing w:val="-2"/>
          <w:sz w:val="16"/>
          <w:lang w:val="sl-SI"/>
        </w:rPr>
        <w:t>)</w:t>
      </w:r>
      <w:r w:rsidRPr="00275FBD">
        <w:rPr>
          <w:spacing w:val="-2"/>
          <w:sz w:val="16"/>
          <w:lang w:val="sl-SI"/>
        </w:rPr>
        <w:tab/>
      </w:r>
      <w:r w:rsidRPr="00275FBD">
        <w:rPr>
          <w:spacing w:val="-2"/>
          <w:sz w:val="16"/>
          <w:lang w:val="sl-SI"/>
        </w:rPr>
        <w:tab/>
      </w:r>
      <w:r w:rsidRPr="00275FBD">
        <w:rPr>
          <w:spacing w:val="-2"/>
          <w:sz w:val="16"/>
          <w:lang w:val="sl-SI"/>
        </w:rPr>
        <w:tab/>
      </w:r>
      <w:r w:rsidRPr="00275FBD">
        <w:rPr>
          <w:spacing w:val="-2"/>
          <w:sz w:val="16"/>
          <w:lang w:val="sl-SI"/>
        </w:rPr>
        <w:tab/>
        <w:t>(</w:t>
      </w:r>
      <w:r w:rsidR="00871DCD" w:rsidRPr="00275FBD">
        <w:rPr>
          <w:spacing w:val="-2"/>
          <w:sz w:val="16"/>
          <w:lang w:val="sl-SI"/>
        </w:rPr>
        <w:t>Podpis</w:t>
      </w:r>
      <w:r w:rsidRPr="00275FBD">
        <w:rPr>
          <w:spacing w:val="-2"/>
          <w:sz w:val="16"/>
          <w:lang w:val="sl-SI"/>
        </w:rPr>
        <w:t>)</w:t>
      </w:r>
    </w:p>
    <w:p w14:paraId="086A1856" w14:textId="101B64BF" w:rsidR="004D3560" w:rsidRPr="00275FBD" w:rsidRDefault="004D3560" w:rsidP="00E36648">
      <w:pPr>
        <w:pStyle w:val="Naslov1"/>
        <w:numPr>
          <w:ilvl w:val="0"/>
          <w:numId w:val="0"/>
        </w:numPr>
        <w:ind w:left="432" w:hanging="432"/>
        <w:rPr>
          <w:lang w:val="sl-SI"/>
        </w:rPr>
      </w:pPr>
      <w:r w:rsidRPr="00275FBD">
        <w:rPr>
          <w:sz w:val="32"/>
          <w:szCs w:val="32"/>
          <w:lang w:val="sl-SI"/>
        </w:rPr>
        <w:br w:type="page"/>
      </w:r>
      <w:bookmarkStart w:id="1" w:name="_Toc163197409"/>
      <w:r w:rsidR="00860B26" w:rsidRPr="00275FBD">
        <w:rPr>
          <w:lang w:val="sl-SI"/>
        </w:rPr>
        <w:lastRenderedPageBreak/>
        <w:t>POVZETEK</w:t>
      </w:r>
      <w:bookmarkEnd w:id="1"/>
    </w:p>
    <w:p w14:paraId="33111C63" w14:textId="377ECF42" w:rsidR="00191BA7" w:rsidRPr="00275FBD" w:rsidRDefault="00014B2A" w:rsidP="00191BA7">
      <w:pPr>
        <w:rPr>
          <w:lang w:val="sl-SI"/>
        </w:rPr>
      </w:pPr>
      <w:r w:rsidRPr="00275FBD">
        <w:rPr>
          <w:lang w:val="sl-SI"/>
        </w:rPr>
        <w:t xml:space="preserve">Občasni </w:t>
      </w:r>
      <w:r w:rsidR="00191BA7" w:rsidRPr="00275FBD">
        <w:rPr>
          <w:lang w:val="sl-SI"/>
        </w:rPr>
        <w:t>varnostni pregled (</w:t>
      </w:r>
      <w:proofErr w:type="spellStart"/>
      <w:r w:rsidRPr="00DF2AFD">
        <w:rPr>
          <w:lang w:val="sl-SI"/>
        </w:rPr>
        <w:t>Periodic</w:t>
      </w:r>
      <w:proofErr w:type="spellEnd"/>
      <w:r w:rsidRPr="00DF2AFD">
        <w:rPr>
          <w:lang w:val="sl-SI"/>
        </w:rPr>
        <w:t xml:space="preserve"> Safety Review</w:t>
      </w:r>
      <w:r w:rsidRPr="00275FBD">
        <w:rPr>
          <w:lang w:val="sl-SI"/>
        </w:rPr>
        <w:t xml:space="preserve">, </w:t>
      </w:r>
      <w:r w:rsidR="00191BA7" w:rsidRPr="00275FBD">
        <w:rPr>
          <w:lang w:val="sl-SI"/>
        </w:rPr>
        <w:t xml:space="preserve">PSR) je sistematična ocena varnosti, </w:t>
      </w:r>
      <w:r w:rsidRPr="00275FBD">
        <w:rPr>
          <w:lang w:val="sl-SI"/>
        </w:rPr>
        <w:t>ki se izvaja v rednih obdobjih (časovnih intervalih) in</w:t>
      </w:r>
      <w:r w:rsidR="00191BA7" w:rsidRPr="00275FBD">
        <w:rPr>
          <w:lang w:val="sl-SI"/>
        </w:rPr>
        <w:t xml:space="preserve"> je mednarodno priznana kot primarno sredstvo za ocenjevanje kumulativnih učinkov staranja in sprememb </w:t>
      </w:r>
      <w:r w:rsidRPr="00275FBD">
        <w:rPr>
          <w:lang w:val="sl-SI"/>
        </w:rPr>
        <w:t>objekta</w:t>
      </w:r>
      <w:r w:rsidR="00191BA7" w:rsidRPr="00275FBD">
        <w:rPr>
          <w:lang w:val="sl-SI"/>
        </w:rPr>
        <w:t>, obratovalnih izkušenj, tehničnega razvoja in vidikov</w:t>
      </w:r>
      <w:r w:rsidR="000D177A">
        <w:rPr>
          <w:lang w:val="sl-SI"/>
        </w:rPr>
        <w:t>,</w:t>
      </w:r>
      <w:r w:rsidR="00191BA7" w:rsidRPr="00275FBD">
        <w:rPr>
          <w:lang w:val="sl-SI"/>
        </w:rPr>
        <w:t xml:space="preserve"> pomembnih za lokacijo. </w:t>
      </w:r>
      <w:r w:rsidR="00191BA7" w:rsidRPr="001C64F8">
        <w:rPr>
          <w:lang w:val="sl-SI"/>
        </w:rPr>
        <w:t xml:space="preserve">V </w:t>
      </w:r>
      <w:r w:rsidR="001C64F8">
        <w:rPr>
          <w:lang w:val="sl-SI"/>
        </w:rPr>
        <w:t>trenutni</w:t>
      </w:r>
      <w:r w:rsidR="001C64F8" w:rsidRPr="00275FBD">
        <w:rPr>
          <w:color w:val="FF0000"/>
          <w:lang w:val="sl-SI"/>
        </w:rPr>
        <w:t xml:space="preserve"> </w:t>
      </w:r>
      <w:r w:rsidR="00191BA7" w:rsidRPr="00275FBD">
        <w:rPr>
          <w:lang w:val="sl-SI"/>
        </w:rPr>
        <w:t xml:space="preserve">mednarodno sprejeti varnostni filozofiji so redni </w:t>
      </w:r>
      <w:r w:rsidRPr="00275FBD">
        <w:rPr>
          <w:lang w:val="sl-SI"/>
        </w:rPr>
        <w:t xml:space="preserve">celoviti </w:t>
      </w:r>
      <w:r w:rsidR="00191BA7" w:rsidRPr="00275FBD">
        <w:rPr>
          <w:lang w:val="sl-SI"/>
        </w:rPr>
        <w:t xml:space="preserve">varnostni pregledi namenjeni preverjanju, ali delujoča jedrska elektrarna ostaja varna, </w:t>
      </w:r>
      <w:r w:rsidR="00F215AD">
        <w:rPr>
          <w:lang w:val="sl-SI"/>
        </w:rPr>
        <w:t>ali</w:t>
      </w:r>
      <w:r w:rsidR="00F215AD" w:rsidRPr="00275FBD">
        <w:rPr>
          <w:lang w:val="sl-SI"/>
        </w:rPr>
        <w:t xml:space="preserve"> </w:t>
      </w:r>
      <w:r w:rsidR="00191BA7" w:rsidRPr="00275FBD">
        <w:rPr>
          <w:lang w:val="sl-SI"/>
        </w:rPr>
        <w:t xml:space="preserve">se </w:t>
      </w:r>
      <w:r w:rsidR="00ED53C5">
        <w:rPr>
          <w:lang w:val="sl-SI"/>
        </w:rPr>
        <w:t>preverja</w:t>
      </w:r>
      <w:r w:rsidR="00ED53C5" w:rsidRPr="00275FBD">
        <w:rPr>
          <w:lang w:val="sl-SI"/>
        </w:rPr>
        <w:t xml:space="preserve"> </w:t>
      </w:r>
      <w:r w:rsidR="00191BA7" w:rsidRPr="00275FBD">
        <w:rPr>
          <w:lang w:val="sl-SI"/>
        </w:rPr>
        <w:t xml:space="preserve">glede na trenutne varnostne cilje in prakso, ter ali so vzpostavljeni ustrezni ukrepi za vzdrževanje </w:t>
      </w:r>
      <w:r w:rsidR="00ED53C5">
        <w:rPr>
          <w:lang w:val="sl-SI"/>
        </w:rPr>
        <w:t>zahtevane</w:t>
      </w:r>
      <w:r w:rsidR="00ED53C5" w:rsidRPr="00275FBD">
        <w:rPr>
          <w:lang w:val="sl-SI"/>
        </w:rPr>
        <w:t xml:space="preserve"> </w:t>
      </w:r>
      <w:r w:rsidR="00191BA7" w:rsidRPr="00275FBD">
        <w:rPr>
          <w:lang w:val="sl-SI"/>
        </w:rPr>
        <w:t>ravni varnosti.</w:t>
      </w:r>
    </w:p>
    <w:p w14:paraId="327AD716" w14:textId="2CE760B4" w:rsidR="00191BA7" w:rsidRPr="00275FBD" w:rsidRDefault="00191BA7" w:rsidP="00191BA7">
      <w:pPr>
        <w:rPr>
          <w:lang w:val="sl-SI"/>
        </w:rPr>
      </w:pPr>
      <w:r w:rsidRPr="00275FBD">
        <w:rPr>
          <w:lang w:val="sl-SI"/>
        </w:rPr>
        <w:t xml:space="preserve">NEK je po približno dvajsetih letih obratovanja elektrarne, </w:t>
      </w:r>
      <w:r w:rsidR="00170995" w:rsidRPr="00275FBD">
        <w:rPr>
          <w:lang w:val="sl-SI"/>
        </w:rPr>
        <w:t>med</w:t>
      </w:r>
      <w:r w:rsidRPr="00275FBD">
        <w:rPr>
          <w:lang w:val="sl-SI"/>
        </w:rPr>
        <w:t xml:space="preserve"> let</w:t>
      </w:r>
      <w:r w:rsidR="00170995" w:rsidRPr="00275FBD">
        <w:rPr>
          <w:lang w:val="sl-SI"/>
        </w:rPr>
        <w:t>i</w:t>
      </w:r>
      <w:r w:rsidRPr="00275FBD">
        <w:rPr>
          <w:lang w:val="sl-SI"/>
        </w:rPr>
        <w:t xml:space="preserve"> 2001</w:t>
      </w:r>
      <w:r w:rsidR="00170995" w:rsidRPr="00275FBD">
        <w:rPr>
          <w:lang w:val="sl-SI"/>
        </w:rPr>
        <w:t xml:space="preserve"> in 2003</w:t>
      </w:r>
      <w:r w:rsidRPr="00275FBD">
        <w:rPr>
          <w:lang w:val="sl-SI"/>
        </w:rPr>
        <w:t>, izvedla prvi PSR</w:t>
      </w:r>
      <w:r w:rsidR="004A0736">
        <w:rPr>
          <w:lang w:val="sl-SI"/>
        </w:rPr>
        <w:t xml:space="preserve">, ki je bil zaključen z odločbo </w:t>
      </w:r>
      <w:r w:rsidR="004A0736" w:rsidRPr="00275FBD">
        <w:rPr>
          <w:lang w:val="sl-SI"/>
        </w:rPr>
        <w:t>Uprav</w:t>
      </w:r>
      <w:r w:rsidR="004A0736">
        <w:rPr>
          <w:lang w:val="sl-SI"/>
        </w:rPr>
        <w:t>e</w:t>
      </w:r>
      <w:r w:rsidR="004A0736" w:rsidRPr="00275FBD">
        <w:rPr>
          <w:lang w:val="sl-SI"/>
        </w:rPr>
        <w:t xml:space="preserve"> Republike Slovenije za jedrsko varnost </w:t>
      </w:r>
      <w:r w:rsidR="004A0736">
        <w:rPr>
          <w:lang w:val="sl-SI"/>
        </w:rPr>
        <w:t>(URSJV) leta 2005</w:t>
      </w:r>
      <w:r w:rsidRPr="00275FBD">
        <w:rPr>
          <w:lang w:val="sl-SI"/>
        </w:rPr>
        <w:t xml:space="preserve">. </w:t>
      </w:r>
      <w:r w:rsidR="001546B6" w:rsidRPr="00275FBD">
        <w:rPr>
          <w:lang w:val="sl-SI"/>
        </w:rPr>
        <w:t xml:space="preserve">Temu je sledil drugi občasni varnostni pregled, ki je bil zaključen leta 2014 z odločbo URSJV. </w:t>
      </w:r>
    </w:p>
    <w:p w14:paraId="1B2C42A8" w14:textId="6F24C1BB" w:rsidR="00191BA7" w:rsidRPr="00275FBD" w:rsidRDefault="0099642B" w:rsidP="00191BA7">
      <w:pPr>
        <w:rPr>
          <w:lang w:val="sl-SI"/>
        </w:rPr>
      </w:pPr>
      <w:r>
        <w:rPr>
          <w:lang w:val="sl-SI"/>
        </w:rPr>
        <w:t>T</w:t>
      </w:r>
      <w:r w:rsidR="00191BA7" w:rsidRPr="00275FBD">
        <w:rPr>
          <w:lang w:val="sl-SI"/>
        </w:rPr>
        <w:t>retj</w:t>
      </w:r>
      <w:r>
        <w:rPr>
          <w:lang w:val="sl-SI"/>
        </w:rPr>
        <w:t>i</w:t>
      </w:r>
      <w:r w:rsidR="00191BA7" w:rsidRPr="00275FBD">
        <w:rPr>
          <w:lang w:val="sl-SI"/>
        </w:rPr>
        <w:t xml:space="preserve"> </w:t>
      </w:r>
      <w:r w:rsidR="000B187E" w:rsidRPr="00ED53C5">
        <w:rPr>
          <w:lang w:val="sl-SI"/>
        </w:rPr>
        <w:t>občasn</w:t>
      </w:r>
      <w:r w:rsidRPr="00ED53C5">
        <w:rPr>
          <w:lang w:val="sl-SI"/>
        </w:rPr>
        <w:t>i</w:t>
      </w:r>
      <w:r w:rsidR="000B187E" w:rsidRPr="00ED53C5">
        <w:rPr>
          <w:lang w:val="sl-SI"/>
        </w:rPr>
        <w:t xml:space="preserve"> varnostn</w:t>
      </w:r>
      <w:r w:rsidRPr="00ED53C5">
        <w:rPr>
          <w:lang w:val="sl-SI"/>
        </w:rPr>
        <w:t>i</w:t>
      </w:r>
      <w:r w:rsidR="00014B2A" w:rsidRPr="00ED53C5">
        <w:rPr>
          <w:lang w:val="sl-SI"/>
        </w:rPr>
        <w:t xml:space="preserve"> p</w:t>
      </w:r>
      <w:r w:rsidR="00014B2A" w:rsidRPr="00275FBD">
        <w:rPr>
          <w:lang w:val="sl-SI"/>
        </w:rPr>
        <w:t>regled</w:t>
      </w:r>
      <w:r w:rsidR="00191BA7" w:rsidRPr="00275FBD">
        <w:rPr>
          <w:lang w:val="sl-SI"/>
        </w:rPr>
        <w:t xml:space="preserve"> (PSR3) je bil </w:t>
      </w:r>
      <w:r w:rsidR="00014B2A" w:rsidRPr="00275FBD">
        <w:rPr>
          <w:lang w:val="sl-SI"/>
        </w:rPr>
        <w:t xml:space="preserve">izveden </w:t>
      </w:r>
      <w:r w:rsidR="00191BA7" w:rsidRPr="00275FBD">
        <w:rPr>
          <w:lang w:val="sl-SI"/>
        </w:rPr>
        <w:t xml:space="preserve">v skladu z zahtevami Zakona o varstvu pred ionizirajočimi sevanji in jedrski varnosti </w:t>
      </w:r>
      <w:r w:rsidR="00191BA7" w:rsidRPr="00275FBD">
        <w:rPr>
          <w:lang w:val="sl-SI"/>
        </w:rPr>
        <w:fldChar w:fldCharType="begin"/>
      </w:r>
      <w:r w:rsidR="00191BA7" w:rsidRPr="00275FBD">
        <w:rPr>
          <w:lang w:val="sl-SI"/>
        </w:rPr>
        <w:instrText xml:space="preserve"> REF _Ref368398842 \r \h </w:instrText>
      </w:r>
      <w:r w:rsidR="00191BA7" w:rsidRPr="00275FBD">
        <w:rPr>
          <w:lang w:val="sl-SI"/>
        </w:rPr>
      </w:r>
      <w:r w:rsidR="00191BA7" w:rsidRPr="00275FBD">
        <w:rPr>
          <w:lang w:val="sl-SI"/>
        </w:rPr>
        <w:fldChar w:fldCharType="separate"/>
      </w:r>
      <w:r w:rsidR="00BA25CD">
        <w:rPr>
          <w:lang w:val="sl-SI"/>
        </w:rPr>
        <w:t>[5]</w:t>
      </w:r>
      <w:r w:rsidR="00191BA7" w:rsidRPr="00275FBD">
        <w:rPr>
          <w:lang w:val="sl-SI"/>
        </w:rPr>
        <w:fldChar w:fldCharType="end"/>
      </w:r>
      <w:r w:rsidR="00191BA7" w:rsidRPr="00275FBD">
        <w:rPr>
          <w:lang w:val="sl-SI"/>
        </w:rPr>
        <w:t>, upoštevajoč tudi zahtev</w:t>
      </w:r>
      <w:r w:rsidR="00ED53C5">
        <w:rPr>
          <w:lang w:val="sl-SI"/>
        </w:rPr>
        <w:t>e</w:t>
      </w:r>
      <w:r w:rsidR="00191BA7" w:rsidRPr="00275FBD">
        <w:rPr>
          <w:lang w:val="sl-SI"/>
        </w:rPr>
        <w:t xml:space="preserve"> Pravilnika JV9 </w:t>
      </w:r>
      <w:r w:rsidR="00191BA7" w:rsidRPr="00275FBD">
        <w:rPr>
          <w:lang w:val="sl-SI"/>
        </w:rPr>
        <w:fldChar w:fldCharType="begin"/>
      </w:r>
      <w:r w:rsidR="00191BA7" w:rsidRPr="00275FBD">
        <w:rPr>
          <w:lang w:val="sl-SI"/>
        </w:rPr>
        <w:instrText xml:space="preserve"> REF _Ref129601022 \r \h </w:instrText>
      </w:r>
      <w:r w:rsidR="00191BA7" w:rsidRPr="00275FBD">
        <w:rPr>
          <w:lang w:val="sl-SI"/>
        </w:rPr>
      </w:r>
      <w:r w:rsidR="00191BA7" w:rsidRPr="00275FBD">
        <w:rPr>
          <w:lang w:val="sl-SI"/>
        </w:rPr>
        <w:fldChar w:fldCharType="separate"/>
      </w:r>
      <w:r w:rsidR="00BA25CD">
        <w:rPr>
          <w:lang w:val="sl-SI"/>
        </w:rPr>
        <w:t>[6]</w:t>
      </w:r>
      <w:r w:rsidR="00191BA7" w:rsidRPr="00275FBD">
        <w:rPr>
          <w:lang w:val="sl-SI"/>
        </w:rPr>
        <w:fldChar w:fldCharType="end"/>
      </w:r>
      <w:r w:rsidR="00191BA7" w:rsidRPr="00275FBD">
        <w:rPr>
          <w:lang w:val="sl-SI"/>
        </w:rPr>
        <w:t>, ter Praktičnih smernic</w:t>
      </w:r>
      <w:r w:rsidR="004A0736">
        <w:rPr>
          <w:lang w:val="sl-SI"/>
        </w:rPr>
        <w:t xml:space="preserve"> </w:t>
      </w:r>
      <w:r w:rsidR="00ED53C5">
        <w:rPr>
          <w:lang w:val="sl-SI"/>
        </w:rPr>
        <w:t xml:space="preserve">PS </w:t>
      </w:r>
      <w:r w:rsidR="004A0736">
        <w:rPr>
          <w:lang w:val="sl-SI"/>
        </w:rPr>
        <w:t>1.01</w:t>
      </w:r>
      <w:r w:rsidR="00191BA7" w:rsidRPr="00275FBD">
        <w:rPr>
          <w:lang w:val="sl-SI"/>
        </w:rPr>
        <w:t xml:space="preserve">, ki jih je izdal URSJV </w:t>
      </w:r>
      <w:r w:rsidR="00191BA7" w:rsidRPr="00275FBD">
        <w:rPr>
          <w:lang w:val="sl-SI"/>
        </w:rPr>
        <w:fldChar w:fldCharType="begin"/>
      </w:r>
      <w:r w:rsidR="00191BA7" w:rsidRPr="00275FBD">
        <w:rPr>
          <w:lang w:val="sl-SI"/>
        </w:rPr>
        <w:instrText xml:space="preserve"> REF _Ref138229213 \r \h </w:instrText>
      </w:r>
      <w:r w:rsidR="00191BA7" w:rsidRPr="00275FBD">
        <w:rPr>
          <w:lang w:val="sl-SI"/>
        </w:rPr>
      </w:r>
      <w:r w:rsidR="00191BA7" w:rsidRPr="00275FBD">
        <w:rPr>
          <w:lang w:val="sl-SI"/>
        </w:rPr>
        <w:fldChar w:fldCharType="separate"/>
      </w:r>
      <w:r w:rsidR="00BA25CD">
        <w:rPr>
          <w:lang w:val="sl-SI"/>
        </w:rPr>
        <w:t>[7]</w:t>
      </w:r>
      <w:r w:rsidR="00191BA7" w:rsidRPr="00275FBD">
        <w:rPr>
          <w:lang w:val="sl-SI"/>
        </w:rPr>
        <w:fldChar w:fldCharType="end"/>
      </w:r>
      <w:r w:rsidR="00ED53C5" w:rsidRPr="00ED53C5">
        <w:rPr>
          <w:lang w:val="sl-SI"/>
        </w:rPr>
        <w:t xml:space="preserve"> </w:t>
      </w:r>
      <w:r w:rsidR="00ED53C5">
        <w:rPr>
          <w:lang w:val="sl-SI"/>
        </w:rPr>
        <w:t>na osnovi smernice</w:t>
      </w:r>
      <w:r w:rsidR="00ED53C5" w:rsidRPr="00275FBD">
        <w:rPr>
          <w:lang w:val="sl-SI"/>
        </w:rPr>
        <w:t xml:space="preserve"> IAEA SSG-25 </w:t>
      </w:r>
      <w:r w:rsidR="00ED53C5" w:rsidRPr="00275FBD">
        <w:rPr>
          <w:lang w:val="sl-SI"/>
        </w:rPr>
        <w:fldChar w:fldCharType="begin"/>
      </w:r>
      <w:r w:rsidR="00ED53C5" w:rsidRPr="00275FBD">
        <w:rPr>
          <w:lang w:val="sl-SI"/>
        </w:rPr>
        <w:instrText xml:space="preserve"> REF _Ref129855843 \r \h </w:instrText>
      </w:r>
      <w:r w:rsidR="00ED53C5" w:rsidRPr="00275FBD">
        <w:rPr>
          <w:lang w:val="sl-SI"/>
        </w:rPr>
      </w:r>
      <w:r w:rsidR="00ED53C5" w:rsidRPr="00275FBD">
        <w:rPr>
          <w:lang w:val="sl-SI"/>
        </w:rPr>
        <w:fldChar w:fldCharType="separate"/>
      </w:r>
      <w:r w:rsidR="00BA25CD">
        <w:rPr>
          <w:lang w:val="sl-SI"/>
        </w:rPr>
        <w:t>[8]</w:t>
      </w:r>
      <w:r w:rsidR="00ED53C5" w:rsidRPr="00275FBD">
        <w:rPr>
          <w:lang w:val="sl-SI"/>
        </w:rPr>
        <w:fldChar w:fldCharType="end"/>
      </w:r>
      <w:r w:rsidR="00191BA7" w:rsidRPr="00275FBD">
        <w:rPr>
          <w:lang w:val="sl-SI"/>
        </w:rPr>
        <w:t>.</w:t>
      </w:r>
    </w:p>
    <w:p w14:paraId="016337C0" w14:textId="714D7477" w:rsidR="00934843" w:rsidRPr="00275FBD" w:rsidRDefault="001546B6" w:rsidP="00934843">
      <w:pPr>
        <w:rPr>
          <w:lang w:val="sl-SI"/>
        </w:rPr>
      </w:pPr>
      <w:r w:rsidRPr="00275FBD">
        <w:rPr>
          <w:lang w:val="sl-SI"/>
        </w:rPr>
        <w:t>Vsebina, obseg, časovni načrt in m</w:t>
      </w:r>
      <w:r w:rsidR="00934843" w:rsidRPr="00275FBD">
        <w:rPr>
          <w:lang w:val="sl-SI"/>
        </w:rPr>
        <w:t xml:space="preserve">etodologija, uporabljena pri </w:t>
      </w:r>
      <w:r w:rsidR="004A0736">
        <w:rPr>
          <w:lang w:val="sl-SI"/>
        </w:rPr>
        <w:t>PSR3</w:t>
      </w:r>
      <w:r w:rsidR="00934843" w:rsidRPr="00275FBD">
        <w:rPr>
          <w:lang w:val="sl-SI"/>
        </w:rPr>
        <w:t xml:space="preserve">, je bila </w:t>
      </w:r>
      <w:r w:rsidR="00576961">
        <w:rPr>
          <w:lang w:val="sl-SI"/>
        </w:rPr>
        <w:t>določ</w:t>
      </w:r>
      <w:r w:rsidR="00576961" w:rsidRPr="00275FBD">
        <w:rPr>
          <w:lang w:val="sl-SI"/>
        </w:rPr>
        <w:t xml:space="preserve">ena </w:t>
      </w:r>
      <w:r w:rsidR="00934843" w:rsidRPr="00275FBD">
        <w:rPr>
          <w:lang w:val="sl-SI"/>
        </w:rPr>
        <w:t>v Programu občasnega varnostnega pregleda NEK</w:t>
      </w:r>
      <w:r w:rsidR="00CD5AD8" w:rsidRPr="00275FBD">
        <w:rPr>
          <w:lang w:val="sl-SI"/>
        </w:rPr>
        <w:t xml:space="preserve"> (Program NEK PSR3)</w:t>
      </w:r>
      <w:r w:rsidR="00934843" w:rsidRPr="00275FBD">
        <w:rPr>
          <w:lang w:val="sl-SI"/>
        </w:rPr>
        <w:t xml:space="preserve">, NEK ESD-TR-03/20 </w:t>
      </w:r>
      <w:r w:rsidR="00D458FD" w:rsidRPr="00275FBD">
        <w:rPr>
          <w:lang w:val="sl-SI"/>
        </w:rPr>
        <w:fldChar w:fldCharType="begin"/>
      </w:r>
      <w:r w:rsidR="00D458FD" w:rsidRPr="00275FBD">
        <w:rPr>
          <w:lang w:val="sl-SI"/>
        </w:rPr>
        <w:instrText xml:space="preserve"> REF _Ref133222751 \r \h </w:instrText>
      </w:r>
      <w:r w:rsidR="00D458FD" w:rsidRPr="00275FBD">
        <w:rPr>
          <w:lang w:val="sl-SI"/>
        </w:rPr>
      </w:r>
      <w:r w:rsidR="00D458FD" w:rsidRPr="00275FBD">
        <w:rPr>
          <w:lang w:val="sl-SI"/>
        </w:rPr>
        <w:fldChar w:fldCharType="separate"/>
      </w:r>
      <w:r w:rsidR="00BA25CD">
        <w:rPr>
          <w:lang w:val="sl-SI"/>
        </w:rPr>
        <w:t>[1]</w:t>
      </w:r>
      <w:r w:rsidR="00D458FD" w:rsidRPr="00275FBD">
        <w:rPr>
          <w:lang w:val="sl-SI"/>
        </w:rPr>
        <w:fldChar w:fldCharType="end"/>
      </w:r>
      <w:r w:rsidR="00934843" w:rsidRPr="00275FBD">
        <w:rPr>
          <w:lang w:val="sl-SI"/>
        </w:rPr>
        <w:t>, ki določa vse pomembne elemente PSR</w:t>
      </w:r>
      <w:r w:rsidR="00D458FD" w:rsidRPr="00275FBD">
        <w:rPr>
          <w:lang w:val="sl-SI"/>
        </w:rPr>
        <w:t>3</w:t>
      </w:r>
      <w:r w:rsidR="00934843" w:rsidRPr="00275FBD">
        <w:rPr>
          <w:lang w:val="sl-SI"/>
        </w:rPr>
        <w:t xml:space="preserve">, </w:t>
      </w:r>
      <w:r w:rsidR="00ED53C5">
        <w:rPr>
          <w:lang w:val="sl-SI"/>
        </w:rPr>
        <w:t>kot</w:t>
      </w:r>
      <w:r w:rsidR="00ED53C5" w:rsidRPr="00275FBD">
        <w:rPr>
          <w:lang w:val="sl-SI"/>
        </w:rPr>
        <w:t xml:space="preserve"> </w:t>
      </w:r>
      <w:r w:rsidR="00934843" w:rsidRPr="00275FBD">
        <w:rPr>
          <w:lang w:val="sl-SI"/>
        </w:rPr>
        <w:t>so bili dogovorjeni in potrjeni s strani URSJV</w:t>
      </w:r>
      <w:r w:rsidRPr="00275FBD">
        <w:rPr>
          <w:lang w:val="sl-SI"/>
        </w:rPr>
        <w:t xml:space="preserve"> z odločbo</w:t>
      </w:r>
      <w:r w:rsidR="00ED53C5">
        <w:rPr>
          <w:lang w:val="sl-SI"/>
        </w:rPr>
        <w:t xml:space="preserve"> za odobritev programa PSR3</w:t>
      </w:r>
      <w:r w:rsidR="00934843" w:rsidRPr="00275FBD">
        <w:rPr>
          <w:lang w:val="sl-SI"/>
        </w:rPr>
        <w:t xml:space="preserve">. Projekt </w:t>
      </w:r>
      <w:r w:rsidR="00D458FD" w:rsidRPr="00275FBD">
        <w:rPr>
          <w:lang w:val="sl-SI"/>
        </w:rPr>
        <w:t xml:space="preserve">NEK </w:t>
      </w:r>
      <w:r w:rsidR="00934843" w:rsidRPr="00275FBD">
        <w:rPr>
          <w:lang w:val="sl-SI"/>
        </w:rPr>
        <w:t>PSR</w:t>
      </w:r>
      <w:r w:rsidR="00D458FD" w:rsidRPr="00275FBD">
        <w:rPr>
          <w:lang w:val="sl-SI"/>
        </w:rPr>
        <w:t>3</w:t>
      </w:r>
      <w:r w:rsidR="00934843" w:rsidRPr="00275FBD">
        <w:rPr>
          <w:lang w:val="sl-SI"/>
        </w:rPr>
        <w:t xml:space="preserve"> je zajel vse spremembe </w:t>
      </w:r>
      <w:r w:rsidR="00014B2A" w:rsidRPr="00275FBD">
        <w:rPr>
          <w:lang w:val="sl-SI"/>
        </w:rPr>
        <w:t xml:space="preserve">veljavnih </w:t>
      </w:r>
      <w:r w:rsidR="0099642B">
        <w:rPr>
          <w:lang w:val="sl-SI"/>
        </w:rPr>
        <w:t>slovenskih</w:t>
      </w:r>
      <w:r w:rsidR="0099642B" w:rsidRPr="00275FBD">
        <w:rPr>
          <w:lang w:val="sl-SI"/>
        </w:rPr>
        <w:t xml:space="preserve"> </w:t>
      </w:r>
      <w:r w:rsidR="00934843" w:rsidRPr="00275FBD">
        <w:rPr>
          <w:lang w:val="sl-SI"/>
        </w:rPr>
        <w:t xml:space="preserve">in/ali </w:t>
      </w:r>
      <w:r w:rsidR="00934843" w:rsidRPr="00B973B0">
        <w:rPr>
          <w:lang w:val="sl-SI"/>
        </w:rPr>
        <w:t xml:space="preserve">mednarodnih varnostnih standardov/praks ali </w:t>
      </w:r>
      <w:r w:rsidR="00D458FD" w:rsidRPr="00B973B0">
        <w:rPr>
          <w:lang w:val="sl-SI"/>
        </w:rPr>
        <w:t>projekta</w:t>
      </w:r>
      <w:r w:rsidR="00934843" w:rsidRPr="00B973B0">
        <w:rPr>
          <w:lang w:val="sl-SI"/>
        </w:rPr>
        <w:t xml:space="preserve"> elektrarne </w:t>
      </w:r>
      <w:r w:rsidR="004A0736">
        <w:rPr>
          <w:lang w:val="sl-SI"/>
        </w:rPr>
        <w:t>ter</w:t>
      </w:r>
      <w:r w:rsidR="004A0736" w:rsidRPr="00B973B0">
        <w:rPr>
          <w:lang w:val="sl-SI"/>
        </w:rPr>
        <w:t xml:space="preserve"> </w:t>
      </w:r>
      <w:r w:rsidR="00934843" w:rsidRPr="00B973B0">
        <w:rPr>
          <w:lang w:val="sl-SI"/>
        </w:rPr>
        <w:t xml:space="preserve">obratovalnih </w:t>
      </w:r>
      <w:r w:rsidR="004A0736">
        <w:rPr>
          <w:lang w:val="sl-SI"/>
        </w:rPr>
        <w:t>pogojev in omejitev</w:t>
      </w:r>
      <w:r w:rsidR="004A0736" w:rsidRPr="00B973B0">
        <w:rPr>
          <w:lang w:val="sl-SI"/>
        </w:rPr>
        <w:t xml:space="preserve"> </w:t>
      </w:r>
      <w:r w:rsidR="004A0736">
        <w:rPr>
          <w:lang w:val="sl-SI"/>
        </w:rPr>
        <w:t xml:space="preserve">v času </w:t>
      </w:r>
      <w:r w:rsidR="00934843" w:rsidRPr="00B973B0">
        <w:rPr>
          <w:lang w:val="sl-SI"/>
        </w:rPr>
        <w:t xml:space="preserve">od </w:t>
      </w:r>
      <w:r w:rsidR="004A0736">
        <w:rPr>
          <w:lang w:val="sl-SI"/>
        </w:rPr>
        <w:t xml:space="preserve">obravnave v </w:t>
      </w:r>
      <w:r w:rsidR="004A0736" w:rsidRPr="00B973B0">
        <w:rPr>
          <w:lang w:val="sl-SI"/>
        </w:rPr>
        <w:t>druge</w:t>
      </w:r>
      <w:r w:rsidR="004A0736">
        <w:rPr>
          <w:lang w:val="sl-SI"/>
        </w:rPr>
        <w:t>m</w:t>
      </w:r>
      <w:r w:rsidR="004A0736" w:rsidRPr="00B973B0">
        <w:rPr>
          <w:lang w:val="sl-SI"/>
        </w:rPr>
        <w:t xml:space="preserve"> </w:t>
      </w:r>
      <w:r w:rsidR="00934843" w:rsidRPr="00B973B0">
        <w:rPr>
          <w:lang w:val="sl-SI"/>
        </w:rPr>
        <w:t>PSR</w:t>
      </w:r>
      <w:r w:rsidR="000B187E" w:rsidRPr="00B973B0">
        <w:rPr>
          <w:lang w:val="sl-SI"/>
        </w:rPr>
        <w:t>,</w:t>
      </w:r>
      <w:r w:rsidR="00934843" w:rsidRPr="00B973B0">
        <w:rPr>
          <w:lang w:val="sl-SI"/>
        </w:rPr>
        <w:t xml:space="preserve"> do </w:t>
      </w:r>
      <w:r w:rsidRPr="00B973B0">
        <w:rPr>
          <w:lang w:val="sl-SI"/>
        </w:rPr>
        <w:t>presečnega</w:t>
      </w:r>
      <w:r w:rsidRPr="00275FBD">
        <w:rPr>
          <w:lang w:val="sl-SI"/>
        </w:rPr>
        <w:t xml:space="preserve"> datuma</w:t>
      </w:r>
      <w:r w:rsidR="00934843" w:rsidRPr="00275FBD">
        <w:rPr>
          <w:lang w:val="sl-SI"/>
        </w:rPr>
        <w:t xml:space="preserve"> 31. decembra 2020.</w:t>
      </w:r>
    </w:p>
    <w:p w14:paraId="02455F32" w14:textId="2C778557" w:rsidR="00934843" w:rsidRPr="00275FBD" w:rsidRDefault="00934843" w:rsidP="00934843">
      <w:pPr>
        <w:rPr>
          <w:lang w:val="sl-SI"/>
        </w:rPr>
      </w:pPr>
      <w:r w:rsidRPr="00ED53C5">
        <w:rPr>
          <w:lang w:val="sl-SI"/>
        </w:rPr>
        <w:t xml:space="preserve">Obseg </w:t>
      </w:r>
      <w:r w:rsidR="00D458FD" w:rsidRPr="00ED53C5">
        <w:rPr>
          <w:lang w:val="sl-SI"/>
        </w:rPr>
        <w:t xml:space="preserve">NEK </w:t>
      </w:r>
      <w:r w:rsidRPr="00ED53C5">
        <w:rPr>
          <w:lang w:val="sl-SI"/>
        </w:rPr>
        <w:t xml:space="preserve">PSR3 je </w:t>
      </w:r>
      <w:r w:rsidR="00716249" w:rsidRPr="00ED53C5">
        <w:rPr>
          <w:lang w:val="sl-SI"/>
        </w:rPr>
        <w:t xml:space="preserve">določen </w:t>
      </w:r>
      <w:r w:rsidRPr="00ED53C5">
        <w:rPr>
          <w:lang w:val="sl-SI"/>
        </w:rPr>
        <w:t>v</w:t>
      </w:r>
      <w:r w:rsidR="00D458FD" w:rsidRPr="00ED53C5">
        <w:rPr>
          <w:lang w:val="sl-SI"/>
        </w:rPr>
        <w:t xml:space="preserve"> </w:t>
      </w:r>
      <w:r w:rsidRPr="00ED53C5">
        <w:rPr>
          <w:lang w:val="sl-SI"/>
        </w:rPr>
        <w:t xml:space="preserve">programu NEK </w:t>
      </w:r>
      <w:r w:rsidR="00ED53C5" w:rsidRPr="00275FBD">
        <w:rPr>
          <w:lang w:val="sl-SI"/>
        </w:rPr>
        <w:t>PSR3</w:t>
      </w:r>
      <w:r w:rsidR="00ED53C5">
        <w:rPr>
          <w:lang w:val="sl-SI"/>
        </w:rPr>
        <w:t xml:space="preserve"> </w:t>
      </w:r>
      <w:r w:rsidR="00716249" w:rsidRPr="00ED53C5">
        <w:rPr>
          <w:lang w:val="sl-SI"/>
        </w:rPr>
        <w:t>po</w:t>
      </w:r>
      <w:r w:rsidRPr="00ED53C5">
        <w:rPr>
          <w:lang w:val="sl-SI"/>
        </w:rPr>
        <w:t xml:space="preserve"> varnostnih </w:t>
      </w:r>
      <w:r w:rsidR="00716249" w:rsidRPr="00ED53C5">
        <w:rPr>
          <w:lang w:val="sl-SI"/>
        </w:rPr>
        <w:t>vsebinah</w:t>
      </w:r>
      <w:r w:rsidRPr="00ED53C5">
        <w:rPr>
          <w:lang w:val="sl-SI"/>
        </w:rPr>
        <w:t xml:space="preserve">. </w:t>
      </w:r>
      <w:r w:rsidR="00ED53C5">
        <w:rPr>
          <w:lang w:val="sl-SI"/>
        </w:rPr>
        <w:t>S</w:t>
      </w:r>
      <w:r w:rsidR="00463518" w:rsidRPr="00ED53C5">
        <w:rPr>
          <w:lang w:val="sl-SI"/>
        </w:rPr>
        <w:t xml:space="preserve">mernica </w:t>
      </w:r>
      <w:r w:rsidRPr="00ED53C5">
        <w:rPr>
          <w:lang w:val="sl-SI"/>
        </w:rPr>
        <w:t>IAEA SSG-</w:t>
      </w:r>
      <w:r w:rsidRPr="00275FBD">
        <w:rPr>
          <w:lang w:val="sl-SI"/>
        </w:rPr>
        <w:t xml:space="preserve">25 </w:t>
      </w:r>
      <w:r w:rsidR="00576961">
        <w:rPr>
          <w:lang w:val="sl-SI"/>
        </w:rPr>
        <w:t>določa</w:t>
      </w:r>
      <w:r w:rsidR="00576961" w:rsidRPr="00275FBD">
        <w:rPr>
          <w:lang w:val="sl-SI"/>
        </w:rPr>
        <w:t xml:space="preserve"> </w:t>
      </w:r>
      <w:r w:rsidRPr="00275FBD">
        <w:rPr>
          <w:lang w:val="sl-SI"/>
        </w:rPr>
        <w:t xml:space="preserve">14 varnostnih </w:t>
      </w:r>
      <w:r w:rsidR="00716249">
        <w:rPr>
          <w:lang w:val="sl-SI"/>
        </w:rPr>
        <w:t>vsebin</w:t>
      </w:r>
      <w:r w:rsidR="00716249" w:rsidRPr="00275FBD">
        <w:rPr>
          <w:lang w:val="sl-SI"/>
        </w:rPr>
        <w:t xml:space="preserve"> </w:t>
      </w:r>
      <w:r w:rsidRPr="00275FBD">
        <w:rPr>
          <w:lang w:val="sl-SI"/>
        </w:rPr>
        <w:t xml:space="preserve">PSR. Vendar pa je bilo za </w:t>
      </w:r>
      <w:r w:rsidR="0023743C">
        <w:rPr>
          <w:lang w:val="sl-SI"/>
        </w:rPr>
        <w:t xml:space="preserve">program </w:t>
      </w:r>
      <w:r w:rsidR="00D458FD" w:rsidRPr="00275FBD">
        <w:rPr>
          <w:lang w:val="sl-SI"/>
        </w:rPr>
        <w:t xml:space="preserve">NEK </w:t>
      </w:r>
      <w:r w:rsidRPr="00275FBD">
        <w:rPr>
          <w:lang w:val="sl-SI"/>
        </w:rPr>
        <w:t>PSR</w:t>
      </w:r>
      <w:r w:rsidR="00D458FD" w:rsidRPr="00275FBD">
        <w:rPr>
          <w:lang w:val="sl-SI"/>
        </w:rPr>
        <w:t>3</w:t>
      </w:r>
      <w:r w:rsidRPr="00275FBD">
        <w:rPr>
          <w:lang w:val="sl-SI"/>
        </w:rPr>
        <w:t xml:space="preserve"> </w:t>
      </w:r>
      <w:r w:rsidR="00463518">
        <w:rPr>
          <w:lang w:val="sl-SI"/>
        </w:rPr>
        <w:t>določe</w:t>
      </w:r>
      <w:r w:rsidR="00463518" w:rsidRPr="00275FBD">
        <w:rPr>
          <w:lang w:val="sl-SI"/>
        </w:rPr>
        <w:t xml:space="preserve">nih </w:t>
      </w:r>
      <w:r w:rsidRPr="00275FBD">
        <w:rPr>
          <w:lang w:val="sl-SI"/>
        </w:rPr>
        <w:t xml:space="preserve">18 varnostnih </w:t>
      </w:r>
      <w:r w:rsidR="00716249">
        <w:rPr>
          <w:lang w:val="sl-SI"/>
        </w:rPr>
        <w:t>vsebin</w:t>
      </w:r>
      <w:r w:rsidRPr="00275FBD">
        <w:rPr>
          <w:lang w:val="sl-SI"/>
        </w:rPr>
        <w:t xml:space="preserve">, ki ustrezajo zahtevam </w:t>
      </w:r>
      <w:r w:rsidR="00D458FD" w:rsidRPr="00275FBD">
        <w:rPr>
          <w:lang w:val="sl-SI"/>
        </w:rPr>
        <w:t>Pravilnika</w:t>
      </w:r>
      <w:r w:rsidRPr="00275FBD">
        <w:rPr>
          <w:lang w:val="sl-SI"/>
        </w:rPr>
        <w:t xml:space="preserve"> JV9 </w:t>
      </w:r>
      <w:r w:rsidR="00D458FD" w:rsidRPr="00275FBD">
        <w:rPr>
          <w:lang w:val="sl-SI"/>
        </w:rPr>
        <w:fldChar w:fldCharType="begin"/>
      </w:r>
      <w:r w:rsidR="00D458FD" w:rsidRPr="00275FBD">
        <w:rPr>
          <w:lang w:val="sl-SI"/>
        </w:rPr>
        <w:instrText xml:space="preserve"> REF _Ref129601022 \r \h </w:instrText>
      </w:r>
      <w:r w:rsidR="00D458FD" w:rsidRPr="00275FBD">
        <w:rPr>
          <w:lang w:val="sl-SI"/>
        </w:rPr>
      </w:r>
      <w:r w:rsidR="00D458FD" w:rsidRPr="00275FBD">
        <w:rPr>
          <w:lang w:val="sl-SI"/>
        </w:rPr>
        <w:fldChar w:fldCharType="separate"/>
      </w:r>
      <w:r w:rsidR="00BA25CD">
        <w:rPr>
          <w:lang w:val="sl-SI"/>
        </w:rPr>
        <w:t>[6]</w:t>
      </w:r>
      <w:r w:rsidR="00D458FD" w:rsidRPr="00275FBD">
        <w:rPr>
          <w:lang w:val="sl-SI"/>
        </w:rPr>
        <w:fldChar w:fldCharType="end"/>
      </w:r>
      <w:r w:rsidRPr="00275FBD">
        <w:rPr>
          <w:lang w:val="sl-SI"/>
        </w:rPr>
        <w:t xml:space="preserve"> in </w:t>
      </w:r>
      <w:r w:rsidR="00D458FD" w:rsidRPr="00275FBD">
        <w:rPr>
          <w:lang w:val="sl-SI"/>
        </w:rPr>
        <w:t>P</w:t>
      </w:r>
      <w:r w:rsidRPr="00275FBD">
        <w:rPr>
          <w:lang w:val="sl-SI"/>
        </w:rPr>
        <w:t xml:space="preserve">raktičnih </w:t>
      </w:r>
      <w:r w:rsidR="00D458FD" w:rsidRPr="00275FBD">
        <w:rPr>
          <w:lang w:val="sl-SI"/>
        </w:rPr>
        <w:t>smernic</w:t>
      </w:r>
      <w:r w:rsidRPr="00275FBD">
        <w:rPr>
          <w:lang w:val="sl-SI"/>
        </w:rPr>
        <w:t xml:space="preserve"> </w:t>
      </w:r>
      <w:r w:rsidR="00626553">
        <w:rPr>
          <w:lang w:val="sl-SI"/>
        </w:rPr>
        <w:t>PS 1.01</w:t>
      </w:r>
      <w:r w:rsidRPr="00275FBD">
        <w:rPr>
          <w:lang w:val="sl-SI"/>
        </w:rPr>
        <w:t xml:space="preserve"> </w:t>
      </w:r>
      <w:r w:rsidR="00D458FD" w:rsidRPr="00275FBD">
        <w:rPr>
          <w:lang w:val="sl-SI"/>
        </w:rPr>
        <w:fldChar w:fldCharType="begin"/>
      </w:r>
      <w:r w:rsidR="00D458FD" w:rsidRPr="00275FBD">
        <w:rPr>
          <w:lang w:val="sl-SI"/>
        </w:rPr>
        <w:instrText xml:space="preserve"> REF _Ref138229213 \r \h </w:instrText>
      </w:r>
      <w:r w:rsidR="00D458FD" w:rsidRPr="00275FBD">
        <w:rPr>
          <w:lang w:val="sl-SI"/>
        </w:rPr>
      </w:r>
      <w:r w:rsidR="00D458FD" w:rsidRPr="00275FBD">
        <w:rPr>
          <w:lang w:val="sl-SI"/>
        </w:rPr>
        <w:fldChar w:fldCharType="separate"/>
      </w:r>
      <w:r w:rsidR="00BA25CD">
        <w:rPr>
          <w:lang w:val="sl-SI"/>
        </w:rPr>
        <w:t>[7]</w:t>
      </w:r>
      <w:r w:rsidR="00D458FD" w:rsidRPr="00275FBD">
        <w:rPr>
          <w:lang w:val="sl-SI"/>
        </w:rPr>
        <w:fldChar w:fldCharType="end"/>
      </w:r>
      <w:r w:rsidRPr="00275FBD">
        <w:rPr>
          <w:lang w:val="sl-SI"/>
        </w:rPr>
        <w:t xml:space="preserve"> ter so v skladu z </w:t>
      </w:r>
      <w:r w:rsidR="00716249">
        <w:rPr>
          <w:lang w:val="sl-SI"/>
        </w:rPr>
        <w:t>referenčnimi nivoji</w:t>
      </w:r>
      <w:r w:rsidR="00716249" w:rsidRPr="00275FBD">
        <w:rPr>
          <w:lang w:val="sl-SI"/>
        </w:rPr>
        <w:t xml:space="preserve"> </w:t>
      </w:r>
      <w:r w:rsidRPr="00275FBD">
        <w:rPr>
          <w:lang w:val="sl-SI"/>
        </w:rPr>
        <w:t xml:space="preserve">WENRA </w:t>
      </w:r>
      <w:r w:rsidR="00D458FD" w:rsidRPr="00275FBD">
        <w:rPr>
          <w:lang w:val="sl-SI"/>
        </w:rPr>
        <w:fldChar w:fldCharType="begin"/>
      </w:r>
      <w:r w:rsidR="00D458FD" w:rsidRPr="00275FBD">
        <w:rPr>
          <w:lang w:val="sl-SI"/>
        </w:rPr>
        <w:instrText xml:space="preserve"> REF _Ref133226475 \r \h </w:instrText>
      </w:r>
      <w:r w:rsidR="00D458FD" w:rsidRPr="00275FBD">
        <w:rPr>
          <w:lang w:val="sl-SI"/>
        </w:rPr>
      </w:r>
      <w:r w:rsidR="00D458FD" w:rsidRPr="00275FBD">
        <w:rPr>
          <w:lang w:val="sl-SI"/>
        </w:rPr>
        <w:fldChar w:fldCharType="separate"/>
      </w:r>
      <w:r w:rsidR="00BA25CD">
        <w:rPr>
          <w:lang w:val="sl-SI"/>
        </w:rPr>
        <w:t>[11]</w:t>
      </w:r>
      <w:r w:rsidR="00D458FD" w:rsidRPr="00275FBD">
        <w:rPr>
          <w:lang w:val="sl-SI"/>
        </w:rPr>
        <w:fldChar w:fldCharType="end"/>
      </w:r>
      <w:r w:rsidRPr="00275FBD">
        <w:rPr>
          <w:lang w:val="sl-SI"/>
        </w:rPr>
        <w:t>.</w:t>
      </w:r>
    </w:p>
    <w:p w14:paraId="39DC5478" w14:textId="1D90F12B" w:rsidR="00D458FD" w:rsidRPr="00275FBD" w:rsidRDefault="00D458FD" w:rsidP="00D458FD">
      <w:pPr>
        <w:rPr>
          <w:lang w:val="sl-SI"/>
        </w:rPr>
      </w:pPr>
      <w:r w:rsidRPr="00275FBD">
        <w:rPr>
          <w:lang w:val="sl-SI"/>
        </w:rPr>
        <w:t xml:space="preserve">Metodološki pristopi, uporabljeni pri izvedbi NEK PSR3, so bili opredeljeni v Programu NEK </w:t>
      </w:r>
      <w:r w:rsidR="00CD5AD8" w:rsidRPr="00275FBD">
        <w:rPr>
          <w:lang w:val="sl-SI"/>
        </w:rPr>
        <w:t>PSR3</w:t>
      </w:r>
      <w:r w:rsidRPr="00275FBD">
        <w:rPr>
          <w:lang w:val="sl-SI"/>
        </w:rPr>
        <w:t xml:space="preserve">, skladno z metodologijo, podano v </w:t>
      </w:r>
      <w:r w:rsidR="00463518">
        <w:rPr>
          <w:lang w:val="sl-SI"/>
        </w:rPr>
        <w:t>smernici</w:t>
      </w:r>
      <w:r w:rsidR="00463518" w:rsidRPr="00275FBD">
        <w:rPr>
          <w:lang w:val="sl-SI"/>
        </w:rPr>
        <w:t xml:space="preserve"> </w:t>
      </w:r>
      <w:r w:rsidRPr="00275FBD">
        <w:rPr>
          <w:lang w:val="sl-SI"/>
        </w:rPr>
        <w:t>IAEA SSG-25.</w:t>
      </w:r>
    </w:p>
    <w:p w14:paraId="54A15FCD" w14:textId="6290E77F" w:rsidR="00D458FD" w:rsidRPr="00275FBD" w:rsidRDefault="00D458FD" w:rsidP="00D458FD">
      <w:pPr>
        <w:rPr>
          <w:lang w:val="sl-SI"/>
        </w:rPr>
      </w:pPr>
      <w:r w:rsidRPr="00275FBD">
        <w:rPr>
          <w:lang w:val="sl-SI"/>
        </w:rPr>
        <w:t>Aktivnosti pri NEK PSR3 so bile razdeljene v dve osnovni fazi:</w:t>
      </w:r>
    </w:p>
    <w:p w14:paraId="4DE51E01" w14:textId="5C80C7D3" w:rsidR="00D458FD" w:rsidRPr="00275FBD" w:rsidRDefault="00D458FD" w:rsidP="00D458FD">
      <w:pPr>
        <w:numPr>
          <w:ilvl w:val="0"/>
          <w:numId w:val="25"/>
        </w:numPr>
        <w:rPr>
          <w:lang w:val="sl-SI"/>
        </w:rPr>
      </w:pPr>
      <w:r w:rsidRPr="00275FBD">
        <w:rPr>
          <w:lang w:val="sl-SI"/>
        </w:rPr>
        <w:t xml:space="preserve">faza pregleda varnostnih </w:t>
      </w:r>
      <w:r w:rsidR="00486000">
        <w:rPr>
          <w:lang w:val="sl-SI"/>
        </w:rPr>
        <w:t>vsebin</w:t>
      </w:r>
      <w:r w:rsidRPr="00275FBD">
        <w:rPr>
          <w:lang w:val="sl-SI"/>
        </w:rPr>
        <w:t>;</w:t>
      </w:r>
    </w:p>
    <w:p w14:paraId="69BCE0BB" w14:textId="43C7CBCC" w:rsidR="00D458FD" w:rsidRPr="00275FBD" w:rsidRDefault="00D458FD" w:rsidP="00D458FD">
      <w:pPr>
        <w:numPr>
          <w:ilvl w:val="0"/>
          <w:numId w:val="25"/>
        </w:numPr>
        <w:rPr>
          <w:lang w:val="sl-SI"/>
        </w:rPr>
      </w:pPr>
      <w:r w:rsidRPr="00275FBD">
        <w:rPr>
          <w:lang w:val="sl-SI"/>
        </w:rPr>
        <w:t xml:space="preserve">faza razvrščanja / </w:t>
      </w:r>
      <w:r w:rsidR="00626553">
        <w:rPr>
          <w:lang w:val="sl-SI"/>
        </w:rPr>
        <w:t xml:space="preserve">določanja </w:t>
      </w:r>
      <w:r w:rsidRPr="00275FBD">
        <w:rPr>
          <w:lang w:val="sl-SI"/>
        </w:rPr>
        <w:t xml:space="preserve">prioritet, </w:t>
      </w:r>
      <w:r w:rsidR="00626553">
        <w:rPr>
          <w:lang w:val="sl-SI"/>
        </w:rPr>
        <w:t>priprava</w:t>
      </w:r>
      <w:r w:rsidR="00626553" w:rsidRPr="00275FBD">
        <w:rPr>
          <w:lang w:val="sl-SI"/>
        </w:rPr>
        <w:t xml:space="preserve"> </w:t>
      </w:r>
      <w:r w:rsidRPr="00275FBD">
        <w:rPr>
          <w:lang w:val="sl-SI"/>
        </w:rPr>
        <w:t xml:space="preserve">načrta </w:t>
      </w:r>
      <w:r w:rsidR="007C67D8" w:rsidRPr="00275FBD">
        <w:rPr>
          <w:lang w:val="sl-SI"/>
        </w:rPr>
        <w:t xml:space="preserve">izvedbe </w:t>
      </w:r>
      <w:r w:rsidRPr="00275FBD">
        <w:rPr>
          <w:lang w:val="sl-SI"/>
        </w:rPr>
        <w:t>ukrepov in celovita ocena</w:t>
      </w:r>
      <w:r w:rsidR="00626553">
        <w:rPr>
          <w:lang w:val="sl-SI"/>
        </w:rPr>
        <w:t xml:space="preserve"> varnosti</w:t>
      </w:r>
      <w:r w:rsidRPr="00275FBD">
        <w:rPr>
          <w:lang w:val="sl-SI"/>
        </w:rPr>
        <w:t>.</w:t>
      </w:r>
    </w:p>
    <w:p w14:paraId="0E065402" w14:textId="6D20FD04" w:rsidR="00D458FD" w:rsidRPr="00275FBD" w:rsidRDefault="00D458FD" w:rsidP="00D458FD">
      <w:pPr>
        <w:rPr>
          <w:lang w:val="sl-SI"/>
        </w:rPr>
      </w:pPr>
      <w:r w:rsidRPr="00275FBD">
        <w:rPr>
          <w:lang w:val="sl-SI"/>
        </w:rPr>
        <w:t xml:space="preserve">V fazi pregleda je bila ocena vsake od varnostnih </w:t>
      </w:r>
      <w:r w:rsidR="00486000">
        <w:rPr>
          <w:lang w:val="sl-SI"/>
        </w:rPr>
        <w:t>vsebin</w:t>
      </w:r>
      <w:r w:rsidR="00626553">
        <w:rPr>
          <w:lang w:val="sl-SI"/>
        </w:rPr>
        <w:t xml:space="preserve"> </w:t>
      </w:r>
      <w:r w:rsidRPr="00275FBD">
        <w:rPr>
          <w:lang w:val="sl-SI"/>
        </w:rPr>
        <w:t>osredotočena na iskanje razlik v:</w:t>
      </w:r>
    </w:p>
    <w:p w14:paraId="23D17DB0" w14:textId="3CB6643B" w:rsidR="00D458FD" w:rsidRPr="00275FBD" w:rsidRDefault="00D458FD" w:rsidP="00D458FD">
      <w:pPr>
        <w:numPr>
          <w:ilvl w:val="0"/>
          <w:numId w:val="25"/>
        </w:numPr>
        <w:rPr>
          <w:lang w:val="sl-SI"/>
        </w:rPr>
      </w:pPr>
      <w:r w:rsidRPr="00275FBD">
        <w:rPr>
          <w:lang w:val="sl-SI"/>
        </w:rPr>
        <w:t>pregledanih elementih, opredeljenih z IAEA SSG-25, v primerjavi s prejšnjimi definicijami, oziroma</w:t>
      </w:r>
    </w:p>
    <w:p w14:paraId="36CF7BD1" w14:textId="1ACB2EA5" w:rsidR="00D458FD" w:rsidRPr="00275FBD" w:rsidRDefault="001A4560" w:rsidP="00D458FD">
      <w:pPr>
        <w:numPr>
          <w:ilvl w:val="0"/>
          <w:numId w:val="25"/>
        </w:numPr>
        <w:rPr>
          <w:lang w:val="sl-SI"/>
        </w:rPr>
      </w:pPr>
      <w:r w:rsidRPr="00275FBD">
        <w:rPr>
          <w:lang w:val="sl-SI"/>
        </w:rPr>
        <w:t>s</w:t>
      </w:r>
      <w:r w:rsidR="00D458FD" w:rsidRPr="00275FBD">
        <w:rPr>
          <w:lang w:val="sl-SI"/>
        </w:rPr>
        <w:t>odobni</w:t>
      </w:r>
      <w:r w:rsidRPr="00275FBD">
        <w:rPr>
          <w:lang w:val="sl-SI"/>
        </w:rPr>
        <w:t>h</w:t>
      </w:r>
      <w:r w:rsidR="00D458FD" w:rsidRPr="00275FBD">
        <w:rPr>
          <w:lang w:val="sl-SI"/>
        </w:rPr>
        <w:t xml:space="preserve"> standardi</w:t>
      </w:r>
      <w:r w:rsidRPr="00275FBD">
        <w:rPr>
          <w:lang w:val="sl-SI"/>
        </w:rPr>
        <w:t>h</w:t>
      </w:r>
      <w:r w:rsidR="00D458FD" w:rsidRPr="00275FBD">
        <w:rPr>
          <w:lang w:val="sl-SI"/>
        </w:rPr>
        <w:t xml:space="preserve"> / normativi</w:t>
      </w:r>
      <w:r w:rsidRPr="00275FBD">
        <w:rPr>
          <w:lang w:val="sl-SI"/>
        </w:rPr>
        <w:t>h</w:t>
      </w:r>
      <w:r w:rsidR="00D458FD" w:rsidRPr="00275FBD">
        <w:rPr>
          <w:lang w:val="sl-SI"/>
        </w:rPr>
        <w:t xml:space="preserve"> / zahtev</w:t>
      </w:r>
      <w:r w:rsidRPr="00275FBD">
        <w:rPr>
          <w:lang w:val="sl-SI"/>
        </w:rPr>
        <w:t>ah</w:t>
      </w:r>
      <w:r w:rsidR="00D458FD" w:rsidRPr="00275FBD">
        <w:rPr>
          <w:lang w:val="sl-SI"/>
        </w:rPr>
        <w:t xml:space="preserve"> v primerjavi </w:t>
      </w:r>
      <w:r w:rsidR="00626553">
        <w:rPr>
          <w:lang w:val="sl-SI"/>
        </w:rPr>
        <w:t>s tistimi,</w:t>
      </w:r>
      <w:r w:rsidR="00626553" w:rsidRPr="00275FBD">
        <w:rPr>
          <w:lang w:val="sl-SI"/>
        </w:rPr>
        <w:t xml:space="preserve"> </w:t>
      </w:r>
      <w:r w:rsidR="00626553">
        <w:rPr>
          <w:lang w:val="sl-SI"/>
        </w:rPr>
        <w:t>uporablje</w:t>
      </w:r>
      <w:r w:rsidR="00626553" w:rsidRPr="00275FBD">
        <w:rPr>
          <w:lang w:val="sl-SI"/>
        </w:rPr>
        <w:t xml:space="preserve">nimi </w:t>
      </w:r>
      <w:r w:rsidR="00626553">
        <w:rPr>
          <w:lang w:val="sl-SI"/>
        </w:rPr>
        <w:t xml:space="preserve">v </w:t>
      </w:r>
      <w:r w:rsidR="00D458FD" w:rsidRPr="00275FBD">
        <w:rPr>
          <w:lang w:val="sl-SI"/>
        </w:rPr>
        <w:t>PSR</w:t>
      </w:r>
      <w:r w:rsidRPr="00275FBD">
        <w:rPr>
          <w:lang w:val="sl-SI"/>
        </w:rPr>
        <w:t>2,</w:t>
      </w:r>
      <w:r w:rsidR="00D458FD" w:rsidRPr="00275FBD">
        <w:rPr>
          <w:lang w:val="sl-SI"/>
        </w:rPr>
        <w:t xml:space="preserve"> oz</w:t>
      </w:r>
      <w:r w:rsidRPr="00275FBD">
        <w:rPr>
          <w:lang w:val="sl-SI"/>
        </w:rPr>
        <w:t>iroma</w:t>
      </w:r>
    </w:p>
    <w:p w14:paraId="50CDC137" w14:textId="7EF5FDA2" w:rsidR="00D458FD" w:rsidRPr="00275FBD" w:rsidRDefault="001A4560" w:rsidP="00D458FD">
      <w:pPr>
        <w:numPr>
          <w:ilvl w:val="0"/>
          <w:numId w:val="25"/>
        </w:numPr>
        <w:rPr>
          <w:lang w:val="sl-SI"/>
        </w:rPr>
      </w:pPr>
      <w:r w:rsidRPr="00275FBD">
        <w:rPr>
          <w:lang w:val="sl-SI"/>
        </w:rPr>
        <w:t>p</w:t>
      </w:r>
      <w:r w:rsidR="00D458FD" w:rsidRPr="00275FBD">
        <w:rPr>
          <w:lang w:val="sl-SI"/>
        </w:rPr>
        <w:t>rocesi</w:t>
      </w:r>
      <w:r w:rsidRPr="00275FBD">
        <w:rPr>
          <w:lang w:val="sl-SI"/>
        </w:rPr>
        <w:t>h</w:t>
      </w:r>
      <w:r w:rsidR="00D458FD" w:rsidRPr="00275FBD">
        <w:rPr>
          <w:lang w:val="sl-SI"/>
        </w:rPr>
        <w:t xml:space="preserve"> / programi</w:t>
      </w:r>
      <w:r w:rsidRPr="00275FBD">
        <w:rPr>
          <w:lang w:val="sl-SI"/>
        </w:rPr>
        <w:t>h</w:t>
      </w:r>
      <w:r w:rsidR="00D458FD" w:rsidRPr="00275FBD">
        <w:rPr>
          <w:lang w:val="sl-SI"/>
        </w:rPr>
        <w:t xml:space="preserve"> / postopki</w:t>
      </w:r>
      <w:r w:rsidRPr="00275FBD">
        <w:rPr>
          <w:lang w:val="sl-SI"/>
        </w:rPr>
        <w:t>h</w:t>
      </w:r>
      <w:r w:rsidR="00D458FD" w:rsidRPr="00275FBD">
        <w:rPr>
          <w:lang w:val="sl-SI"/>
        </w:rPr>
        <w:t xml:space="preserve"> / </w:t>
      </w:r>
      <w:r w:rsidRPr="00275FBD">
        <w:rPr>
          <w:lang w:val="sl-SI"/>
        </w:rPr>
        <w:t xml:space="preserve">sistemih, strukturah in opremi </w:t>
      </w:r>
      <w:r w:rsidR="00D458FD" w:rsidRPr="00275FBD">
        <w:rPr>
          <w:lang w:val="sl-SI"/>
        </w:rPr>
        <w:t xml:space="preserve">v </w:t>
      </w:r>
      <w:r w:rsidRPr="00275FBD">
        <w:rPr>
          <w:lang w:val="sl-SI"/>
        </w:rPr>
        <w:t>elektrarni</w:t>
      </w:r>
      <w:r w:rsidR="00D458FD" w:rsidRPr="00275FBD">
        <w:rPr>
          <w:lang w:val="sl-SI"/>
        </w:rPr>
        <w:t xml:space="preserve">, kot so </w:t>
      </w:r>
      <w:r w:rsidRPr="00275FBD">
        <w:rPr>
          <w:lang w:val="sl-SI"/>
        </w:rPr>
        <w:t xml:space="preserve">bili </w:t>
      </w:r>
      <w:r w:rsidR="00D458FD" w:rsidRPr="00275FBD">
        <w:rPr>
          <w:lang w:val="sl-SI"/>
        </w:rPr>
        <w:t xml:space="preserve">ocenjeni in ovrednoteni v </w:t>
      </w:r>
      <w:r w:rsidRPr="00275FBD">
        <w:rPr>
          <w:lang w:val="sl-SI"/>
        </w:rPr>
        <w:t>PSR2</w:t>
      </w:r>
      <w:r w:rsidR="00D458FD" w:rsidRPr="00275FBD">
        <w:rPr>
          <w:lang w:val="sl-SI"/>
        </w:rPr>
        <w:t>.</w:t>
      </w:r>
    </w:p>
    <w:p w14:paraId="09B7C241" w14:textId="6334670C" w:rsidR="00D458FD" w:rsidRPr="00275FBD" w:rsidRDefault="00D458FD" w:rsidP="00D458FD">
      <w:pPr>
        <w:rPr>
          <w:lang w:val="sl-SI"/>
        </w:rPr>
      </w:pPr>
      <w:r w:rsidRPr="00275FBD">
        <w:rPr>
          <w:lang w:val="sl-SI"/>
        </w:rPr>
        <w:t xml:space="preserve">Rezultat </w:t>
      </w:r>
      <w:r w:rsidR="00626553">
        <w:rPr>
          <w:lang w:val="sl-SI"/>
        </w:rPr>
        <w:t xml:space="preserve">izvedbe </w:t>
      </w:r>
      <w:r w:rsidRPr="00275FBD">
        <w:rPr>
          <w:lang w:val="sl-SI"/>
        </w:rPr>
        <w:t xml:space="preserve">te </w:t>
      </w:r>
      <w:r w:rsidR="00626553">
        <w:rPr>
          <w:lang w:val="sl-SI"/>
        </w:rPr>
        <w:t>faze</w:t>
      </w:r>
      <w:r w:rsidR="00626553" w:rsidRPr="00275FBD">
        <w:rPr>
          <w:lang w:val="sl-SI"/>
        </w:rPr>
        <w:t xml:space="preserve"> </w:t>
      </w:r>
      <w:r w:rsidRPr="00275FBD">
        <w:rPr>
          <w:lang w:val="sl-SI"/>
        </w:rPr>
        <w:t xml:space="preserve">je bil seznam varnostnih </w:t>
      </w:r>
      <w:r w:rsidR="00BD5705" w:rsidRPr="00275FBD">
        <w:rPr>
          <w:lang w:val="sl-SI"/>
        </w:rPr>
        <w:t>najdb</w:t>
      </w:r>
      <w:r w:rsidRPr="00275FBD">
        <w:rPr>
          <w:lang w:val="sl-SI"/>
        </w:rPr>
        <w:t xml:space="preserve"> za vsak</w:t>
      </w:r>
      <w:r w:rsidR="00486000">
        <w:rPr>
          <w:lang w:val="sl-SI"/>
        </w:rPr>
        <w:t>o</w:t>
      </w:r>
      <w:r w:rsidRPr="00275FBD">
        <w:rPr>
          <w:lang w:val="sl-SI"/>
        </w:rPr>
        <w:t xml:space="preserve"> </w:t>
      </w:r>
      <w:r w:rsidR="00486000" w:rsidRPr="00275FBD">
        <w:rPr>
          <w:lang w:val="sl-SI"/>
        </w:rPr>
        <w:t>varnostn</w:t>
      </w:r>
      <w:r w:rsidR="00486000">
        <w:rPr>
          <w:lang w:val="sl-SI"/>
        </w:rPr>
        <w:t>o</w:t>
      </w:r>
      <w:r w:rsidR="00486000" w:rsidRPr="00275FBD">
        <w:rPr>
          <w:lang w:val="sl-SI"/>
        </w:rPr>
        <w:t xml:space="preserve"> </w:t>
      </w:r>
      <w:r w:rsidR="00486000">
        <w:rPr>
          <w:lang w:val="sl-SI"/>
        </w:rPr>
        <w:t>vsebino</w:t>
      </w:r>
      <w:r w:rsidRPr="00275FBD">
        <w:rPr>
          <w:lang w:val="sl-SI"/>
        </w:rPr>
        <w:t>.</w:t>
      </w:r>
    </w:p>
    <w:p w14:paraId="00281C3A" w14:textId="16E1F637" w:rsidR="001A4560" w:rsidRPr="00275FBD" w:rsidRDefault="001A4560" w:rsidP="006F1D82">
      <w:pPr>
        <w:rPr>
          <w:lang w:val="sl-SI"/>
        </w:rPr>
      </w:pPr>
      <w:r w:rsidRPr="00275FBD">
        <w:rPr>
          <w:lang w:val="sl-SI"/>
        </w:rPr>
        <w:t xml:space="preserve">V skladu </w:t>
      </w:r>
      <w:r w:rsidR="00626553">
        <w:rPr>
          <w:lang w:val="sl-SI"/>
        </w:rPr>
        <w:t>s</w:t>
      </w:r>
      <w:r w:rsidRPr="00275FBD">
        <w:rPr>
          <w:lang w:val="sl-SI"/>
        </w:rPr>
        <w:t xml:space="preserve"> </w:t>
      </w:r>
      <w:r w:rsidR="00626553">
        <w:rPr>
          <w:lang w:val="sl-SI"/>
        </w:rPr>
        <w:t>p</w:t>
      </w:r>
      <w:r w:rsidR="00626553" w:rsidRPr="00275FBD">
        <w:rPr>
          <w:lang w:val="sl-SI"/>
        </w:rPr>
        <w:t xml:space="preserve">rogramom </w:t>
      </w:r>
      <w:r w:rsidRPr="00275FBD">
        <w:rPr>
          <w:lang w:val="sl-SI"/>
        </w:rPr>
        <w:t xml:space="preserve">NEK PSR3 je bil celoten proces </w:t>
      </w:r>
      <w:r w:rsidR="00626553" w:rsidRPr="00275FBD">
        <w:rPr>
          <w:lang w:val="sl-SI"/>
        </w:rPr>
        <w:t>ra</w:t>
      </w:r>
      <w:r w:rsidR="00626553">
        <w:rPr>
          <w:lang w:val="sl-SI"/>
        </w:rPr>
        <w:t>zvršč</w:t>
      </w:r>
      <w:r w:rsidR="00626553" w:rsidRPr="00275FBD">
        <w:rPr>
          <w:lang w:val="sl-SI"/>
        </w:rPr>
        <w:t xml:space="preserve">anja </w:t>
      </w:r>
      <w:r w:rsidR="00BD5705" w:rsidRPr="00275FBD">
        <w:rPr>
          <w:lang w:val="sl-SI"/>
        </w:rPr>
        <w:t>najdb</w:t>
      </w:r>
      <w:r w:rsidRPr="00275FBD">
        <w:rPr>
          <w:lang w:val="sl-SI"/>
        </w:rPr>
        <w:t xml:space="preserve"> PSR3 razdeljen na dve </w:t>
      </w:r>
      <w:r w:rsidR="00626553" w:rsidRPr="00275FBD">
        <w:rPr>
          <w:lang w:val="sl-SI"/>
        </w:rPr>
        <w:t>ve</w:t>
      </w:r>
      <w:r w:rsidR="00626553">
        <w:rPr>
          <w:lang w:val="sl-SI"/>
        </w:rPr>
        <w:t>čj</w:t>
      </w:r>
      <w:r w:rsidR="00626553" w:rsidRPr="00275FBD">
        <w:rPr>
          <w:lang w:val="sl-SI"/>
        </w:rPr>
        <w:t xml:space="preserve">i </w:t>
      </w:r>
      <w:r w:rsidRPr="00275FBD">
        <w:rPr>
          <w:lang w:val="sl-SI"/>
        </w:rPr>
        <w:t xml:space="preserve">fazi: 1) </w:t>
      </w:r>
      <w:r w:rsidR="009A2367">
        <w:rPr>
          <w:lang w:val="sl-SI"/>
        </w:rPr>
        <w:t>š</w:t>
      </w:r>
      <w:r w:rsidR="009A2367" w:rsidRPr="00275FBD">
        <w:rPr>
          <w:lang w:val="sl-SI"/>
        </w:rPr>
        <w:t xml:space="preserve">iroko </w:t>
      </w:r>
      <w:r w:rsidRPr="00275FBD">
        <w:rPr>
          <w:lang w:val="sl-SI"/>
        </w:rPr>
        <w:t>razvrstitev – predhodno in končno; in 2) podrobno razvrstitev.</w:t>
      </w:r>
    </w:p>
    <w:p w14:paraId="75E0100E" w14:textId="5268AD90" w:rsidR="001A4560" w:rsidRPr="00275FBD" w:rsidRDefault="001A4560" w:rsidP="001A4560">
      <w:pPr>
        <w:rPr>
          <w:rFonts w:cs="TimesNewRomanPSMT"/>
          <w:szCs w:val="20"/>
          <w:lang w:val="sl-SI" w:eastAsia="en-GB"/>
        </w:rPr>
      </w:pPr>
      <w:r w:rsidRPr="00275FBD">
        <w:rPr>
          <w:rFonts w:cs="TimesNewRomanPSMT"/>
          <w:szCs w:val="20"/>
          <w:lang w:val="sl-SI" w:eastAsia="en-GB"/>
        </w:rPr>
        <w:t xml:space="preserve">Stanje varnosti elektrarne v času PSR3 je bilo ocenjeno tako glede </w:t>
      </w:r>
      <w:r w:rsidR="00896F72" w:rsidRPr="00275FBD">
        <w:rPr>
          <w:rFonts w:cs="TimesNewRomanPSMT"/>
          <w:szCs w:val="20"/>
          <w:lang w:val="sl-SI" w:eastAsia="en-GB"/>
        </w:rPr>
        <w:t>obrambe v globino</w:t>
      </w:r>
      <w:r w:rsidRPr="00275FBD">
        <w:rPr>
          <w:rFonts w:cs="TimesNewRomanPSMT"/>
          <w:szCs w:val="20"/>
          <w:lang w:val="sl-SI" w:eastAsia="en-GB"/>
        </w:rPr>
        <w:t xml:space="preserve"> kot tudi glede tveganja. Pri obeh je bilo ugotovljeno, da je elektrarna na splošno v skladu s sodobnimi standardi, </w:t>
      </w:r>
      <w:r w:rsidR="0023743C">
        <w:rPr>
          <w:rFonts w:cs="TimesNewRomanPSMT"/>
          <w:szCs w:val="20"/>
          <w:lang w:val="sl-SI" w:eastAsia="en-GB"/>
        </w:rPr>
        <w:t xml:space="preserve">tako </w:t>
      </w:r>
      <w:r w:rsidRPr="00275FBD">
        <w:rPr>
          <w:rFonts w:cs="TimesNewRomanPSMT"/>
          <w:szCs w:val="20"/>
          <w:lang w:val="sl-SI" w:eastAsia="en-GB"/>
        </w:rPr>
        <w:t xml:space="preserve">kot so </w:t>
      </w:r>
      <w:r w:rsidR="00576961">
        <w:rPr>
          <w:rFonts w:cs="TimesNewRomanPSMT"/>
          <w:szCs w:val="20"/>
          <w:lang w:val="sl-SI" w:eastAsia="en-GB"/>
        </w:rPr>
        <w:t>določe</w:t>
      </w:r>
      <w:r w:rsidR="00576961" w:rsidRPr="00275FBD">
        <w:rPr>
          <w:rFonts w:cs="TimesNewRomanPSMT"/>
          <w:szCs w:val="20"/>
          <w:lang w:val="sl-SI" w:eastAsia="en-GB"/>
        </w:rPr>
        <w:t xml:space="preserve">ni </w:t>
      </w:r>
      <w:r w:rsidRPr="00275FBD">
        <w:rPr>
          <w:rFonts w:cs="TimesNewRomanPSMT"/>
          <w:szCs w:val="20"/>
          <w:lang w:val="sl-SI" w:eastAsia="en-GB"/>
        </w:rPr>
        <w:t xml:space="preserve">za namen </w:t>
      </w:r>
      <w:r w:rsidR="0023743C">
        <w:rPr>
          <w:rFonts w:cs="TimesNewRomanPSMT"/>
          <w:szCs w:val="20"/>
          <w:lang w:val="sl-SI" w:eastAsia="en-GB"/>
        </w:rPr>
        <w:t>pregleda v</w:t>
      </w:r>
      <w:r w:rsidR="0023743C" w:rsidRPr="00275FBD">
        <w:rPr>
          <w:rFonts w:cs="TimesNewRomanPSMT"/>
          <w:szCs w:val="20"/>
          <w:lang w:val="sl-SI" w:eastAsia="en-GB"/>
        </w:rPr>
        <w:t xml:space="preserve"> </w:t>
      </w:r>
      <w:r w:rsidRPr="00275FBD">
        <w:rPr>
          <w:rFonts w:cs="TimesNewRomanPSMT"/>
          <w:szCs w:val="20"/>
          <w:lang w:val="sl-SI" w:eastAsia="en-GB"/>
        </w:rPr>
        <w:t>PSR3. Glede na rezultate PSR2 je mogoče opaziti precejšnje izboljšave v obeh vidikih na račun varnostnih nadgradenj in izboljšav elektrarne.</w:t>
      </w:r>
    </w:p>
    <w:p w14:paraId="2FD4EC36" w14:textId="258AA95C" w:rsidR="001A4560" w:rsidRPr="00275FBD" w:rsidRDefault="001A4560" w:rsidP="001A4560">
      <w:pPr>
        <w:rPr>
          <w:rFonts w:cs="TimesNewRomanPSMT"/>
          <w:szCs w:val="20"/>
          <w:lang w:val="sl-SI" w:eastAsia="en-GB"/>
        </w:rPr>
      </w:pPr>
      <w:r w:rsidRPr="00275FBD">
        <w:rPr>
          <w:rFonts w:cs="TimesNewRomanPSMT"/>
          <w:szCs w:val="20"/>
          <w:lang w:val="sl-SI" w:eastAsia="en-GB"/>
        </w:rPr>
        <w:lastRenderedPageBreak/>
        <w:t xml:space="preserve">Faza pregleda PSR3 ni odkrila nobene </w:t>
      </w:r>
      <w:r w:rsidR="00BD5705" w:rsidRPr="00275FBD">
        <w:rPr>
          <w:rFonts w:cs="TimesNewRomanPSMT"/>
          <w:szCs w:val="20"/>
          <w:lang w:val="sl-SI" w:eastAsia="en-GB"/>
        </w:rPr>
        <w:t>najdbe</w:t>
      </w:r>
      <w:r w:rsidRPr="00275FBD">
        <w:rPr>
          <w:rFonts w:cs="TimesNewRomanPSMT"/>
          <w:szCs w:val="20"/>
          <w:lang w:val="sl-SI" w:eastAsia="en-GB"/>
        </w:rPr>
        <w:t xml:space="preserve"> z visokim tveganjem ali z nesprejemljivim poslabšanjem obrambe</w:t>
      </w:r>
      <w:r w:rsidR="004832AC" w:rsidRPr="004832AC">
        <w:rPr>
          <w:rFonts w:cs="TimesNewRomanPSMT"/>
          <w:szCs w:val="20"/>
          <w:lang w:val="sl-SI" w:eastAsia="en-GB"/>
        </w:rPr>
        <w:t xml:space="preserve"> v globino</w:t>
      </w:r>
      <w:r w:rsidRPr="00275FBD">
        <w:rPr>
          <w:rFonts w:cs="TimesNewRomanPSMT"/>
          <w:szCs w:val="20"/>
          <w:lang w:val="sl-SI" w:eastAsia="en-GB"/>
        </w:rPr>
        <w:t>.</w:t>
      </w:r>
    </w:p>
    <w:p w14:paraId="1676A8AA" w14:textId="45C3E9B4" w:rsidR="001A4560" w:rsidRPr="00275FBD" w:rsidRDefault="001A4560" w:rsidP="001A4560">
      <w:pPr>
        <w:rPr>
          <w:rFonts w:cs="TimesNewRomanPSMT"/>
          <w:szCs w:val="20"/>
          <w:lang w:val="sl-SI" w:eastAsia="en-GB"/>
        </w:rPr>
      </w:pPr>
      <w:r w:rsidRPr="00275FBD">
        <w:rPr>
          <w:rFonts w:cs="TimesNewRomanPSMT"/>
          <w:szCs w:val="20"/>
          <w:lang w:val="sl-SI" w:eastAsia="en-GB"/>
        </w:rPr>
        <w:t>Ugotovljen</w:t>
      </w:r>
      <w:r w:rsidR="00BD5705" w:rsidRPr="00275FBD">
        <w:rPr>
          <w:rFonts w:cs="TimesNewRomanPSMT"/>
          <w:szCs w:val="20"/>
          <w:lang w:val="sl-SI" w:eastAsia="en-GB"/>
        </w:rPr>
        <w:t>e</w:t>
      </w:r>
      <w:r w:rsidRPr="00275FBD">
        <w:rPr>
          <w:rFonts w:cs="TimesNewRomanPSMT"/>
          <w:szCs w:val="20"/>
          <w:lang w:val="sl-SI" w:eastAsia="en-GB"/>
        </w:rPr>
        <w:t xml:space="preserve"> so bil</w:t>
      </w:r>
      <w:r w:rsidR="00BD5705" w:rsidRPr="00275FBD">
        <w:rPr>
          <w:rFonts w:cs="TimesNewRomanPSMT"/>
          <w:szCs w:val="20"/>
          <w:lang w:val="sl-SI" w:eastAsia="en-GB"/>
        </w:rPr>
        <w:t>e</w:t>
      </w:r>
      <w:r w:rsidRPr="00275FBD">
        <w:rPr>
          <w:rFonts w:cs="TimesNewRomanPSMT"/>
          <w:szCs w:val="20"/>
          <w:lang w:val="sl-SI" w:eastAsia="en-GB"/>
        </w:rPr>
        <w:t xml:space="preserve"> tri </w:t>
      </w:r>
      <w:r w:rsidR="00BD5705" w:rsidRPr="00275FBD">
        <w:rPr>
          <w:rFonts w:cs="TimesNewRomanPSMT"/>
          <w:szCs w:val="20"/>
          <w:lang w:val="sl-SI" w:eastAsia="en-GB"/>
        </w:rPr>
        <w:t>najdbe</w:t>
      </w:r>
      <w:r w:rsidRPr="00275FBD">
        <w:rPr>
          <w:rFonts w:cs="TimesNewRomanPSMT"/>
          <w:szCs w:val="20"/>
          <w:lang w:val="sl-SI" w:eastAsia="en-GB"/>
        </w:rPr>
        <w:t xml:space="preserve"> s potencialnim vplivom na varnost, ki </w:t>
      </w:r>
      <w:r w:rsidR="0023743C">
        <w:rPr>
          <w:rFonts w:cs="TimesNewRomanPSMT"/>
          <w:szCs w:val="20"/>
          <w:lang w:val="sl-SI" w:eastAsia="en-GB"/>
        </w:rPr>
        <w:t>so dopustne le za</w:t>
      </w:r>
      <w:r w:rsidR="00495667" w:rsidRPr="0023743C">
        <w:rPr>
          <w:rFonts w:cs="TimesNewRomanPSMT"/>
          <w:szCs w:val="20"/>
          <w:lang w:val="sl-SI" w:eastAsia="en-GB"/>
        </w:rPr>
        <w:t xml:space="preserve"> </w:t>
      </w:r>
      <w:r w:rsidRPr="0023743C">
        <w:rPr>
          <w:rFonts w:cs="TimesNewRomanPSMT"/>
          <w:szCs w:val="20"/>
          <w:lang w:val="sl-SI" w:eastAsia="en-GB"/>
        </w:rPr>
        <w:t xml:space="preserve">omejen čas. </w:t>
      </w:r>
      <w:r w:rsidR="0023743C">
        <w:rPr>
          <w:rFonts w:cs="TimesNewRomanPSMT"/>
          <w:szCs w:val="20"/>
          <w:lang w:val="sl-SI" w:eastAsia="en-GB"/>
        </w:rPr>
        <w:t>Določenih</w:t>
      </w:r>
      <w:r w:rsidR="0023743C" w:rsidRPr="0023743C">
        <w:rPr>
          <w:rFonts w:cs="TimesNewRomanPSMT"/>
          <w:szCs w:val="20"/>
          <w:lang w:val="sl-SI" w:eastAsia="en-GB"/>
        </w:rPr>
        <w:t xml:space="preserve"> </w:t>
      </w:r>
      <w:r w:rsidRPr="0023743C">
        <w:rPr>
          <w:rFonts w:cs="TimesNewRomanPSMT"/>
          <w:szCs w:val="20"/>
          <w:lang w:val="sl-SI" w:eastAsia="en-GB"/>
        </w:rPr>
        <w:t xml:space="preserve">je bilo 30 </w:t>
      </w:r>
      <w:r w:rsidR="00BD5705" w:rsidRPr="0023743C">
        <w:rPr>
          <w:rFonts w:cs="TimesNewRomanPSMT"/>
          <w:szCs w:val="20"/>
          <w:lang w:val="sl-SI" w:eastAsia="en-GB"/>
        </w:rPr>
        <w:t>najdb</w:t>
      </w:r>
      <w:r w:rsidR="0023743C">
        <w:rPr>
          <w:rFonts w:cs="TimesNewRomanPSMT"/>
          <w:szCs w:val="20"/>
          <w:lang w:val="sl-SI" w:eastAsia="en-GB"/>
        </w:rPr>
        <w:t xml:space="preserve"> s</w:t>
      </w:r>
      <w:r w:rsidRPr="0023743C">
        <w:rPr>
          <w:rFonts w:cs="TimesNewRomanPSMT"/>
          <w:szCs w:val="20"/>
          <w:lang w:val="sl-SI" w:eastAsia="en-GB"/>
        </w:rPr>
        <w:t xml:space="preserve"> potrebo po ponovnem ovrednotenju ali ponovni oceni jedrske varnosti s časovno omejeno </w:t>
      </w:r>
      <w:r w:rsidRPr="00275FBD">
        <w:rPr>
          <w:rFonts w:cs="TimesNewRomanPSMT"/>
          <w:szCs w:val="20"/>
          <w:lang w:val="sl-SI" w:eastAsia="en-GB"/>
        </w:rPr>
        <w:t xml:space="preserve">sprejemljivostjo. Ugotovljenih je bilo 16 </w:t>
      </w:r>
      <w:r w:rsidR="00BD5705" w:rsidRPr="00275FBD">
        <w:rPr>
          <w:rFonts w:cs="TimesNewRomanPSMT"/>
          <w:szCs w:val="20"/>
          <w:lang w:val="sl-SI" w:eastAsia="en-GB"/>
        </w:rPr>
        <w:t>najdb,</w:t>
      </w:r>
      <w:r w:rsidRPr="00275FBD">
        <w:rPr>
          <w:rFonts w:cs="TimesNewRomanPSMT"/>
          <w:szCs w:val="20"/>
          <w:lang w:val="sl-SI" w:eastAsia="en-GB"/>
        </w:rPr>
        <w:t xml:space="preserve"> ki se nanašajo na vrzeli v zagotavljanju obratovalne varnosti, ki jih je potrebno pravočasno odpraviti.</w:t>
      </w:r>
    </w:p>
    <w:p w14:paraId="61313B73" w14:textId="7ED6B781" w:rsidR="001A4560" w:rsidRPr="00275FBD" w:rsidRDefault="001A4560" w:rsidP="001A4560">
      <w:pPr>
        <w:rPr>
          <w:rFonts w:cs="TimesNewRomanPSMT"/>
          <w:szCs w:val="20"/>
          <w:lang w:val="sl-SI" w:eastAsia="en-GB"/>
        </w:rPr>
      </w:pPr>
      <w:r w:rsidRPr="00275FBD">
        <w:rPr>
          <w:rFonts w:cs="TimesNewRomanPSMT"/>
          <w:szCs w:val="20"/>
          <w:lang w:val="sl-SI" w:eastAsia="en-GB"/>
        </w:rPr>
        <w:t xml:space="preserve">Poleg tega je bilo na podlagi dogovora med NEK in URSJV </w:t>
      </w:r>
      <w:r w:rsidR="00576961">
        <w:rPr>
          <w:rFonts w:cs="TimesNewRomanPSMT"/>
          <w:szCs w:val="20"/>
          <w:lang w:val="sl-SI" w:eastAsia="en-GB"/>
        </w:rPr>
        <w:t>določ</w:t>
      </w:r>
      <w:r w:rsidR="00576961" w:rsidRPr="00275FBD">
        <w:rPr>
          <w:rFonts w:cs="TimesNewRomanPSMT"/>
          <w:szCs w:val="20"/>
          <w:lang w:val="sl-SI" w:eastAsia="en-GB"/>
        </w:rPr>
        <w:t xml:space="preserve">enih </w:t>
      </w:r>
      <w:r w:rsidRPr="00275FBD">
        <w:rPr>
          <w:rFonts w:cs="TimesNewRomanPSMT"/>
          <w:szCs w:val="20"/>
          <w:lang w:val="sl-SI" w:eastAsia="en-GB"/>
        </w:rPr>
        <w:t xml:space="preserve">15 </w:t>
      </w:r>
      <w:r w:rsidR="00BD5705" w:rsidRPr="00275FBD">
        <w:rPr>
          <w:rFonts w:cs="TimesNewRomanPSMT"/>
          <w:szCs w:val="20"/>
          <w:lang w:val="sl-SI" w:eastAsia="en-GB"/>
        </w:rPr>
        <w:t xml:space="preserve">najdb </w:t>
      </w:r>
      <w:r w:rsidRPr="00275FBD">
        <w:rPr>
          <w:rFonts w:cs="TimesNewRomanPSMT"/>
          <w:szCs w:val="20"/>
          <w:lang w:val="sl-SI" w:eastAsia="en-GB"/>
        </w:rPr>
        <w:t xml:space="preserve">za </w:t>
      </w:r>
      <w:r w:rsidR="001546B6" w:rsidRPr="00275FBD">
        <w:rPr>
          <w:rFonts w:cs="TimesNewRomanPSMT"/>
          <w:szCs w:val="20"/>
          <w:lang w:val="sl-SI" w:eastAsia="en-GB"/>
        </w:rPr>
        <w:t>takojšen</w:t>
      </w:r>
      <w:r w:rsidRPr="00275FBD">
        <w:rPr>
          <w:rFonts w:cs="TimesNewRomanPSMT"/>
          <w:szCs w:val="20"/>
          <w:lang w:val="sl-SI" w:eastAsia="en-GB"/>
        </w:rPr>
        <w:t xml:space="preserve"> vnos v </w:t>
      </w:r>
      <w:r w:rsidR="00FD3159">
        <w:rPr>
          <w:rFonts w:cs="TimesNewRomanPSMT"/>
          <w:szCs w:val="20"/>
          <w:lang w:val="sl-SI" w:eastAsia="en-GB"/>
        </w:rPr>
        <w:t>n</w:t>
      </w:r>
      <w:r w:rsidR="00FD3159" w:rsidRPr="00275FBD">
        <w:rPr>
          <w:rFonts w:cs="TimesNewRomanPSMT"/>
          <w:szCs w:val="20"/>
          <w:lang w:val="sl-SI" w:eastAsia="en-GB"/>
        </w:rPr>
        <w:t xml:space="preserve">ačrt </w:t>
      </w:r>
      <w:r w:rsidRPr="00275FBD">
        <w:rPr>
          <w:rFonts w:cs="TimesNewRomanPSMT"/>
          <w:szCs w:val="20"/>
          <w:lang w:val="sl-SI" w:eastAsia="en-GB"/>
        </w:rPr>
        <w:t>izvedbe ukrepov (»</w:t>
      </w:r>
      <w:r w:rsidRPr="00DF2AFD">
        <w:rPr>
          <w:rFonts w:cs="TimesNewRomanPSMT"/>
          <w:szCs w:val="20"/>
          <w:lang w:val="sl-SI" w:eastAsia="en-GB"/>
        </w:rPr>
        <w:t>Implementation Action Plan</w:t>
      </w:r>
      <w:r w:rsidRPr="00275FBD">
        <w:rPr>
          <w:rFonts w:cs="TimesNewRomanPSMT"/>
          <w:szCs w:val="20"/>
          <w:lang w:val="sl-SI" w:eastAsia="en-GB"/>
        </w:rPr>
        <w:t>«, IAP), od tega večina tako imenovanih »pred-SALTO« (»</w:t>
      </w:r>
      <w:r w:rsidRPr="00DF2AFD">
        <w:rPr>
          <w:rFonts w:cs="TimesNewRomanPSMT"/>
          <w:szCs w:val="20"/>
          <w:lang w:val="sl-SI" w:eastAsia="en-GB"/>
        </w:rPr>
        <w:t xml:space="preserve">Safety Assessment of Long Term </w:t>
      </w:r>
      <w:proofErr w:type="spellStart"/>
      <w:r w:rsidRPr="00DF2AFD">
        <w:rPr>
          <w:rFonts w:cs="TimesNewRomanPSMT"/>
          <w:szCs w:val="20"/>
          <w:lang w:val="sl-SI" w:eastAsia="en-GB"/>
        </w:rPr>
        <w:t>Plant</w:t>
      </w:r>
      <w:proofErr w:type="spellEnd"/>
      <w:r w:rsidRPr="00DF2AFD">
        <w:rPr>
          <w:rFonts w:cs="TimesNewRomanPSMT"/>
          <w:szCs w:val="20"/>
          <w:lang w:val="sl-SI" w:eastAsia="en-GB"/>
        </w:rPr>
        <w:t xml:space="preserve"> Operation</w:t>
      </w:r>
      <w:r w:rsidRPr="00275FBD">
        <w:rPr>
          <w:rFonts w:cs="TimesNewRomanPSMT"/>
          <w:szCs w:val="20"/>
          <w:lang w:val="sl-SI" w:eastAsia="en-GB"/>
        </w:rPr>
        <w:t xml:space="preserve">«) </w:t>
      </w:r>
      <w:r w:rsidR="00BD5705" w:rsidRPr="00275FBD">
        <w:rPr>
          <w:rFonts w:cs="TimesNewRomanPSMT"/>
          <w:szCs w:val="20"/>
          <w:lang w:val="sl-SI" w:eastAsia="en-GB"/>
        </w:rPr>
        <w:t>najdb.</w:t>
      </w:r>
    </w:p>
    <w:p w14:paraId="38C2A5BC" w14:textId="622A4D0A" w:rsidR="001A4560" w:rsidRPr="00275FBD" w:rsidRDefault="001A4560" w:rsidP="001A4560">
      <w:pPr>
        <w:rPr>
          <w:rFonts w:cs="TimesNewRomanPSMT"/>
          <w:szCs w:val="20"/>
          <w:lang w:val="sl-SI" w:eastAsia="en-GB"/>
        </w:rPr>
      </w:pPr>
      <w:r w:rsidRPr="00275FBD">
        <w:rPr>
          <w:rFonts w:cs="TimesNewRomanPSMT"/>
          <w:szCs w:val="20"/>
          <w:lang w:val="sl-SI" w:eastAsia="en-GB"/>
        </w:rPr>
        <w:t>Vs</w:t>
      </w:r>
      <w:r w:rsidR="00BD5705" w:rsidRPr="00275FBD">
        <w:rPr>
          <w:rFonts w:cs="TimesNewRomanPSMT"/>
          <w:szCs w:val="20"/>
          <w:lang w:val="sl-SI" w:eastAsia="en-GB"/>
        </w:rPr>
        <w:t>e</w:t>
      </w:r>
      <w:r w:rsidRPr="00275FBD">
        <w:rPr>
          <w:rFonts w:cs="TimesNewRomanPSMT"/>
          <w:szCs w:val="20"/>
          <w:lang w:val="sl-SI" w:eastAsia="en-GB"/>
        </w:rPr>
        <w:t xml:space="preserve"> t</w:t>
      </w:r>
      <w:r w:rsidR="00BD5705" w:rsidRPr="00275FBD">
        <w:rPr>
          <w:rFonts w:cs="TimesNewRomanPSMT"/>
          <w:szCs w:val="20"/>
          <w:lang w:val="sl-SI" w:eastAsia="en-GB"/>
        </w:rPr>
        <w:t>e</w:t>
      </w:r>
      <w:r w:rsidRPr="00275FBD">
        <w:rPr>
          <w:rFonts w:cs="TimesNewRomanPSMT"/>
          <w:szCs w:val="20"/>
          <w:lang w:val="sl-SI" w:eastAsia="en-GB"/>
        </w:rPr>
        <w:t xml:space="preserve"> </w:t>
      </w:r>
      <w:r w:rsidR="00BD5705" w:rsidRPr="00275FBD">
        <w:rPr>
          <w:rFonts w:cs="TimesNewRomanPSMT"/>
          <w:szCs w:val="20"/>
          <w:lang w:val="sl-SI" w:eastAsia="en-GB"/>
        </w:rPr>
        <w:t>najdbe</w:t>
      </w:r>
      <w:r w:rsidRPr="00275FBD">
        <w:rPr>
          <w:rFonts w:cs="TimesNewRomanPSMT"/>
          <w:szCs w:val="20"/>
          <w:lang w:val="sl-SI" w:eastAsia="en-GB"/>
        </w:rPr>
        <w:t xml:space="preserve"> </w:t>
      </w:r>
      <w:r w:rsidRPr="0023743C">
        <w:rPr>
          <w:rFonts w:cs="TimesNewRomanPSMT"/>
          <w:szCs w:val="20"/>
          <w:lang w:val="sl-SI" w:eastAsia="en-GB"/>
        </w:rPr>
        <w:t>so bil</w:t>
      </w:r>
      <w:r w:rsidR="007B3084" w:rsidRPr="0023743C">
        <w:rPr>
          <w:rFonts w:cs="TimesNewRomanPSMT"/>
          <w:szCs w:val="20"/>
          <w:lang w:val="sl-SI" w:eastAsia="en-GB"/>
        </w:rPr>
        <w:t>e</w:t>
      </w:r>
      <w:r w:rsidRPr="0023743C">
        <w:rPr>
          <w:rFonts w:cs="TimesNewRomanPSMT"/>
          <w:szCs w:val="20"/>
          <w:lang w:val="sl-SI" w:eastAsia="en-GB"/>
        </w:rPr>
        <w:t xml:space="preserve"> vključen</w:t>
      </w:r>
      <w:r w:rsidR="007B3084" w:rsidRPr="0023743C">
        <w:rPr>
          <w:rFonts w:cs="TimesNewRomanPSMT"/>
          <w:szCs w:val="20"/>
          <w:lang w:val="sl-SI" w:eastAsia="en-GB"/>
        </w:rPr>
        <w:t>e</w:t>
      </w:r>
      <w:r w:rsidRPr="0023743C">
        <w:rPr>
          <w:rFonts w:cs="TimesNewRomanPSMT"/>
          <w:szCs w:val="20"/>
          <w:lang w:val="sl-SI" w:eastAsia="en-GB"/>
        </w:rPr>
        <w:t xml:space="preserve"> v IAP. Vpisan</w:t>
      </w:r>
      <w:r w:rsidR="007B3084" w:rsidRPr="0023743C">
        <w:rPr>
          <w:rFonts w:cs="TimesNewRomanPSMT"/>
          <w:szCs w:val="20"/>
          <w:lang w:val="sl-SI" w:eastAsia="en-GB"/>
        </w:rPr>
        <w:t>e</w:t>
      </w:r>
      <w:r w:rsidRPr="0023743C">
        <w:rPr>
          <w:rFonts w:cs="TimesNewRomanPSMT"/>
          <w:szCs w:val="20"/>
          <w:lang w:val="sl-SI" w:eastAsia="en-GB"/>
        </w:rPr>
        <w:t xml:space="preserve"> bodo v </w:t>
      </w:r>
      <w:r w:rsidR="004B6F03" w:rsidRPr="0023743C">
        <w:rPr>
          <w:rFonts w:cs="TimesNewRomanPSMT"/>
          <w:szCs w:val="20"/>
          <w:lang w:val="sl-SI" w:eastAsia="en-GB"/>
        </w:rPr>
        <w:t>Program</w:t>
      </w:r>
      <w:r w:rsidRPr="0023743C">
        <w:rPr>
          <w:rFonts w:cs="TimesNewRomanPSMT"/>
          <w:szCs w:val="20"/>
          <w:lang w:val="sl-SI" w:eastAsia="en-GB"/>
        </w:rPr>
        <w:t xml:space="preserve"> korektivnih ukrepov </w:t>
      </w:r>
      <w:r w:rsidR="0023743C" w:rsidRPr="0023743C">
        <w:rPr>
          <w:rFonts w:cs="TimesNewRomanPSMT"/>
          <w:szCs w:val="20"/>
          <w:lang w:val="sl-SI" w:eastAsia="en-GB"/>
        </w:rPr>
        <w:t xml:space="preserve">NEK </w:t>
      </w:r>
      <w:r w:rsidRPr="0023743C">
        <w:rPr>
          <w:rFonts w:cs="TimesNewRomanPSMT"/>
          <w:szCs w:val="20"/>
          <w:lang w:val="sl-SI" w:eastAsia="en-GB"/>
        </w:rPr>
        <w:t>(»</w:t>
      </w:r>
      <w:proofErr w:type="spellStart"/>
      <w:r w:rsidRPr="0023743C">
        <w:rPr>
          <w:rFonts w:cs="TimesNewRomanPSMT"/>
          <w:szCs w:val="20"/>
          <w:lang w:val="sl-SI" w:eastAsia="en-GB"/>
        </w:rPr>
        <w:t>Corrective</w:t>
      </w:r>
      <w:proofErr w:type="spellEnd"/>
      <w:r w:rsidRPr="0023743C">
        <w:rPr>
          <w:rFonts w:cs="TimesNewRomanPSMT"/>
          <w:szCs w:val="20"/>
          <w:lang w:val="sl-SI" w:eastAsia="en-GB"/>
        </w:rPr>
        <w:t xml:space="preserve"> Action P</w:t>
      </w:r>
      <w:r w:rsidR="004B6F03" w:rsidRPr="0023743C">
        <w:rPr>
          <w:rFonts w:cs="TimesNewRomanPSMT"/>
          <w:szCs w:val="20"/>
          <w:lang w:val="sl-SI" w:eastAsia="en-GB"/>
        </w:rPr>
        <w:t>rogram</w:t>
      </w:r>
      <w:r w:rsidRPr="0023743C">
        <w:rPr>
          <w:rFonts w:cs="TimesNewRomanPSMT"/>
          <w:szCs w:val="20"/>
          <w:lang w:val="sl-SI" w:eastAsia="en-GB"/>
        </w:rPr>
        <w:t>«, CAP) in spremlja</w:t>
      </w:r>
      <w:r w:rsidR="007B3084" w:rsidRPr="0023743C">
        <w:rPr>
          <w:rFonts w:cs="TimesNewRomanPSMT"/>
          <w:szCs w:val="20"/>
          <w:lang w:val="sl-SI" w:eastAsia="en-GB"/>
        </w:rPr>
        <w:t>lo se bo</w:t>
      </w:r>
      <w:r w:rsidRPr="0023743C">
        <w:rPr>
          <w:rFonts w:cs="TimesNewRomanPSMT"/>
          <w:szCs w:val="20"/>
          <w:lang w:val="sl-SI" w:eastAsia="en-GB"/>
        </w:rPr>
        <w:t xml:space="preserve"> njihovo pravočasno reševanje. Rešitev večine </w:t>
      </w:r>
      <w:r w:rsidR="00BD5705" w:rsidRPr="0023743C">
        <w:rPr>
          <w:rFonts w:cs="TimesNewRomanPSMT"/>
          <w:szCs w:val="20"/>
          <w:lang w:val="sl-SI" w:eastAsia="en-GB"/>
        </w:rPr>
        <w:t xml:space="preserve">najdb </w:t>
      </w:r>
      <w:r w:rsidRPr="0023743C">
        <w:rPr>
          <w:rFonts w:cs="TimesNewRomanPSMT"/>
          <w:szCs w:val="20"/>
          <w:lang w:val="sl-SI" w:eastAsia="en-GB"/>
        </w:rPr>
        <w:t xml:space="preserve">je predvidena v roku treh let. Za več </w:t>
      </w:r>
      <w:r w:rsidR="00BD5705" w:rsidRPr="0023743C">
        <w:rPr>
          <w:rFonts w:cs="TimesNewRomanPSMT"/>
          <w:szCs w:val="20"/>
          <w:lang w:val="sl-SI" w:eastAsia="en-GB"/>
        </w:rPr>
        <w:t>najdb,</w:t>
      </w:r>
      <w:r w:rsidRPr="0023743C">
        <w:rPr>
          <w:rFonts w:cs="TimesNewRomanPSMT"/>
          <w:szCs w:val="20"/>
          <w:lang w:val="sl-SI" w:eastAsia="en-GB"/>
        </w:rPr>
        <w:t xml:space="preserve"> ki nimajo neposrednega vpliva na jedrsko varnost, je predvideno reševanje v roku petih let. </w:t>
      </w:r>
      <w:r w:rsidR="00BD5705" w:rsidRPr="0023743C">
        <w:rPr>
          <w:rFonts w:cs="TimesNewRomanPSMT"/>
          <w:szCs w:val="20"/>
          <w:lang w:val="sl-SI" w:eastAsia="en-GB"/>
        </w:rPr>
        <w:t>Najdbe</w:t>
      </w:r>
      <w:r w:rsidRPr="0023743C">
        <w:rPr>
          <w:rFonts w:cs="TimesNewRomanPSMT"/>
          <w:szCs w:val="20"/>
          <w:lang w:val="sl-SI" w:eastAsia="en-GB"/>
        </w:rPr>
        <w:t xml:space="preserve"> v zvezi s programom SALTO bodo </w:t>
      </w:r>
      <w:r w:rsidR="007B3084" w:rsidRPr="0023743C">
        <w:rPr>
          <w:rFonts w:cs="TimesNewRomanPSMT"/>
          <w:szCs w:val="20"/>
          <w:lang w:val="sl-SI" w:eastAsia="en-GB"/>
        </w:rPr>
        <w:t xml:space="preserve">obravnavane </w:t>
      </w:r>
      <w:r w:rsidRPr="00275FBD">
        <w:rPr>
          <w:rFonts w:cs="TimesNewRomanPSMT"/>
          <w:szCs w:val="20"/>
          <w:lang w:val="sl-SI" w:eastAsia="en-GB"/>
        </w:rPr>
        <w:t xml:space="preserve">v skladu z akcijskim načrtom vezanim </w:t>
      </w:r>
      <w:r w:rsidR="00B973B0">
        <w:rPr>
          <w:rFonts w:cs="TimesNewRomanPSMT"/>
          <w:szCs w:val="20"/>
          <w:lang w:val="sl-SI" w:eastAsia="en-GB"/>
        </w:rPr>
        <w:t>n</w:t>
      </w:r>
      <w:r w:rsidRPr="00275FBD">
        <w:rPr>
          <w:rFonts w:cs="TimesNewRomanPSMT"/>
          <w:szCs w:val="20"/>
          <w:lang w:val="sl-SI" w:eastAsia="en-GB"/>
        </w:rPr>
        <w:t>a »</w:t>
      </w:r>
      <w:bookmarkStart w:id="2" w:name="_Hlk144107940"/>
      <w:r w:rsidRPr="00275FBD">
        <w:rPr>
          <w:rFonts w:cs="TimesNewRomanPSMT"/>
          <w:szCs w:val="20"/>
          <w:lang w:val="sl-SI" w:eastAsia="en-GB"/>
        </w:rPr>
        <w:t>pred-SALTO</w:t>
      </w:r>
      <w:bookmarkEnd w:id="2"/>
      <w:r w:rsidRPr="00275FBD">
        <w:rPr>
          <w:rFonts w:cs="TimesNewRomanPSMT"/>
          <w:szCs w:val="20"/>
          <w:lang w:val="sl-SI" w:eastAsia="en-GB"/>
        </w:rPr>
        <w:t>«.</w:t>
      </w:r>
    </w:p>
    <w:p w14:paraId="1E5CF9E9" w14:textId="5204F85D" w:rsidR="001A4560" w:rsidRPr="00275FBD" w:rsidRDefault="001A4560" w:rsidP="001A4560">
      <w:pPr>
        <w:rPr>
          <w:rFonts w:cs="TimesNewRomanPSMT"/>
          <w:szCs w:val="20"/>
          <w:lang w:val="sl-SI" w:eastAsia="en-GB"/>
        </w:rPr>
      </w:pPr>
      <w:r w:rsidRPr="00275FBD">
        <w:rPr>
          <w:rFonts w:cs="TimesNewRomanPSMT"/>
          <w:szCs w:val="20"/>
          <w:lang w:val="sl-SI" w:eastAsia="en-GB"/>
        </w:rPr>
        <w:t>Poleg tega so bil</w:t>
      </w:r>
      <w:r w:rsidR="00BD5705" w:rsidRPr="00275FBD">
        <w:rPr>
          <w:rFonts w:cs="TimesNewRomanPSMT"/>
          <w:szCs w:val="20"/>
          <w:lang w:val="sl-SI" w:eastAsia="en-GB"/>
        </w:rPr>
        <w:t>e</w:t>
      </w:r>
      <w:r w:rsidRPr="00275FBD">
        <w:rPr>
          <w:rFonts w:cs="TimesNewRomanPSMT"/>
          <w:szCs w:val="20"/>
          <w:lang w:val="sl-SI" w:eastAsia="en-GB"/>
        </w:rPr>
        <w:t xml:space="preserve"> ugotovljen</w:t>
      </w:r>
      <w:r w:rsidR="00BD5705" w:rsidRPr="00275FBD">
        <w:rPr>
          <w:rFonts w:cs="TimesNewRomanPSMT"/>
          <w:szCs w:val="20"/>
          <w:lang w:val="sl-SI" w:eastAsia="en-GB"/>
        </w:rPr>
        <w:t>e</w:t>
      </w:r>
      <w:r w:rsidRPr="00275FBD">
        <w:rPr>
          <w:rFonts w:cs="TimesNewRomanPSMT"/>
          <w:szCs w:val="20"/>
          <w:lang w:val="sl-SI" w:eastAsia="en-GB"/>
        </w:rPr>
        <w:t xml:space="preserve"> številn</w:t>
      </w:r>
      <w:r w:rsidR="00BD5705" w:rsidRPr="00275FBD">
        <w:rPr>
          <w:rFonts w:cs="TimesNewRomanPSMT"/>
          <w:szCs w:val="20"/>
          <w:lang w:val="sl-SI" w:eastAsia="en-GB"/>
        </w:rPr>
        <w:t>e</w:t>
      </w:r>
      <w:r w:rsidRPr="00275FBD">
        <w:rPr>
          <w:rFonts w:cs="TimesNewRomanPSMT"/>
          <w:szCs w:val="20"/>
          <w:lang w:val="sl-SI" w:eastAsia="en-GB"/>
        </w:rPr>
        <w:t xml:space="preserve"> </w:t>
      </w:r>
      <w:r w:rsidR="00BD5705" w:rsidRPr="00275FBD">
        <w:rPr>
          <w:rFonts w:cs="TimesNewRomanPSMT"/>
          <w:szCs w:val="20"/>
          <w:lang w:val="sl-SI" w:eastAsia="en-GB"/>
        </w:rPr>
        <w:t>najdbe</w:t>
      </w:r>
      <w:r w:rsidRPr="00275FBD">
        <w:rPr>
          <w:rFonts w:cs="TimesNewRomanPSMT"/>
          <w:szCs w:val="20"/>
          <w:lang w:val="sl-SI" w:eastAsia="en-GB"/>
        </w:rPr>
        <w:t xml:space="preserve">, pri katerih je rešitev dosegljiva »z </w:t>
      </w:r>
      <w:r w:rsidR="00477FBC" w:rsidRPr="00275FBD">
        <w:rPr>
          <w:rFonts w:cs="TimesNewRomanPSMT"/>
          <w:szCs w:val="20"/>
          <w:lang w:val="sl-SI" w:eastAsia="en-GB"/>
        </w:rPr>
        <w:t>ma</w:t>
      </w:r>
      <w:r w:rsidR="00477FBC">
        <w:rPr>
          <w:rFonts w:cs="TimesNewRomanPSMT"/>
          <w:szCs w:val="20"/>
          <w:lang w:val="sl-SI" w:eastAsia="en-GB"/>
        </w:rPr>
        <w:t>jhnim</w:t>
      </w:r>
      <w:r w:rsidR="00477FBC" w:rsidRPr="00275FBD">
        <w:rPr>
          <w:rFonts w:cs="TimesNewRomanPSMT"/>
          <w:szCs w:val="20"/>
          <w:lang w:val="sl-SI" w:eastAsia="en-GB"/>
        </w:rPr>
        <w:t xml:space="preserve"> </w:t>
      </w:r>
      <w:r w:rsidR="003674EC" w:rsidRPr="00275FBD">
        <w:rPr>
          <w:rFonts w:cs="TimesNewRomanPSMT"/>
          <w:szCs w:val="20"/>
          <w:lang w:val="sl-SI" w:eastAsia="en-GB"/>
        </w:rPr>
        <w:t>napor</w:t>
      </w:r>
      <w:r w:rsidR="00477FBC">
        <w:rPr>
          <w:rFonts w:cs="TimesNewRomanPSMT"/>
          <w:szCs w:val="20"/>
          <w:lang w:val="sl-SI" w:eastAsia="en-GB"/>
        </w:rPr>
        <w:t>om</w:t>
      </w:r>
      <w:r w:rsidRPr="00275FBD">
        <w:rPr>
          <w:rFonts w:cs="TimesNewRomanPSMT"/>
          <w:szCs w:val="20"/>
          <w:lang w:val="sl-SI" w:eastAsia="en-GB"/>
        </w:rPr>
        <w:t>« in so bil</w:t>
      </w:r>
      <w:r w:rsidR="007B3084" w:rsidRPr="00275FBD">
        <w:rPr>
          <w:rFonts w:cs="TimesNewRomanPSMT"/>
          <w:szCs w:val="20"/>
          <w:lang w:val="sl-SI" w:eastAsia="en-GB"/>
        </w:rPr>
        <w:t>e</w:t>
      </w:r>
      <w:r w:rsidRPr="00275FBD">
        <w:rPr>
          <w:rFonts w:cs="TimesNewRomanPSMT"/>
          <w:szCs w:val="20"/>
          <w:lang w:val="sl-SI" w:eastAsia="en-GB"/>
        </w:rPr>
        <w:t xml:space="preserve"> poslan</w:t>
      </w:r>
      <w:r w:rsidR="007B3084" w:rsidRPr="00275FBD">
        <w:rPr>
          <w:rFonts w:cs="TimesNewRomanPSMT"/>
          <w:szCs w:val="20"/>
          <w:lang w:val="sl-SI" w:eastAsia="en-GB"/>
        </w:rPr>
        <w:t>e</w:t>
      </w:r>
      <w:r w:rsidRPr="00275FBD">
        <w:rPr>
          <w:rFonts w:cs="TimesNewRomanPSMT"/>
          <w:szCs w:val="20"/>
          <w:lang w:val="sl-SI" w:eastAsia="en-GB"/>
        </w:rPr>
        <w:t xml:space="preserve"> v postopek izvajanja brez nadaljnje ocene.</w:t>
      </w:r>
    </w:p>
    <w:p w14:paraId="6FEC2699" w14:textId="57383663" w:rsidR="001A4560" w:rsidRPr="00275FBD" w:rsidRDefault="001A4560" w:rsidP="001A4560">
      <w:pPr>
        <w:rPr>
          <w:rFonts w:cs="TimesNewRomanPSMT"/>
          <w:szCs w:val="20"/>
          <w:lang w:val="sl-SI" w:eastAsia="en-GB"/>
        </w:rPr>
      </w:pPr>
      <w:r w:rsidRPr="00275FBD">
        <w:rPr>
          <w:rFonts w:cs="TimesNewRomanPSMT"/>
          <w:szCs w:val="20"/>
          <w:lang w:val="sl-SI" w:eastAsia="en-GB"/>
        </w:rPr>
        <w:t>Za vs</w:t>
      </w:r>
      <w:r w:rsidR="00BD5705" w:rsidRPr="00275FBD">
        <w:rPr>
          <w:rFonts w:cs="TimesNewRomanPSMT"/>
          <w:szCs w:val="20"/>
          <w:lang w:val="sl-SI" w:eastAsia="en-GB"/>
        </w:rPr>
        <w:t>e</w:t>
      </w:r>
      <w:r w:rsidRPr="00275FBD">
        <w:rPr>
          <w:rFonts w:cs="TimesNewRomanPSMT"/>
          <w:szCs w:val="20"/>
          <w:lang w:val="sl-SI" w:eastAsia="en-GB"/>
        </w:rPr>
        <w:t xml:space="preserve"> ostal</w:t>
      </w:r>
      <w:r w:rsidR="00BD5705" w:rsidRPr="00275FBD">
        <w:rPr>
          <w:rFonts w:cs="TimesNewRomanPSMT"/>
          <w:szCs w:val="20"/>
          <w:lang w:val="sl-SI" w:eastAsia="en-GB"/>
        </w:rPr>
        <w:t>e</w:t>
      </w:r>
      <w:r w:rsidRPr="00275FBD">
        <w:rPr>
          <w:rFonts w:cs="TimesNewRomanPSMT"/>
          <w:szCs w:val="20"/>
          <w:lang w:val="sl-SI" w:eastAsia="en-GB"/>
        </w:rPr>
        <w:t xml:space="preserve"> </w:t>
      </w:r>
      <w:r w:rsidR="00BD5705" w:rsidRPr="00275FBD">
        <w:rPr>
          <w:rFonts w:cs="TimesNewRomanPSMT"/>
          <w:szCs w:val="20"/>
          <w:lang w:val="sl-SI" w:eastAsia="en-GB"/>
        </w:rPr>
        <w:t>najdbe</w:t>
      </w:r>
      <w:r w:rsidRPr="00275FBD">
        <w:rPr>
          <w:rFonts w:cs="TimesNewRomanPSMT"/>
          <w:szCs w:val="20"/>
          <w:lang w:val="sl-SI" w:eastAsia="en-GB"/>
        </w:rPr>
        <w:t xml:space="preserve"> je bilo ugotovljeno, da so na podlagi ocenjevalne lestvice PSR3 v območju nizke pomembnosti in brez pomembnega vpliva na </w:t>
      </w:r>
      <w:r w:rsidR="0023743C">
        <w:rPr>
          <w:rFonts w:cs="TimesNewRomanPSMT"/>
          <w:szCs w:val="20"/>
          <w:lang w:val="sl-SI" w:eastAsia="en-GB"/>
        </w:rPr>
        <w:t xml:space="preserve">zagotavljanje </w:t>
      </w:r>
      <w:r w:rsidRPr="00275FBD">
        <w:rPr>
          <w:rFonts w:cs="TimesNewRomanPSMT"/>
          <w:szCs w:val="20"/>
          <w:lang w:val="sl-SI" w:eastAsia="en-GB"/>
        </w:rPr>
        <w:t>skladnost</w:t>
      </w:r>
      <w:r w:rsidR="0023743C">
        <w:rPr>
          <w:rFonts w:cs="TimesNewRomanPSMT"/>
          <w:szCs w:val="20"/>
          <w:lang w:val="sl-SI" w:eastAsia="en-GB"/>
        </w:rPr>
        <w:t>i</w:t>
      </w:r>
      <w:r w:rsidRPr="00275FBD">
        <w:rPr>
          <w:rFonts w:cs="TimesNewRomanPSMT"/>
          <w:szCs w:val="20"/>
          <w:lang w:val="sl-SI" w:eastAsia="en-GB"/>
        </w:rPr>
        <w:t xml:space="preserve"> s sodobnimi standardi. Kljub temu </w:t>
      </w:r>
      <w:r w:rsidR="007B3084" w:rsidRPr="00275FBD">
        <w:rPr>
          <w:rFonts w:cs="TimesNewRomanPSMT"/>
          <w:szCs w:val="20"/>
          <w:lang w:val="sl-SI" w:eastAsia="en-GB"/>
        </w:rPr>
        <w:t>so številne</w:t>
      </w:r>
      <w:r w:rsidR="00683657" w:rsidRPr="00275FBD">
        <w:rPr>
          <w:rFonts w:cs="TimesNewRomanPSMT"/>
          <w:szCs w:val="20"/>
          <w:lang w:val="sl-SI" w:eastAsia="en-GB"/>
        </w:rPr>
        <w:t xml:space="preserve"> </w:t>
      </w:r>
      <w:r w:rsidR="0023743C">
        <w:rPr>
          <w:rFonts w:cs="TimesNewRomanPSMT"/>
          <w:szCs w:val="20"/>
          <w:lang w:val="sl-SI" w:eastAsia="en-GB"/>
        </w:rPr>
        <w:t xml:space="preserve">takšne najdbe </w:t>
      </w:r>
      <w:r w:rsidRPr="00275FBD">
        <w:rPr>
          <w:rFonts w:cs="TimesNewRomanPSMT"/>
          <w:szCs w:val="20"/>
          <w:lang w:val="sl-SI" w:eastAsia="en-GB"/>
        </w:rPr>
        <w:t>vključen</w:t>
      </w:r>
      <w:r w:rsidR="007B3084" w:rsidRPr="00275FBD">
        <w:rPr>
          <w:rFonts w:cs="TimesNewRomanPSMT"/>
          <w:szCs w:val="20"/>
          <w:lang w:val="sl-SI" w:eastAsia="en-GB"/>
        </w:rPr>
        <w:t>e</w:t>
      </w:r>
      <w:r w:rsidRPr="00275FBD">
        <w:rPr>
          <w:rFonts w:cs="TimesNewRomanPSMT"/>
          <w:szCs w:val="20"/>
          <w:lang w:val="sl-SI" w:eastAsia="en-GB"/>
        </w:rPr>
        <w:t xml:space="preserve"> v IAP / CAP na podlagi dogovora med NEK in URSJV oziroma </w:t>
      </w:r>
      <w:r w:rsidR="0023743C">
        <w:rPr>
          <w:rFonts w:cs="TimesNewRomanPSMT"/>
          <w:szCs w:val="20"/>
          <w:lang w:val="sl-SI" w:eastAsia="en-GB"/>
        </w:rPr>
        <w:t xml:space="preserve">na predlog </w:t>
      </w:r>
      <w:r w:rsidRPr="00275FBD">
        <w:rPr>
          <w:rFonts w:cs="TimesNewRomanPSMT"/>
          <w:szCs w:val="20"/>
          <w:lang w:val="sl-SI" w:eastAsia="en-GB"/>
        </w:rPr>
        <w:t xml:space="preserve">AI in se bo njihovo reševanje spremljalo na enak način kot pri ostalih. </w:t>
      </w:r>
      <w:r w:rsidR="00BD5705" w:rsidRPr="00275FBD">
        <w:rPr>
          <w:rFonts w:cs="TimesNewRomanPSMT"/>
          <w:szCs w:val="20"/>
          <w:lang w:val="sl-SI" w:eastAsia="en-GB"/>
        </w:rPr>
        <w:t>Najdbe</w:t>
      </w:r>
      <w:r w:rsidRPr="00275FBD">
        <w:rPr>
          <w:rFonts w:cs="TimesNewRomanPSMT"/>
          <w:szCs w:val="20"/>
          <w:lang w:val="sl-SI" w:eastAsia="en-GB"/>
        </w:rPr>
        <w:t>, ki niso vključen</w:t>
      </w:r>
      <w:r w:rsidR="0023743C">
        <w:rPr>
          <w:rFonts w:cs="TimesNewRomanPSMT"/>
          <w:szCs w:val="20"/>
          <w:lang w:val="sl-SI" w:eastAsia="en-GB"/>
        </w:rPr>
        <w:t>e</w:t>
      </w:r>
      <w:r w:rsidRPr="00275FBD">
        <w:rPr>
          <w:rFonts w:cs="TimesNewRomanPSMT"/>
          <w:szCs w:val="20"/>
          <w:lang w:val="sl-SI" w:eastAsia="en-GB"/>
        </w:rPr>
        <w:t xml:space="preserve"> v IAP, bodo ponovno obravnavan</w:t>
      </w:r>
      <w:r w:rsidR="007B3084" w:rsidRPr="00275FBD">
        <w:rPr>
          <w:rFonts w:cs="TimesNewRomanPSMT"/>
          <w:szCs w:val="20"/>
          <w:lang w:val="sl-SI" w:eastAsia="en-GB"/>
        </w:rPr>
        <w:t>e</w:t>
      </w:r>
      <w:r w:rsidRPr="00275FBD">
        <w:rPr>
          <w:rFonts w:cs="TimesNewRomanPSMT"/>
          <w:szCs w:val="20"/>
          <w:lang w:val="sl-SI" w:eastAsia="en-GB"/>
        </w:rPr>
        <w:t xml:space="preserve"> </w:t>
      </w:r>
      <w:r w:rsidR="0023743C">
        <w:rPr>
          <w:rFonts w:cs="TimesNewRomanPSMT"/>
          <w:szCs w:val="20"/>
          <w:lang w:val="sl-SI" w:eastAsia="en-GB"/>
        </w:rPr>
        <w:t>v</w:t>
      </w:r>
      <w:r w:rsidR="0023743C" w:rsidRPr="00275FBD">
        <w:rPr>
          <w:rFonts w:cs="TimesNewRomanPSMT"/>
          <w:szCs w:val="20"/>
          <w:lang w:val="sl-SI" w:eastAsia="en-GB"/>
        </w:rPr>
        <w:t xml:space="preserve"> </w:t>
      </w:r>
      <w:r w:rsidRPr="00275FBD">
        <w:rPr>
          <w:rFonts w:cs="TimesNewRomanPSMT"/>
          <w:szCs w:val="20"/>
          <w:lang w:val="sl-SI" w:eastAsia="en-GB"/>
        </w:rPr>
        <w:t>naslednjem PSR.</w:t>
      </w:r>
    </w:p>
    <w:p w14:paraId="48DCA330" w14:textId="60C1B619" w:rsidR="00D13096" w:rsidRPr="00275FBD" w:rsidRDefault="00391BF1" w:rsidP="00D13096">
      <w:pPr>
        <w:rPr>
          <w:rFonts w:cs="TimesNewRomanPSMT"/>
          <w:szCs w:val="20"/>
          <w:lang w:val="sl-SI" w:eastAsia="en-GB"/>
        </w:rPr>
      </w:pPr>
      <w:r>
        <w:rPr>
          <w:rFonts w:cs="TimesNewRomanPSMT"/>
          <w:szCs w:val="20"/>
          <w:lang w:val="sl-SI" w:eastAsia="en-GB"/>
        </w:rPr>
        <w:t>V</w:t>
      </w:r>
      <w:r w:rsidR="0023743C">
        <w:rPr>
          <w:rFonts w:cs="TimesNewRomanPSMT"/>
          <w:szCs w:val="20"/>
          <w:lang w:val="sl-SI" w:eastAsia="en-GB"/>
        </w:rPr>
        <w:t xml:space="preserve"> PSR3 je bilo</w:t>
      </w:r>
      <w:r w:rsidR="00A04878" w:rsidRPr="00275FBD">
        <w:rPr>
          <w:rFonts w:cs="TimesNewRomanPSMT"/>
          <w:szCs w:val="20"/>
          <w:lang w:val="sl-SI" w:eastAsia="en-GB"/>
        </w:rPr>
        <w:t xml:space="preserve"> </w:t>
      </w:r>
      <w:r>
        <w:rPr>
          <w:rFonts w:cs="TimesNewRomanPSMT"/>
          <w:szCs w:val="20"/>
          <w:lang w:val="sl-SI" w:eastAsia="en-GB"/>
        </w:rPr>
        <w:t xml:space="preserve">določenih </w:t>
      </w:r>
      <w:r w:rsidRPr="00275FBD">
        <w:rPr>
          <w:rFonts w:cs="TimesNewRomanPSMT"/>
          <w:szCs w:val="20"/>
          <w:lang w:val="sl-SI" w:eastAsia="en-GB"/>
        </w:rPr>
        <w:t>skupn</w:t>
      </w:r>
      <w:r>
        <w:rPr>
          <w:rFonts w:cs="TimesNewRomanPSMT"/>
          <w:szCs w:val="20"/>
          <w:lang w:val="sl-SI" w:eastAsia="en-GB"/>
        </w:rPr>
        <w:t>o</w:t>
      </w:r>
      <w:r w:rsidRPr="00275FBD">
        <w:rPr>
          <w:rFonts w:cs="TimesNewRomanPSMT"/>
          <w:szCs w:val="20"/>
          <w:lang w:val="sl-SI" w:eastAsia="en-GB"/>
        </w:rPr>
        <w:t xml:space="preserve"> </w:t>
      </w:r>
      <w:r w:rsidR="00D13096" w:rsidRPr="00275FBD">
        <w:rPr>
          <w:rFonts w:cs="TimesNewRomanPSMT"/>
          <w:szCs w:val="20"/>
          <w:lang w:val="sl-SI" w:eastAsia="en-GB"/>
        </w:rPr>
        <w:t xml:space="preserve">254 </w:t>
      </w:r>
      <w:r w:rsidR="00BD5705" w:rsidRPr="00275FBD">
        <w:rPr>
          <w:rFonts w:cs="TimesNewRomanPSMT"/>
          <w:szCs w:val="20"/>
          <w:lang w:val="sl-SI" w:eastAsia="en-GB"/>
        </w:rPr>
        <w:t>najdb</w:t>
      </w:r>
      <w:r>
        <w:rPr>
          <w:rFonts w:cs="TimesNewRomanPSMT"/>
          <w:szCs w:val="20"/>
          <w:lang w:val="sl-SI" w:eastAsia="en-GB"/>
        </w:rPr>
        <w:t>.</w:t>
      </w:r>
      <w:r w:rsidR="00BD5705" w:rsidRPr="00275FBD">
        <w:rPr>
          <w:rFonts w:cs="TimesNewRomanPSMT"/>
          <w:szCs w:val="20"/>
          <w:lang w:val="sl-SI" w:eastAsia="en-GB"/>
        </w:rPr>
        <w:t xml:space="preserve"> </w:t>
      </w:r>
      <w:r>
        <w:rPr>
          <w:rFonts w:cs="TimesNewRomanPSMT"/>
          <w:szCs w:val="20"/>
          <w:lang w:val="sl-SI" w:eastAsia="en-GB"/>
        </w:rPr>
        <w:t xml:space="preserve">Od teh je bilo </w:t>
      </w:r>
      <w:r w:rsidR="00D13096" w:rsidRPr="00275FBD">
        <w:rPr>
          <w:rFonts w:cs="TimesNewRomanPSMT"/>
          <w:szCs w:val="20"/>
          <w:lang w:val="sl-SI" w:eastAsia="en-GB"/>
        </w:rPr>
        <w:t xml:space="preserve">28 </w:t>
      </w:r>
      <w:r>
        <w:rPr>
          <w:rFonts w:cs="TimesNewRomanPSMT"/>
          <w:szCs w:val="20"/>
          <w:lang w:val="sl-SI" w:eastAsia="en-GB"/>
        </w:rPr>
        <w:t xml:space="preserve">najdb </w:t>
      </w:r>
      <w:r w:rsidR="00720355">
        <w:rPr>
          <w:rFonts w:cs="TimesNewRomanPSMT"/>
          <w:szCs w:val="20"/>
          <w:lang w:val="sl-SI" w:eastAsia="en-GB"/>
        </w:rPr>
        <w:t>raz</w:t>
      </w:r>
      <w:r w:rsidR="00D13096" w:rsidRPr="00275FBD">
        <w:rPr>
          <w:rFonts w:cs="TimesNewRomanPSMT"/>
          <w:szCs w:val="20"/>
          <w:lang w:val="sl-SI" w:eastAsia="en-GB"/>
        </w:rPr>
        <w:t xml:space="preserve">rešenih </w:t>
      </w:r>
      <w:r w:rsidR="00727C58" w:rsidRPr="00275FBD">
        <w:rPr>
          <w:rFonts w:cs="TimesNewRomanPSMT"/>
          <w:szCs w:val="20"/>
          <w:lang w:val="sl-SI" w:eastAsia="en-GB"/>
        </w:rPr>
        <w:t xml:space="preserve">že </w:t>
      </w:r>
      <w:r w:rsidR="00D13096" w:rsidRPr="00275FBD">
        <w:rPr>
          <w:rFonts w:cs="TimesNewRomanPSMT"/>
          <w:szCs w:val="20"/>
          <w:lang w:val="sl-SI" w:eastAsia="en-GB"/>
        </w:rPr>
        <w:t xml:space="preserve">med fazo pregleda, za dodatnih 33 </w:t>
      </w:r>
      <w:r w:rsidR="00BD5705" w:rsidRPr="00275FBD">
        <w:rPr>
          <w:rFonts w:cs="TimesNewRomanPSMT"/>
          <w:szCs w:val="20"/>
          <w:lang w:val="sl-SI" w:eastAsia="en-GB"/>
        </w:rPr>
        <w:t xml:space="preserve">najdb </w:t>
      </w:r>
      <w:r w:rsidR="00D13096" w:rsidRPr="00275FBD">
        <w:rPr>
          <w:rFonts w:cs="TimesNewRomanPSMT"/>
          <w:szCs w:val="20"/>
          <w:lang w:val="sl-SI" w:eastAsia="en-GB"/>
        </w:rPr>
        <w:t xml:space="preserve">pa je bilo ugotovljeno, da </w:t>
      </w:r>
      <w:r w:rsidR="00A7693C">
        <w:rPr>
          <w:rFonts w:cs="TimesNewRomanPSMT"/>
          <w:szCs w:val="20"/>
          <w:lang w:val="sl-SI" w:eastAsia="en-GB"/>
        </w:rPr>
        <w:t>so izvedljive</w:t>
      </w:r>
      <w:r w:rsidR="00D13096" w:rsidRPr="00275FBD">
        <w:rPr>
          <w:rFonts w:cs="TimesNewRomanPSMT"/>
          <w:szCs w:val="20"/>
          <w:lang w:val="sl-SI" w:eastAsia="en-GB"/>
        </w:rPr>
        <w:t xml:space="preserve"> z majhnim</w:t>
      </w:r>
      <w:r w:rsidR="00D13096" w:rsidRPr="00275FBD">
        <w:rPr>
          <w:rFonts w:cs="TimesNewRomanPSMT"/>
          <w:color w:val="FF0000"/>
          <w:szCs w:val="20"/>
          <w:lang w:val="sl-SI" w:eastAsia="en-GB"/>
        </w:rPr>
        <w:t xml:space="preserve"> </w:t>
      </w:r>
      <w:r w:rsidR="00D13096" w:rsidRPr="00275FBD">
        <w:rPr>
          <w:rFonts w:cs="TimesNewRomanPSMT"/>
          <w:szCs w:val="20"/>
          <w:lang w:val="sl-SI" w:eastAsia="en-GB"/>
        </w:rPr>
        <w:t>naporom.</w:t>
      </w:r>
    </w:p>
    <w:p w14:paraId="536D3696" w14:textId="2C5B9F40" w:rsidR="00D13096" w:rsidRPr="00275FBD" w:rsidRDefault="00D13096" w:rsidP="00D13096">
      <w:pPr>
        <w:rPr>
          <w:rFonts w:cs="TimesNewRomanPSMT"/>
          <w:szCs w:val="20"/>
          <w:lang w:val="sl-SI" w:eastAsia="en-GB"/>
        </w:rPr>
      </w:pPr>
      <w:r w:rsidRPr="00275FBD">
        <w:rPr>
          <w:rFonts w:cs="TimesNewRomanPSMT"/>
          <w:szCs w:val="20"/>
          <w:lang w:val="sl-SI" w:eastAsia="en-GB"/>
        </w:rPr>
        <w:t xml:space="preserve">Od preostalih (193) </w:t>
      </w:r>
      <w:r w:rsidR="00BD5705" w:rsidRPr="00275FBD">
        <w:rPr>
          <w:rFonts w:cs="TimesNewRomanPSMT"/>
          <w:szCs w:val="20"/>
          <w:lang w:val="sl-SI" w:eastAsia="en-GB"/>
        </w:rPr>
        <w:t xml:space="preserve">najdb </w:t>
      </w:r>
      <w:r w:rsidRPr="00275FBD">
        <w:rPr>
          <w:rFonts w:cs="TimesNewRomanPSMT"/>
          <w:szCs w:val="20"/>
          <w:lang w:val="sl-SI" w:eastAsia="en-GB"/>
        </w:rPr>
        <w:t xml:space="preserve">jih je bilo 15 razvrščenih v </w:t>
      </w:r>
      <w:r w:rsidR="00F8499D">
        <w:rPr>
          <w:rFonts w:cs="TimesNewRomanPSMT"/>
          <w:szCs w:val="20"/>
          <w:lang w:val="sl-SI" w:eastAsia="en-GB"/>
        </w:rPr>
        <w:t>kategorijo</w:t>
      </w:r>
      <w:r w:rsidR="00F8499D" w:rsidRPr="00275FBD">
        <w:rPr>
          <w:rFonts w:cs="TimesNewRomanPSMT"/>
          <w:szCs w:val="20"/>
          <w:lang w:val="sl-SI" w:eastAsia="en-GB"/>
        </w:rPr>
        <w:t xml:space="preserve"> </w:t>
      </w:r>
      <w:r w:rsidRPr="00275FBD">
        <w:rPr>
          <w:rFonts w:cs="TimesNewRomanPSMT"/>
          <w:szCs w:val="20"/>
          <w:lang w:val="sl-SI" w:eastAsia="en-GB"/>
        </w:rPr>
        <w:t xml:space="preserve">»IRR«, ki jo sestavlja 14 </w:t>
      </w:r>
      <w:r w:rsidR="00BD5705" w:rsidRPr="00275FBD">
        <w:rPr>
          <w:rFonts w:cs="TimesNewRomanPSMT"/>
          <w:szCs w:val="20"/>
          <w:lang w:val="sl-SI" w:eastAsia="en-GB"/>
        </w:rPr>
        <w:t xml:space="preserve">najdb </w:t>
      </w:r>
      <w:r w:rsidRPr="00275FBD">
        <w:rPr>
          <w:rFonts w:cs="TimesNewRomanPSMT"/>
          <w:szCs w:val="20"/>
          <w:lang w:val="sl-SI" w:eastAsia="en-GB"/>
        </w:rPr>
        <w:t>iz programa »</w:t>
      </w:r>
      <w:r w:rsidR="00115B39" w:rsidRPr="00275FBD">
        <w:rPr>
          <w:rFonts w:cs="TimesNewRomanPSMT"/>
          <w:szCs w:val="20"/>
          <w:lang w:val="sl-SI" w:eastAsia="en-GB"/>
        </w:rPr>
        <w:t>pred-SALTO</w:t>
      </w:r>
      <w:r w:rsidRPr="00275FBD">
        <w:rPr>
          <w:rFonts w:cs="TimesNewRomanPSMT"/>
          <w:szCs w:val="20"/>
          <w:lang w:val="sl-SI" w:eastAsia="en-GB"/>
        </w:rPr>
        <w:t xml:space="preserve">« </w:t>
      </w:r>
      <w:r w:rsidR="00391BF1" w:rsidRPr="00275FBD">
        <w:rPr>
          <w:rFonts w:cs="TimesNewRomanPSMT"/>
          <w:szCs w:val="20"/>
          <w:lang w:val="sl-SI" w:eastAsia="en-GB"/>
        </w:rPr>
        <w:t>in en ukrep posodobitve verjetnostne analize seizmične nevarnosti, ki je že v izvedbi.</w:t>
      </w:r>
      <w:r w:rsidR="00391BF1">
        <w:rPr>
          <w:rFonts w:cs="TimesNewRomanPSMT"/>
          <w:szCs w:val="20"/>
          <w:lang w:val="sl-SI" w:eastAsia="en-GB"/>
        </w:rPr>
        <w:t xml:space="preserve"> Izvedba ukrepov za najdbe »pred-SALTO« </w:t>
      </w:r>
      <w:r w:rsidRPr="00275FBD">
        <w:rPr>
          <w:rFonts w:cs="TimesNewRomanPSMT"/>
          <w:szCs w:val="20"/>
          <w:lang w:val="sl-SI" w:eastAsia="en-GB"/>
        </w:rPr>
        <w:t xml:space="preserve">sledi posebnemu, namenskemu, akcijskemu načrtu in ne bo del </w:t>
      </w:r>
      <w:r w:rsidR="007C67D8">
        <w:rPr>
          <w:rFonts w:cs="TimesNewRomanPSMT"/>
          <w:szCs w:val="20"/>
          <w:lang w:val="sl-SI" w:eastAsia="en-GB"/>
        </w:rPr>
        <w:t>načrta izvede ukrepov</w:t>
      </w:r>
      <w:r w:rsidRPr="00275FBD">
        <w:rPr>
          <w:rFonts w:cs="TimesNewRomanPSMT"/>
          <w:szCs w:val="20"/>
          <w:lang w:val="sl-SI" w:eastAsia="en-GB"/>
        </w:rPr>
        <w:t xml:space="preserve"> PSR3</w:t>
      </w:r>
      <w:r w:rsidR="00391BF1">
        <w:rPr>
          <w:rFonts w:cs="TimesNewRomanPSMT"/>
          <w:szCs w:val="20"/>
          <w:lang w:val="sl-SI" w:eastAsia="en-GB"/>
        </w:rPr>
        <w:t>.</w:t>
      </w:r>
      <w:r w:rsidRPr="00275FBD">
        <w:rPr>
          <w:rFonts w:cs="TimesNewRomanPSMT"/>
          <w:szCs w:val="20"/>
          <w:lang w:val="sl-SI" w:eastAsia="en-GB"/>
        </w:rPr>
        <w:t xml:space="preserve"> </w:t>
      </w:r>
    </w:p>
    <w:p w14:paraId="1FD403A4" w14:textId="03789DA7" w:rsidR="00D13096" w:rsidRPr="00275FBD" w:rsidRDefault="00D13096" w:rsidP="00D13096">
      <w:pPr>
        <w:rPr>
          <w:rFonts w:cs="TimesNewRomanPSMT"/>
          <w:szCs w:val="20"/>
          <w:lang w:val="sl-SI" w:eastAsia="en-GB"/>
        </w:rPr>
      </w:pPr>
      <w:r w:rsidRPr="00275FBD">
        <w:rPr>
          <w:rFonts w:cs="TimesNewRomanPSMT"/>
          <w:szCs w:val="20"/>
          <w:lang w:val="sl-SI" w:eastAsia="en-GB"/>
        </w:rPr>
        <w:t xml:space="preserve">Od preostalih 178 </w:t>
      </w:r>
      <w:r w:rsidR="00BD5705" w:rsidRPr="00275FBD">
        <w:rPr>
          <w:rFonts w:cs="TimesNewRomanPSMT"/>
          <w:szCs w:val="20"/>
          <w:lang w:val="sl-SI" w:eastAsia="en-GB"/>
        </w:rPr>
        <w:t xml:space="preserve">najdb </w:t>
      </w:r>
      <w:r w:rsidRPr="00275FBD">
        <w:rPr>
          <w:rFonts w:cs="TimesNewRomanPSMT"/>
          <w:szCs w:val="20"/>
          <w:lang w:val="sl-SI" w:eastAsia="en-GB"/>
        </w:rPr>
        <w:t>en</w:t>
      </w:r>
      <w:r w:rsidR="00BD5705" w:rsidRPr="00275FBD">
        <w:rPr>
          <w:rFonts w:cs="TimesNewRomanPSMT"/>
          <w:szCs w:val="20"/>
          <w:lang w:val="sl-SI" w:eastAsia="en-GB"/>
        </w:rPr>
        <w:t>a</w:t>
      </w:r>
      <w:r w:rsidRPr="00275FBD">
        <w:rPr>
          <w:rFonts w:cs="TimesNewRomanPSMT"/>
          <w:szCs w:val="20"/>
          <w:lang w:val="sl-SI" w:eastAsia="en-GB"/>
        </w:rPr>
        <w:t xml:space="preserve"> </w:t>
      </w:r>
      <w:r w:rsidR="00BD5705" w:rsidRPr="00275FBD">
        <w:rPr>
          <w:rFonts w:cs="TimesNewRomanPSMT"/>
          <w:szCs w:val="20"/>
          <w:lang w:val="sl-SI" w:eastAsia="en-GB"/>
        </w:rPr>
        <w:t>najdba</w:t>
      </w:r>
      <w:r w:rsidRPr="00275FBD">
        <w:rPr>
          <w:rFonts w:cs="TimesNewRomanPSMT"/>
          <w:szCs w:val="20"/>
          <w:lang w:val="sl-SI" w:eastAsia="en-GB"/>
        </w:rPr>
        <w:t xml:space="preserve"> predstavlja pozitivno najdbo (ki ne zahteva ukrepa</w:t>
      </w:r>
      <w:r w:rsidR="00391BF1">
        <w:rPr>
          <w:rFonts w:cs="TimesNewRomanPSMT"/>
          <w:szCs w:val="20"/>
          <w:lang w:val="sl-SI" w:eastAsia="en-GB"/>
        </w:rPr>
        <w:t>nja</w:t>
      </w:r>
      <w:r w:rsidRPr="00275FBD">
        <w:rPr>
          <w:rFonts w:cs="TimesNewRomanPSMT"/>
          <w:szCs w:val="20"/>
          <w:lang w:val="sl-SI" w:eastAsia="en-GB"/>
        </w:rPr>
        <w:t>)</w:t>
      </w:r>
      <w:r w:rsidR="000D177A">
        <w:rPr>
          <w:rFonts w:cs="TimesNewRomanPSMT"/>
          <w:szCs w:val="20"/>
          <w:lang w:val="sl-SI" w:eastAsia="en-GB"/>
        </w:rPr>
        <w:t>,</w:t>
      </w:r>
      <w:r w:rsidRPr="00275FBD">
        <w:rPr>
          <w:rFonts w:cs="TimesNewRomanPSMT"/>
          <w:szCs w:val="20"/>
          <w:lang w:val="sl-SI" w:eastAsia="en-GB"/>
        </w:rPr>
        <w:t xml:space="preserve"> en</w:t>
      </w:r>
      <w:r w:rsidR="00395621" w:rsidRPr="00275FBD">
        <w:rPr>
          <w:rFonts w:cs="TimesNewRomanPSMT"/>
          <w:szCs w:val="20"/>
          <w:lang w:val="sl-SI" w:eastAsia="en-GB"/>
        </w:rPr>
        <w:t>a</w:t>
      </w:r>
      <w:r w:rsidRPr="00275FBD">
        <w:rPr>
          <w:rFonts w:cs="TimesNewRomanPSMT"/>
          <w:szCs w:val="20"/>
          <w:lang w:val="sl-SI" w:eastAsia="en-GB"/>
        </w:rPr>
        <w:t xml:space="preserve"> </w:t>
      </w:r>
      <w:r w:rsidR="00395621" w:rsidRPr="00275FBD">
        <w:rPr>
          <w:rFonts w:cs="TimesNewRomanPSMT"/>
          <w:szCs w:val="20"/>
          <w:lang w:val="sl-SI" w:eastAsia="en-GB"/>
        </w:rPr>
        <w:t>najdba</w:t>
      </w:r>
      <w:r w:rsidRPr="00275FBD">
        <w:rPr>
          <w:rFonts w:cs="TimesNewRomanPSMT"/>
          <w:szCs w:val="20"/>
          <w:lang w:val="sl-SI" w:eastAsia="en-GB"/>
        </w:rPr>
        <w:t xml:space="preserve"> iz varnostne </w:t>
      </w:r>
      <w:r w:rsidR="00FE4C6E">
        <w:rPr>
          <w:rFonts w:cs="TimesNewRomanPSMT"/>
          <w:szCs w:val="20"/>
          <w:lang w:val="sl-SI" w:eastAsia="en-GB"/>
        </w:rPr>
        <w:t>vsebine</w:t>
      </w:r>
      <w:r w:rsidR="00FE4C6E" w:rsidRPr="00275FBD">
        <w:rPr>
          <w:rFonts w:cs="TimesNewRomanPSMT"/>
          <w:szCs w:val="20"/>
          <w:lang w:val="sl-SI" w:eastAsia="en-GB"/>
        </w:rPr>
        <w:t xml:space="preserve"> </w:t>
      </w:r>
      <w:r w:rsidRPr="00275FBD">
        <w:rPr>
          <w:rFonts w:cs="TimesNewRomanPSMT"/>
          <w:szCs w:val="20"/>
          <w:lang w:val="sl-SI" w:eastAsia="en-GB"/>
        </w:rPr>
        <w:t>“17”</w:t>
      </w:r>
      <w:r w:rsidR="000D177A">
        <w:rPr>
          <w:rFonts w:cs="TimesNewRomanPSMT"/>
          <w:szCs w:val="20"/>
          <w:lang w:val="sl-SI" w:eastAsia="en-GB"/>
        </w:rPr>
        <w:t xml:space="preserve"> pa je</w:t>
      </w:r>
      <w:r w:rsidRPr="00275FBD">
        <w:rPr>
          <w:rFonts w:cs="TimesNewRomanPSMT"/>
          <w:szCs w:val="20"/>
          <w:lang w:val="sl-SI" w:eastAsia="en-GB"/>
        </w:rPr>
        <w:t xml:space="preserve"> neposredno </w:t>
      </w:r>
      <w:proofErr w:type="spellStart"/>
      <w:r w:rsidRPr="00275FBD">
        <w:rPr>
          <w:rFonts w:cs="TimesNewRomanPSMT"/>
          <w:szCs w:val="20"/>
          <w:lang w:val="sl-SI" w:eastAsia="en-GB"/>
        </w:rPr>
        <w:t>vključite</w:t>
      </w:r>
      <w:r w:rsidR="000D177A">
        <w:rPr>
          <w:rFonts w:cs="TimesNewRomanPSMT"/>
          <w:szCs w:val="20"/>
          <w:lang w:val="sl-SI" w:eastAsia="en-GB"/>
        </w:rPr>
        <w:t>na</w:t>
      </w:r>
      <w:proofErr w:type="spellEnd"/>
      <w:r w:rsidRPr="00275FBD">
        <w:rPr>
          <w:rFonts w:cs="TimesNewRomanPSMT"/>
          <w:szCs w:val="20"/>
          <w:lang w:val="sl-SI" w:eastAsia="en-GB"/>
        </w:rPr>
        <w:t xml:space="preserve"> v IAP.</w:t>
      </w:r>
    </w:p>
    <w:p w14:paraId="239C7AAE" w14:textId="1D9D81EF" w:rsidR="00D13096" w:rsidRPr="00275FBD" w:rsidRDefault="00D13096" w:rsidP="00D13096">
      <w:pPr>
        <w:rPr>
          <w:rFonts w:cs="TimesNewRomanPSMT"/>
          <w:szCs w:val="20"/>
          <w:lang w:val="sl-SI" w:eastAsia="en-GB"/>
        </w:rPr>
      </w:pPr>
      <w:r w:rsidRPr="00275FBD">
        <w:rPr>
          <w:rFonts w:cs="TimesNewRomanPSMT"/>
          <w:szCs w:val="20"/>
          <w:lang w:val="sl-SI" w:eastAsia="en-GB"/>
        </w:rPr>
        <w:t xml:space="preserve">Preostalih 176 </w:t>
      </w:r>
      <w:r w:rsidR="00BD5705" w:rsidRPr="00275FBD">
        <w:rPr>
          <w:rFonts w:cs="TimesNewRomanPSMT"/>
          <w:szCs w:val="20"/>
          <w:lang w:val="sl-SI" w:eastAsia="en-GB"/>
        </w:rPr>
        <w:t xml:space="preserve">najdb </w:t>
      </w:r>
      <w:r w:rsidRPr="00275FBD">
        <w:rPr>
          <w:rFonts w:cs="TimesNewRomanPSMT"/>
          <w:szCs w:val="20"/>
          <w:lang w:val="sl-SI" w:eastAsia="en-GB"/>
        </w:rPr>
        <w:t xml:space="preserve">je razvrščenih glede na kategorijo vpliva in razvrstitev. Od tega števila </w:t>
      </w:r>
      <w:r w:rsidR="00BD5705" w:rsidRPr="00275FBD">
        <w:rPr>
          <w:rFonts w:cs="TimesNewRomanPSMT"/>
          <w:szCs w:val="20"/>
          <w:lang w:val="sl-SI" w:eastAsia="en-GB"/>
        </w:rPr>
        <w:t xml:space="preserve">najdb </w:t>
      </w:r>
      <w:r w:rsidRPr="00275FBD">
        <w:rPr>
          <w:rFonts w:cs="TimesNewRomanPSMT"/>
          <w:szCs w:val="20"/>
          <w:lang w:val="sl-SI" w:eastAsia="en-GB"/>
        </w:rPr>
        <w:t xml:space="preserve">je bilo 49 ukrepov vključenih v </w:t>
      </w:r>
      <w:bookmarkStart w:id="3" w:name="_Hlk159685120"/>
      <w:r w:rsidR="00FD3159">
        <w:rPr>
          <w:rFonts w:cs="TimesNewRomanPSMT"/>
          <w:szCs w:val="20"/>
          <w:lang w:val="sl-SI" w:eastAsia="en-GB"/>
        </w:rPr>
        <w:t>n</w:t>
      </w:r>
      <w:r w:rsidR="00FD3159" w:rsidRPr="00FD3159">
        <w:rPr>
          <w:rFonts w:cs="TimesNewRomanPSMT"/>
          <w:szCs w:val="20"/>
          <w:lang w:val="sl-SI" w:eastAsia="en-GB"/>
        </w:rPr>
        <w:t>ačrt izvedbe ukrepov</w:t>
      </w:r>
      <w:r w:rsidR="00FD3159" w:rsidRPr="00FD3159" w:rsidDel="00FD3159">
        <w:rPr>
          <w:rFonts w:cs="TimesNewRomanPSMT"/>
          <w:szCs w:val="20"/>
          <w:lang w:val="sl-SI" w:eastAsia="en-GB"/>
        </w:rPr>
        <w:t xml:space="preserve"> </w:t>
      </w:r>
      <w:bookmarkEnd w:id="3"/>
      <w:r w:rsidRPr="00275FBD">
        <w:rPr>
          <w:rFonts w:cs="TimesNewRomanPSMT"/>
          <w:szCs w:val="20"/>
          <w:lang w:val="sl-SI" w:eastAsia="en-GB"/>
        </w:rPr>
        <w:t xml:space="preserve">na podlagi </w:t>
      </w:r>
      <w:r w:rsidR="00391BF1">
        <w:rPr>
          <w:rFonts w:cs="TimesNewRomanPSMT"/>
          <w:szCs w:val="20"/>
          <w:lang w:val="sl-SI" w:eastAsia="en-GB"/>
        </w:rPr>
        <w:t>varnostne pomembnosti</w:t>
      </w:r>
      <w:r w:rsidRPr="00275FBD">
        <w:rPr>
          <w:rFonts w:cs="TimesNewRomanPSMT"/>
          <w:szCs w:val="20"/>
          <w:lang w:val="sl-SI" w:eastAsia="en-GB"/>
        </w:rPr>
        <w:t xml:space="preserve">. Od preostalih 127 </w:t>
      </w:r>
      <w:r w:rsidR="00BD5705" w:rsidRPr="00275FBD">
        <w:rPr>
          <w:rFonts w:cs="TimesNewRomanPSMT"/>
          <w:szCs w:val="20"/>
          <w:lang w:val="sl-SI" w:eastAsia="en-GB"/>
        </w:rPr>
        <w:t xml:space="preserve">najdb </w:t>
      </w:r>
      <w:r w:rsidRPr="00275FBD">
        <w:rPr>
          <w:rFonts w:cs="TimesNewRomanPSMT"/>
          <w:szCs w:val="20"/>
          <w:lang w:val="sl-SI" w:eastAsia="en-GB"/>
        </w:rPr>
        <w:t xml:space="preserve">(176-49) je URSJV </w:t>
      </w:r>
      <w:r w:rsidR="00B1343F" w:rsidRPr="00275FBD">
        <w:rPr>
          <w:rFonts w:cs="TimesNewRomanPSMT"/>
          <w:szCs w:val="20"/>
          <w:lang w:val="sl-SI" w:eastAsia="en-GB"/>
        </w:rPr>
        <w:t>zahtevala</w:t>
      </w:r>
      <w:r w:rsidRPr="00275FBD">
        <w:rPr>
          <w:rFonts w:cs="TimesNewRomanPSMT"/>
          <w:szCs w:val="20"/>
          <w:lang w:val="sl-SI" w:eastAsia="en-GB"/>
        </w:rPr>
        <w:t xml:space="preserve"> </w:t>
      </w:r>
      <w:r w:rsidR="00391BF1">
        <w:rPr>
          <w:rFonts w:cs="TimesNewRomanPSMT"/>
          <w:szCs w:val="20"/>
          <w:lang w:val="sl-SI" w:eastAsia="en-GB"/>
        </w:rPr>
        <w:t xml:space="preserve">uvrstitev </w:t>
      </w:r>
      <w:r w:rsidRPr="00275FBD">
        <w:rPr>
          <w:rFonts w:cs="TimesNewRomanPSMT"/>
          <w:szCs w:val="20"/>
          <w:lang w:val="sl-SI" w:eastAsia="en-GB"/>
        </w:rPr>
        <w:t>51 ukrepov</w:t>
      </w:r>
      <w:r w:rsidR="00391BF1">
        <w:rPr>
          <w:rFonts w:cs="TimesNewRomanPSMT"/>
          <w:szCs w:val="20"/>
          <w:lang w:val="sl-SI" w:eastAsia="en-GB"/>
        </w:rPr>
        <w:t xml:space="preserve"> v </w:t>
      </w:r>
      <w:r w:rsidR="00FD3159" w:rsidRPr="00FD3159">
        <w:rPr>
          <w:rFonts w:cs="TimesNewRomanPSMT"/>
          <w:szCs w:val="20"/>
          <w:lang w:val="sl-SI" w:eastAsia="en-GB"/>
        </w:rPr>
        <w:t>načrt izvedbe ukrepov</w:t>
      </w:r>
      <w:r w:rsidRPr="00275FBD">
        <w:rPr>
          <w:rFonts w:cs="TimesNewRomanPSMT"/>
          <w:szCs w:val="20"/>
          <w:lang w:val="sl-SI" w:eastAsia="en-GB"/>
        </w:rPr>
        <w:t xml:space="preserve">, AI pa </w:t>
      </w:r>
      <w:r w:rsidR="00391BF1">
        <w:rPr>
          <w:rFonts w:cs="TimesNewRomanPSMT"/>
          <w:szCs w:val="20"/>
          <w:lang w:val="sl-SI" w:eastAsia="en-GB"/>
        </w:rPr>
        <w:t xml:space="preserve">je predlagala še </w:t>
      </w:r>
      <w:r w:rsidRPr="00275FBD">
        <w:rPr>
          <w:rFonts w:cs="TimesNewRomanPSMT"/>
          <w:szCs w:val="20"/>
          <w:lang w:val="sl-SI" w:eastAsia="en-GB"/>
        </w:rPr>
        <w:t>2 dodatna ukrepa</w:t>
      </w:r>
      <w:r w:rsidR="00391BF1">
        <w:rPr>
          <w:rFonts w:cs="TimesNewRomanPSMT"/>
          <w:szCs w:val="20"/>
          <w:lang w:val="sl-SI" w:eastAsia="en-GB"/>
        </w:rPr>
        <w:t>, kar je bilo izvedeno</w:t>
      </w:r>
      <w:r w:rsidRPr="00275FBD">
        <w:rPr>
          <w:rFonts w:cs="TimesNewRomanPSMT"/>
          <w:szCs w:val="20"/>
          <w:lang w:val="sl-SI" w:eastAsia="en-GB"/>
        </w:rPr>
        <w:t xml:space="preserve">. </w:t>
      </w:r>
    </w:p>
    <w:p w14:paraId="451B1F5B" w14:textId="5E634F13" w:rsidR="00D13096" w:rsidRPr="00275FBD" w:rsidRDefault="00D13096" w:rsidP="00D13096">
      <w:pPr>
        <w:rPr>
          <w:rFonts w:cs="TimesNewRomanPSMT"/>
          <w:szCs w:val="20"/>
          <w:lang w:val="sl-SI" w:eastAsia="en-GB"/>
        </w:rPr>
      </w:pPr>
      <w:r w:rsidRPr="00275FBD">
        <w:rPr>
          <w:rFonts w:cs="TimesNewRomanPSMT"/>
          <w:szCs w:val="20"/>
          <w:lang w:val="sl-SI" w:eastAsia="en-GB"/>
        </w:rPr>
        <w:t xml:space="preserve">Preostalih 74 </w:t>
      </w:r>
      <w:r w:rsidR="00BD5705" w:rsidRPr="00275FBD">
        <w:rPr>
          <w:rFonts w:cs="TimesNewRomanPSMT"/>
          <w:szCs w:val="20"/>
          <w:lang w:val="sl-SI" w:eastAsia="en-GB"/>
        </w:rPr>
        <w:t xml:space="preserve">najdb </w:t>
      </w:r>
      <w:r w:rsidRPr="00275FBD">
        <w:rPr>
          <w:rFonts w:cs="TimesNewRomanPSMT"/>
          <w:szCs w:val="20"/>
          <w:lang w:val="sl-SI" w:eastAsia="en-GB"/>
        </w:rPr>
        <w:t>ni zajet</w:t>
      </w:r>
      <w:r w:rsidR="009A2367">
        <w:rPr>
          <w:rFonts w:cs="TimesNewRomanPSMT"/>
          <w:szCs w:val="20"/>
          <w:lang w:val="sl-SI" w:eastAsia="en-GB"/>
        </w:rPr>
        <w:t>ih</w:t>
      </w:r>
      <w:r w:rsidRPr="00275FBD">
        <w:rPr>
          <w:rFonts w:cs="TimesNewRomanPSMT"/>
          <w:szCs w:val="20"/>
          <w:lang w:val="sl-SI" w:eastAsia="en-GB"/>
        </w:rPr>
        <w:t xml:space="preserve"> </w:t>
      </w:r>
      <w:r w:rsidR="00391BF1">
        <w:rPr>
          <w:rFonts w:cs="TimesNewRomanPSMT"/>
          <w:szCs w:val="20"/>
          <w:lang w:val="sl-SI" w:eastAsia="en-GB"/>
        </w:rPr>
        <w:t>v</w:t>
      </w:r>
      <w:r w:rsidR="00391BF1" w:rsidRPr="00275FBD">
        <w:rPr>
          <w:rFonts w:cs="TimesNewRomanPSMT"/>
          <w:szCs w:val="20"/>
          <w:lang w:val="sl-SI" w:eastAsia="en-GB"/>
        </w:rPr>
        <w:t xml:space="preserve"> </w:t>
      </w:r>
      <w:r w:rsidR="00FD3159" w:rsidRPr="00FD3159">
        <w:rPr>
          <w:rFonts w:cs="TimesNewRomanPSMT"/>
          <w:szCs w:val="20"/>
          <w:lang w:val="sl-SI" w:eastAsia="en-GB"/>
        </w:rPr>
        <w:t>načrt izvedbe ukrepov</w:t>
      </w:r>
      <w:r w:rsidRPr="00275FBD">
        <w:rPr>
          <w:rFonts w:cs="TimesNewRomanPSMT"/>
          <w:szCs w:val="20"/>
          <w:lang w:val="sl-SI" w:eastAsia="en-GB"/>
        </w:rPr>
        <w:t xml:space="preserve"> </w:t>
      </w:r>
      <w:r w:rsidR="009A2367">
        <w:rPr>
          <w:rFonts w:cs="TimesNewRomanPSMT"/>
          <w:szCs w:val="20"/>
          <w:lang w:val="sl-SI" w:eastAsia="en-GB"/>
        </w:rPr>
        <w:t>in</w:t>
      </w:r>
      <w:r w:rsidR="00FD3159">
        <w:rPr>
          <w:rFonts w:cs="TimesNewRomanPSMT"/>
          <w:szCs w:val="20"/>
          <w:lang w:val="sl-SI" w:eastAsia="en-GB"/>
        </w:rPr>
        <w:t xml:space="preserve"> </w:t>
      </w:r>
      <w:r w:rsidRPr="00275FBD">
        <w:rPr>
          <w:rFonts w:cs="TimesNewRomanPSMT"/>
          <w:szCs w:val="20"/>
          <w:lang w:val="sl-SI" w:eastAsia="en-GB"/>
        </w:rPr>
        <w:t>bodo ponovno obravnavan</w:t>
      </w:r>
      <w:r w:rsidR="00115B39">
        <w:rPr>
          <w:rFonts w:cs="TimesNewRomanPSMT"/>
          <w:szCs w:val="20"/>
          <w:lang w:val="sl-SI" w:eastAsia="en-GB"/>
        </w:rPr>
        <w:t>e</w:t>
      </w:r>
      <w:r w:rsidRPr="00275FBD">
        <w:rPr>
          <w:rFonts w:cs="TimesNewRomanPSMT"/>
          <w:szCs w:val="20"/>
          <w:lang w:val="sl-SI" w:eastAsia="en-GB"/>
        </w:rPr>
        <w:t xml:space="preserve"> </w:t>
      </w:r>
      <w:r w:rsidR="00391BF1">
        <w:rPr>
          <w:rFonts w:cs="TimesNewRomanPSMT"/>
          <w:szCs w:val="20"/>
          <w:lang w:val="sl-SI" w:eastAsia="en-GB"/>
        </w:rPr>
        <w:t>v</w:t>
      </w:r>
      <w:r w:rsidR="00391BF1" w:rsidRPr="00275FBD">
        <w:rPr>
          <w:rFonts w:cs="TimesNewRomanPSMT"/>
          <w:szCs w:val="20"/>
          <w:lang w:val="sl-SI" w:eastAsia="en-GB"/>
        </w:rPr>
        <w:t xml:space="preserve"> </w:t>
      </w:r>
      <w:r w:rsidRPr="00275FBD">
        <w:rPr>
          <w:rFonts w:cs="TimesNewRomanPSMT"/>
          <w:szCs w:val="20"/>
          <w:lang w:val="sl-SI" w:eastAsia="en-GB"/>
        </w:rPr>
        <w:t>naslednjem PSR.</w:t>
      </w:r>
    </w:p>
    <w:p w14:paraId="5191BC4F" w14:textId="7661CC29" w:rsidR="001A4560" w:rsidRPr="00275FBD" w:rsidRDefault="001A4560" w:rsidP="001A4560">
      <w:pPr>
        <w:rPr>
          <w:lang w:val="sl-SI" w:eastAsia="en-GB"/>
        </w:rPr>
      </w:pPr>
      <w:r w:rsidRPr="00275FBD">
        <w:rPr>
          <w:lang w:val="sl-SI" w:eastAsia="en-GB"/>
        </w:rPr>
        <w:t xml:space="preserve">Glede na </w:t>
      </w:r>
      <w:r w:rsidR="00391BF1">
        <w:rPr>
          <w:lang w:val="sl-SI" w:eastAsia="en-GB"/>
        </w:rPr>
        <w:t>določe</w:t>
      </w:r>
      <w:r w:rsidR="00391BF1" w:rsidRPr="00275FBD">
        <w:rPr>
          <w:lang w:val="sl-SI" w:eastAsia="en-GB"/>
        </w:rPr>
        <w:t xml:space="preserve">ne </w:t>
      </w:r>
      <w:r w:rsidR="00395621" w:rsidRPr="00275FBD">
        <w:rPr>
          <w:lang w:val="sl-SI" w:eastAsia="en-GB"/>
        </w:rPr>
        <w:t>najdbe</w:t>
      </w:r>
      <w:r w:rsidRPr="00275FBD">
        <w:rPr>
          <w:lang w:val="sl-SI" w:eastAsia="en-GB"/>
        </w:rPr>
        <w:t xml:space="preserve">, njihovo presojo in njihovo vključitev v </w:t>
      </w:r>
      <w:r w:rsidR="00FD3159" w:rsidRPr="00FD3159">
        <w:rPr>
          <w:lang w:val="sl-SI" w:eastAsia="en-GB"/>
        </w:rPr>
        <w:t xml:space="preserve">načrt izvedbe ukrepov </w:t>
      </w:r>
      <w:r w:rsidRPr="00275FBD">
        <w:rPr>
          <w:lang w:val="sl-SI" w:eastAsia="en-GB"/>
        </w:rPr>
        <w:t xml:space="preserve">za pravočasno reševanje </w:t>
      </w:r>
      <w:r w:rsidR="00683657" w:rsidRPr="00275FBD">
        <w:rPr>
          <w:lang w:val="sl-SI" w:eastAsia="en-GB"/>
        </w:rPr>
        <w:t>menimo</w:t>
      </w:r>
      <w:r w:rsidRPr="00275FBD">
        <w:rPr>
          <w:lang w:val="sl-SI" w:eastAsia="en-GB"/>
        </w:rPr>
        <w:t xml:space="preserve">, da ni </w:t>
      </w:r>
      <w:r w:rsidR="00391BF1">
        <w:rPr>
          <w:lang w:val="sl-SI" w:eastAsia="en-GB"/>
        </w:rPr>
        <w:t xml:space="preserve">nobenega preostalega </w:t>
      </w:r>
      <w:r w:rsidRPr="00275FBD">
        <w:rPr>
          <w:lang w:val="sl-SI" w:eastAsia="en-GB"/>
        </w:rPr>
        <w:t>pomembnega</w:t>
      </w:r>
      <w:r w:rsidR="005B082A" w:rsidRPr="00275FBD">
        <w:rPr>
          <w:lang w:val="sl-SI" w:eastAsia="en-GB"/>
        </w:rPr>
        <w:t>,</w:t>
      </w:r>
      <w:r w:rsidRPr="00275FBD">
        <w:rPr>
          <w:lang w:val="sl-SI" w:eastAsia="en-GB"/>
        </w:rPr>
        <w:t xml:space="preserve"> posebnega ali kumulativnega vpliva na stanje varnosti </w:t>
      </w:r>
      <w:r w:rsidR="003703C4" w:rsidRPr="00275FBD">
        <w:rPr>
          <w:lang w:val="sl-SI" w:eastAsia="en-GB"/>
        </w:rPr>
        <w:t>objekta</w:t>
      </w:r>
      <w:r w:rsidRPr="00275FBD">
        <w:rPr>
          <w:lang w:val="sl-SI" w:eastAsia="en-GB"/>
        </w:rPr>
        <w:t xml:space="preserve">, </w:t>
      </w:r>
      <w:r w:rsidR="00391BF1">
        <w:rPr>
          <w:lang w:val="sl-SI" w:eastAsia="en-GB"/>
        </w:rPr>
        <w:t xml:space="preserve">kot je bilo </w:t>
      </w:r>
      <w:r w:rsidRPr="00275FBD">
        <w:rPr>
          <w:lang w:val="sl-SI" w:eastAsia="en-GB"/>
        </w:rPr>
        <w:t>ocenjeno z vidika obrambe</w:t>
      </w:r>
      <w:r w:rsidR="00115B39" w:rsidRPr="004832AC">
        <w:rPr>
          <w:rFonts w:cs="TimesNewRomanPSMT"/>
          <w:szCs w:val="20"/>
          <w:lang w:val="sl-SI" w:eastAsia="en-GB"/>
        </w:rPr>
        <w:t xml:space="preserve"> v globino</w:t>
      </w:r>
      <w:r w:rsidRPr="00275FBD">
        <w:rPr>
          <w:lang w:val="sl-SI" w:eastAsia="en-GB"/>
        </w:rPr>
        <w:t xml:space="preserve"> in </w:t>
      </w:r>
      <w:r w:rsidR="00391BF1">
        <w:rPr>
          <w:lang w:val="sl-SI" w:eastAsia="en-GB"/>
        </w:rPr>
        <w:t xml:space="preserve">z </w:t>
      </w:r>
      <w:r w:rsidRPr="00275FBD">
        <w:rPr>
          <w:lang w:val="sl-SI" w:eastAsia="en-GB"/>
        </w:rPr>
        <w:t>ocen</w:t>
      </w:r>
      <w:r w:rsidR="00391BF1">
        <w:rPr>
          <w:lang w:val="sl-SI" w:eastAsia="en-GB"/>
        </w:rPr>
        <w:t>o</w:t>
      </w:r>
      <w:r w:rsidRPr="00275FBD">
        <w:rPr>
          <w:lang w:val="sl-SI" w:eastAsia="en-GB"/>
        </w:rPr>
        <w:t xml:space="preserve"> tveganja.</w:t>
      </w:r>
    </w:p>
    <w:p w14:paraId="5EF1FEEF" w14:textId="6379CD32" w:rsidR="001A4560" w:rsidRPr="00275FBD" w:rsidRDefault="001A4560" w:rsidP="001A4560">
      <w:pPr>
        <w:rPr>
          <w:lang w:val="sl-SI" w:eastAsia="en-GB"/>
        </w:rPr>
      </w:pPr>
      <w:r w:rsidRPr="00275FBD">
        <w:rPr>
          <w:lang w:val="sl-SI" w:eastAsia="en-GB"/>
        </w:rPr>
        <w:t xml:space="preserve">Dokazana je varnost projekta in obratovanja </w:t>
      </w:r>
      <w:r w:rsidR="00391BF1">
        <w:rPr>
          <w:lang w:val="sl-SI" w:eastAsia="en-GB"/>
        </w:rPr>
        <w:t>elektrarne</w:t>
      </w:r>
      <w:r w:rsidRPr="00275FBD">
        <w:rPr>
          <w:lang w:val="sl-SI" w:eastAsia="en-GB"/>
        </w:rPr>
        <w:t xml:space="preserve">. </w:t>
      </w:r>
      <w:r w:rsidR="00391BF1">
        <w:rPr>
          <w:lang w:val="sl-SI" w:eastAsia="en-GB"/>
        </w:rPr>
        <w:t>V obravnavanem obdobju PSR je bil i</w:t>
      </w:r>
      <w:r w:rsidRPr="00275FBD">
        <w:rPr>
          <w:lang w:val="sl-SI" w:eastAsia="en-GB"/>
        </w:rPr>
        <w:t xml:space="preserve">zveden obsežen program nadgradnje varnosti, </w:t>
      </w:r>
      <w:r w:rsidR="00391BF1">
        <w:rPr>
          <w:lang w:val="sl-SI" w:eastAsia="en-GB"/>
        </w:rPr>
        <w:t xml:space="preserve">vključno s </w:t>
      </w:r>
      <w:r w:rsidRPr="00275FBD">
        <w:rPr>
          <w:lang w:val="sl-SI" w:eastAsia="en-GB"/>
        </w:rPr>
        <w:t xml:space="preserve">procesi varnostnega pregleda in ocene varnosti. Varnost nadaljnjega </w:t>
      </w:r>
      <w:r w:rsidRPr="00C32854">
        <w:rPr>
          <w:lang w:val="sl-SI" w:eastAsia="en-GB"/>
        </w:rPr>
        <w:t xml:space="preserve">obratovanja vsaj do naslednjega PSR bo zagotovljena z načrtovanim izvajanjem ukrepov PSR3, ukrepov </w:t>
      </w:r>
      <w:r w:rsidR="00C32854">
        <w:rPr>
          <w:lang w:val="sl-SI" w:eastAsia="en-GB"/>
        </w:rPr>
        <w:t>»</w:t>
      </w:r>
      <w:r w:rsidR="00C32854" w:rsidRPr="00C32854">
        <w:rPr>
          <w:lang w:val="sl-SI" w:eastAsia="en-GB"/>
        </w:rPr>
        <w:t>pred</w:t>
      </w:r>
      <w:r w:rsidR="00C32854">
        <w:rPr>
          <w:lang w:val="sl-SI" w:eastAsia="en-GB"/>
        </w:rPr>
        <w:t>-</w:t>
      </w:r>
      <w:r w:rsidRPr="00C32854">
        <w:rPr>
          <w:lang w:val="sl-SI" w:eastAsia="en-GB"/>
        </w:rPr>
        <w:t>SALTO</w:t>
      </w:r>
      <w:r w:rsidR="00C32854">
        <w:rPr>
          <w:lang w:val="sl-SI" w:eastAsia="en-GB"/>
        </w:rPr>
        <w:t>«</w:t>
      </w:r>
      <w:r w:rsidRPr="00C32854">
        <w:rPr>
          <w:lang w:val="sl-SI" w:eastAsia="en-GB"/>
        </w:rPr>
        <w:t xml:space="preserve"> ter drugih programov elektrarne, postopkov in določb</w:t>
      </w:r>
      <w:r w:rsidRPr="00275FBD">
        <w:rPr>
          <w:lang w:val="sl-SI" w:eastAsia="en-GB"/>
        </w:rPr>
        <w:t xml:space="preserve"> za nadzor projekta elektrarne, opreme in učinkovitosti človeškega </w:t>
      </w:r>
      <w:r w:rsidR="00FE4C6E">
        <w:rPr>
          <w:lang w:val="sl-SI" w:eastAsia="en-GB"/>
        </w:rPr>
        <w:t>dejavnika</w:t>
      </w:r>
      <w:r w:rsidR="00FE4C6E" w:rsidRPr="00275FBD">
        <w:rPr>
          <w:lang w:val="sl-SI" w:eastAsia="en-GB"/>
        </w:rPr>
        <w:t xml:space="preserve"> </w:t>
      </w:r>
      <w:r w:rsidRPr="00275FBD">
        <w:rPr>
          <w:lang w:val="sl-SI" w:eastAsia="en-GB"/>
        </w:rPr>
        <w:t>ter obratovalne varnosti.</w:t>
      </w:r>
    </w:p>
    <w:p w14:paraId="34F0783C" w14:textId="77777777" w:rsidR="0061337B" w:rsidRPr="00275FBD" w:rsidRDefault="0061337B" w:rsidP="004E184B">
      <w:pPr>
        <w:rPr>
          <w:lang w:val="sl-SI"/>
        </w:rPr>
      </w:pPr>
    </w:p>
    <w:p w14:paraId="30AAC524" w14:textId="77777777" w:rsidR="00B31B25" w:rsidRPr="00275FBD" w:rsidRDefault="00B31B25" w:rsidP="004E184B">
      <w:pPr>
        <w:rPr>
          <w:lang w:val="sl-SI"/>
        </w:rPr>
        <w:sectPr w:rsidR="00B31B25" w:rsidRPr="00275FBD" w:rsidSect="005F6909">
          <w:headerReference w:type="even" r:id="rId17"/>
          <w:headerReference w:type="default" r:id="rId18"/>
          <w:footerReference w:type="default" r:id="rId19"/>
          <w:headerReference w:type="first" r:id="rId20"/>
          <w:footerReference w:type="first" r:id="rId21"/>
          <w:pgSz w:w="11906" w:h="16838" w:code="9"/>
          <w:pgMar w:top="1418" w:right="1418" w:bottom="1418" w:left="1418" w:header="708" w:footer="708" w:gutter="0"/>
          <w:cols w:space="708"/>
          <w:docGrid w:linePitch="272"/>
        </w:sectPr>
      </w:pPr>
    </w:p>
    <w:p w14:paraId="2259D311" w14:textId="669B9F38" w:rsidR="00115CB5" w:rsidRPr="00275FBD" w:rsidRDefault="00E82F4A" w:rsidP="00E26A9A">
      <w:pPr>
        <w:spacing w:before="480" w:after="240"/>
        <w:ind w:right="-142"/>
        <w:rPr>
          <w:b/>
          <w:caps/>
          <w:sz w:val="28"/>
          <w:szCs w:val="28"/>
          <w:lang w:val="sl-SI"/>
        </w:rPr>
      </w:pPr>
      <w:r w:rsidRPr="00275FBD">
        <w:rPr>
          <w:b/>
          <w:caps/>
          <w:sz w:val="28"/>
          <w:szCs w:val="28"/>
          <w:lang w:val="sl-SI"/>
        </w:rPr>
        <w:lastRenderedPageBreak/>
        <w:t>VSEBINA</w:t>
      </w:r>
    </w:p>
    <w:p w14:paraId="66E3214A" w14:textId="29D5F267" w:rsidR="00AB2085" w:rsidRDefault="001F7DF3">
      <w:pPr>
        <w:pStyle w:val="Kazalovsebine1"/>
        <w:rPr>
          <w:rFonts w:asciiTheme="minorHAnsi" w:eastAsiaTheme="minorEastAsia" w:hAnsiTheme="minorHAnsi" w:cstheme="minorBidi"/>
          <w:b w:val="0"/>
          <w:bCs w:val="0"/>
          <w:caps w:val="0"/>
          <w:noProof/>
          <w:kern w:val="2"/>
          <w:sz w:val="22"/>
          <w:szCs w:val="22"/>
          <w:lang w:eastAsia="en-GB"/>
          <w14:ligatures w14:val="standardContextual"/>
        </w:rPr>
      </w:pPr>
      <w:r w:rsidRPr="00275FBD">
        <w:rPr>
          <w:b w:val="0"/>
          <w:bCs w:val="0"/>
          <w:caps w:val="0"/>
          <w:sz w:val="22"/>
          <w:lang w:val="sl-SI"/>
        </w:rPr>
        <w:fldChar w:fldCharType="begin"/>
      </w:r>
      <w:r w:rsidR="00CE69BA" w:rsidRPr="00275FBD">
        <w:rPr>
          <w:b w:val="0"/>
          <w:bCs w:val="0"/>
          <w:caps w:val="0"/>
          <w:sz w:val="22"/>
          <w:lang w:val="sl-SI"/>
        </w:rPr>
        <w:instrText xml:space="preserve"> TOC \o "1-3" \h \z \t "Heading 7;1" </w:instrText>
      </w:r>
      <w:r w:rsidRPr="00275FBD">
        <w:rPr>
          <w:b w:val="0"/>
          <w:bCs w:val="0"/>
          <w:caps w:val="0"/>
          <w:sz w:val="22"/>
          <w:lang w:val="sl-SI"/>
        </w:rPr>
        <w:fldChar w:fldCharType="separate"/>
      </w:r>
      <w:hyperlink w:anchor="_Toc163197409" w:history="1">
        <w:r w:rsidR="00AB2085" w:rsidRPr="00C4305B">
          <w:rPr>
            <w:rStyle w:val="Hiperpovezava"/>
            <w:noProof/>
            <w:lang w:val="sl-SI"/>
          </w:rPr>
          <w:t>POVZETEK</w:t>
        </w:r>
        <w:r w:rsidR="00AB2085">
          <w:rPr>
            <w:noProof/>
            <w:webHidden/>
          </w:rPr>
          <w:tab/>
        </w:r>
        <w:r w:rsidR="00AB2085">
          <w:rPr>
            <w:noProof/>
            <w:webHidden/>
          </w:rPr>
          <w:fldChar w:fldCharType="begin"/>
        </w:r>
        <w:r w:rsidR="00AB2085">
          <w:rPr>
            <w:noProof/>
            <w:webHidden/>
          </w:rPr>
          <w:instrText xml:space="preserve"> PAGEREF _Toc163197409 \h </w:instrText>
        </w:r>
        <w:r w:rsidR="00AB2085">
          <w:rPr>
            <w:noProof/>
            <w:webHidden/>
          </w:rPr>
        </w:r>
        <w:r w:rsidR="00AB2085">
          <w:rPr>
            <w:noProof/>
            <w:webHidden/>
          </w:rPr>
          <w:fldChar w:fldCharType="separate"/>
        </w:r>
        <w:r w:rsidR="00BA25CD">
          <w:rPr>
            <w:noProof/>
            <w:webHidden/>
          </w:rPr>
          <w:t>4</w:t>
        </w:r>
        <w:r w:rsidR="00AB2085">
          <w:rPr>
            <w:noProof/>
            <w:webHidden/>
          </w:rPr>
          <w:fldChar w:fldCharType="end"/>
        </w:r>
      </w:hyperlink>
    </w:p>
    <w:p w14:paraId="328105C6" w14:textId="7FCD2292" w:rsidR="00AB2085" w:rsidRDefault="00360BE3">
      <w:pPr>
        <w:pStyle w:val="Kazalovsebine1"/>
        <w:rPr>
          <w:rFonts w:asciiTheme="minorHAnsi" w:eastAsiaTheme="minorEastAsia" w:hAnsiTheme="minorHAnsi" w:cstheme="minorBidi"/>
          <w:b w:val="0"/>
          <w:bCs w:val="0"/>
          <w:caps w:val="0"/>
          <w:noProof/>
          <w:kern w:val="2"/>
          <w:sz w:val="22"/>
          <w:szCs w:val="22"/>
          <w:lang w:eastAsia="en-GB"/>
          <w14:ligatures w14:val="standardContextual"/>
        </w:rPr>
      </w:pPr>
      <w:hyperlink w:anchor="_Toc163197410" w:history="1">
        <w:r w:rsidR="00AB2085" w:rsidRPr="00C4305B">
          <w:rPr>
            <w:rStyle w:val="Hiperpovezava"/>
            <w:noProof/>
            <w:lang w:val="sl-SI"/>
          </w:rPr>
          <w:t>SEZNAM OKRAJŠAV</w:t>
        </w:r>
        <w:r w:rsidR="00AB2085">
          <w:rPr>
            <w:noProof/>
            <w:webHidden/>
          </w:rPr>
          <w:tab/>
        </w:r>
        <w:r w:rsidR="00AB2085">
          <w:rPr>
            <w:noProof/>
            <w:webHidden/>
          </w:rPr>
          <w:fldChar w:fldCharType="begin"/>
        </w:r>
        <w:r w:rsidR="00AB2085">
          <w:rPr>
            <w:noProof/>
            <w:webHidden/>
          </w:rPr>
          <w:instrText xml:space="preserve"> PAGEREF _Toc163197410 \h </w:instrText>
        </w:r>
        <w:r w:rsidR="00AB2085">
          <w:rPr>
            <w:noProof/>
            <w:webHidden/>
          </w:rPr>
        </w:r>
        <w:r w:rsidR="00AB2085">
          <w:rPr>
            <w:noProof/>
            <w:webHidden/>
          </w:rPr>
          <w:fldChar w:fldCharType="separate"/>
        </w:r>
        <w:r w:rsidR="00BA25CD">
          <w:rPr>
            <w:noProof/>
            <w:webHidden/>
          </w:rPr>
          <w:t>7</w:t>
        </w:r>
        <w:r w:rsidR="00AB2085">
          <w:rPr>
            <w:noProof/>
            <w:webHidden/>
          </w:rPr>
          <w:fldChar w:fldCharType="end"/>
        </w:r>
      </w:hyperlink>
    </w:p>
    <w:p w14:paraId="1AC75A5E" w14:textId="48F33211" w:rsidR="00AB2085" w:rsidRDefault="00360BE3">
      <w:pPr>
        <w:pStyle w:val="Kazalovsebine1"/>
        <w:rPr>
          <w:rFonts w:asciiTheme="minorHAnsi" w:eastAsiaTheme="minorEastAsia" w:hAnsiTheme="minorHAnsi" w:cstheme="minorBidi"/>
          <w:b w:val="0"/>
          <w:bCs w:val="0"/>
          <w:caps w:val="0"/>
          <w:noProof/>
          <w:kern w:val="2"/>
          <w:sz w:val="22"/>
          <w:szCs w:val="22"/>
          <w:lang w:eastAsia="en-GB"/>
          <w14:ligatures w14:val="standardContextual"/>
        </w:rPr>
      </w:pPr>
      <w:hyperlink w:anchor="_Toc163197411" w:history="1">
        <w:r w:rsidR="00AB2085" w:rsidRPr="00C4305B">
          <w:rPr>
            <w:rStyle w:val="Hiperpovezava"/>
            <w:noProof/>
            <w:lang w:val="sl-SI"/>
          </w:rPr>
          <w:t>SEZNAM TABEL</w:t>
        </w:r>
        <w:r w:rsidR="00AB2085">
          <w:rPr>
            <w:noProof/>
            <w:webHidden/>
          </w:rPr>
          <w:tab/>
        </w:r>
        <w:r w:rsidR="00AB2085">
          <w:rPr>
            <w:noProof/>
            <w:webHidden/>
          </w:rPr>
          <w:fldChar w:fldCharType="begin"/>
        </w:r>
        <w:r w:rsidR="00AB2085">
          <w:rPr>
            <w:noProof/>
            <w:webHidden/>
          </w:rPr>
          <w:instrText xml:space="preserve"> PAGEREF _Toc163197411 \h </w:instrText>
        </w:r>
        <w:r w:rsidR="00AB2085">
          <w:rPr>
            <w:noProof/>
            <w:webHidden/>
          </w:rPr>
        </w:r>
        <w:r w:rsidR="00AB2085">
          <w:rPr>
            <w:noProof/>
            <w:webHidden/>
          </w:rPr>
          <w:fldChar w:fldCharType="separate"/>
        </w:r>
        <w:r w:rsidR="00BA25CD">
          <w:rPr>
            <w:noProof/>
            <w:webHidden/>
          </w:rPr>
          <w:t>9</w:t>
        </w:r>
        <w:r w:rsidR="00AB2085">
          <w:rPr>
            <w:noProof/>
            <w:webHidden/>
          </w:rPr>
          <w:fldChar w:fldCharType="end"/>
        </w:r>
      </w:hyperlink>
    </w:p>
    <w:p w14:paraId="6CE28F07" w14:textId="5BF020BE" w:rsidR="00AB2085" w:rsidRDefault="00360BE3">
      <w:pPr>
        <w:pStyle w:val="Kazalovsebine1"/>
        <w:rPr>
          <w:rFonts w:asciiTheme="minorHAnsi" w:eastAsiaTheme="minorEastAsia" w:hAnsiTheme="minorHAnsi" w:cstheme="minorBidi"/>
          <w:b w:val="0"/>
          <w:bCs w:val="0"/>
          <w:caps w:val="0"/>
          <w:noProof/>
          <w:kern w:val="2"/>
          <w:sz w:val="22"/>
          <w:szCs w:val="22"/>
          <w:lang w:eastAsia="en-GB"/>
          <w14:ligatures w14:val="standardContextual"/>
        </w:rPr>
      </w:pPr>
      <w:hyperlink w:anchor="_Toc163197412" w:history="1">
        <w:r w:rsidR="00AB2085" w:rsidRPr="00C4305B">
          <w:rPr>
            <w:rStyle w:val="Hiperpovezava"/>
            <w:noProof/>
            <w:lang w:val="sl-SI"/>
          </w:rPr>
          <w:t>SEZNAM SLIK</w:t>
        </w:r>
        <w:r w:rsidR="00AB2085">
          <w:rPr>
            <w:noProof/>
            <w:webHidden/>
          </w:rPr>
          <w:tab/>
        </w:r>
        <w:r w:rsidR="00AB2085">
          <w:rPr>
            <w:noProof/>
            <w:webHidden/>
          </w:rPr>
          <w:fldChar w:fldCharType="begin"/>
        </w:r>
        <w:r w:rsidR="00AB2085">
          <w:rPr>
            <w:noProof/>
            <w:webHidden/>
          </w:rPr>
          <w:instrText xml:space="preserve"> PAGEREF _Toc163197412 \h </w:instrText>
        </w:r>
        <w:r w:rsidR="00AB2085">
          <w:rPr>
            <w:noProof/>
            <w:webHidden/>
          </w:rPr>
        </w:r>
        <w:r w:rsidR="00AB2085">
          <w:rPr>
            <w:noProof/>
            <w:webHidden/>
          </w:rPr>
          <w:fldChar w:fldCharType="separate"/>
        </w:r>
        <w:r w:rsidR="00BA25CD">
          <w:rPr>
            <w:noProof/>
            <w:webHidden/>
          </w:rPr>
          <w:t>10</w:t>
        </w:r>
        <w:r w:rsidR="00AB2085">
          <w:rPr>
            <w:noProof/>
            <w:webHidden/>
          </w:rPr>
          <w:fldChar w:fldCharType="end"/>
        </w:r>
      </w:hyperlink>
    </w:p>
    <w:p w14:paraId="4A95F94D" w14:textId="72F3150A" w:rsidR="00AB2085" w:rsidRDefault="00360BE3">
      <w:pPr>
        <w:pStyle w:val="Kazalovsebine1"/>
        <w:rPr>
          <w:rFonts w:asciiTheme="minorHAnsi" w:eastAsiaTheme="minorEastAsia" w:hAnsiTheme="minorHAnsi" w:cstheme="minorBidi"/>
          <w:b w:val="0"/>
          <w:bCs w:val="0"/>
          <w:caps w:val="0"/>
          <w:noProof/>
          <w:kern w:val="2"/>
          <w:sz w:val="22"/>
          <w:szCs w:val="22"/>
          <w:lang w:eastAsia="en-GB"/>
          <w14:ligatures w14:val="standardContextual"/>
        </w:rPr>
      </w:pPr>
      <w:hyperlink w:anchor="_Toc163197413" w:history="1">
        <w:r w:rsidR="00AB2085" w:rsidRPr="00C4305B">
          <w:rPr>
            <w:rStyle w:val="Hiperpovezava"/>
            <w:noProof/>
            <w:lang w:val="sl-SI"/>
          </w:rPr>
          <w:t>1.</w:t>
        </w:r>
        <w:r w:rsidR="00AB2085">
          <w:rPr>
            <w:rFonts w:asciiTheme="minorHAnsi" w:eastAsiaTheme="minorEastAsia" w:hAnsiTheme="minorHAnsi" w:cstheme="minorBidi"/>
            <w:b w:val="0"/>
            <w:bCs w:val="0"/>
            <w:caps w:val="0"/>
            <w:noProof/>
            <w:kern w:val="2"/>
            <w:sz w:val="22"/>
            <w:szCs w:val="22"/>
            <w:lang w:eastAsia="en-GB"/>
            <w14:ligatures w14:val="standardContextual"/>
          </w:rPr>
          <w:tab/>
        </w:r>
        <w:r w:rsidR="00AB2085" w:rsidRPr="00C4305B">
          <w:rPr>
            <w:rStyle w:val="Hiperpovezava"/>
            <w:noProof/>
            <w:lang w:val="sl-SI"/>
          </w:rPr>
          <w:t>Uvod</w:t>
        </w:r>
        <w:r w:rsidR="00AB2085">
          <w:rPr>
            <w:noProof/>
            <w:webHidden/>
          </w:rPr>
          <w:tab/>
        </w:r>
        <w:r w:rsidR="00AB2085">
          <w:rPr>
            <w:noProof/>
            <w:webHidden/>
          </w:rPr>
          <w:fldChar w:fldCharType="begin"/>
        </w:r>
        <w:r w:rsidR="00AB2085">
          <w:rPr>
            <w:noProof/>
            <w:webHidden/>
          </w:rPr>
          <w:instrText xml:space="preserve"> PAGEREF _Toc163197413 \h </w:instrText>
        </w:r>
        <w:r w:rsidR="00AB2085">
          <w:rPr>
            <w:noProof/>
            <w:webHidden/>
          </w:rPr>
        </w:r>
        <w:r w:rsidR="00AB2085">
          <w:rPr>
            <w:noProof/>
            <w:webHidden/>
          </w:rPr>
          <w:fldChar w:fldCharType="separate"/>
        </w:r>
        <w:r w:rsidR="00BA25CD">
          <w:rPr>
            <w:noProof/>
            <w:webHidden/>
          </w:rPr>
          <w:t>11</w:t>
        </w:r>
        <w:r w:rsidR="00AB2085">
          <w:rPr>
            <w:noProof/>
            <w:webHidden/>
          </w:rPr>
          <w:fldChar w:fldCharType="end"/>
        </w:r>
      </w:hyperlink>
    </w:p>
    <w:p w14:paraId="7689DF41" w14:textId="781D89B2" w:rsidR="00AB2085" w:rsidRDefault="00360BE3">
      <w:pPr>
        <w:pStyle w:val="Kazalovsebine2"/>
        <w:rPr>
          <w:rFonts w:asciiTheme="minorHAnsi" w:eastAsiaTheme="minorEastAsia" w:hAnsiTheme="minorHAnsi" w:cstheme="minorBidi"/>
          <w:noProof/>
          <w:kern w:val="2"/>
          <w:sz w:val="22"/>
          <w:szCs w:val="22"/>
          <w:lang w:eastAsia="en-GB"/>
          <w14:ligatures w14:val="standardContextual"/>
        </w:rPr>
      </w:pPr>
      <w:hyperlink w:anchor="_Toc163197414" w:history="1">
        <w:r w:rsidR="00AB2085" w:rsidRPr="00C4305B">
          <w:rPr>
            <w:rStyle w:val="Hiperpovezava"/>
            <w:noProof/>
            <w:lang w:val="sl-SI"/>
          </w:rPr>
          <w:t>1.1.</w:t>
        </w:r>
        <w:r w:rsidR="00AB2085">
          <w:rPr>
            <w:rFonts w:asciiTheme="minorHAnsi" w:eastAsiaTheme="minorEastAsia" w:hAnsiTheme="minorHAnsi" w:cstheme="minorBidi"/>
            <w:noProof/>
            <w:kern w:val="2"/>
            <w:sz w:val="22"/>
            <w:szCs w:val="22"/>
            <w:lang w:eastAsia="en-GB"/>
            <w14:ligatures w14:val="standardContextual"/>
          </w:rPr>
          <w:tab/>
        </w:r>
        <w:r w:rsidR="00AB2085" w:rsidRPr="00C4305B">
          <w:rPr>
            <w:rStyle w:val="Hiperpovezava"/>
            <w:noProof/>
            <w:lang w:val="sl-SI"/>
          </w:rPr>
          <w:t>Ozadje</w:t>
        </w:r>
        <w:r w:rsidR="00AB2085">
          <w:rPr>
            <w:noProof/>
            <w:webHidden/>
          </w:rPr>
          <w:tab/>
        </w:r>
        <w:r w:rsidR="00AB2085">
          <w:rPr>
            <w:noProof/>
            <w:webHidden/>
          </w:rPr>
          <w:fldChar w:fldCharType="begin"/>
        </w:r>
        <w:r w:rsidR="00AB2085">
          <w:rPr>
            <w:noProof/>
            <w:webHidden/>
          </w:rPr>
          <w:instrText xml:space="preserve"> PAGEREF _Toc163197414 \h </w:instrText>
        </w:r>
        <w:r w:rsidR="00AB2085">
          <w:rPr>
            <w:noProof/>
            <w:webHidden/>
          </w:rPr>
        </w:r>
        <w:r w:rsidR="00AB2085">
          <w:rPr>
            <w:noProof/>
            <w:webHidden/>
          </w:rPr>
          <w:fldChar w:fldCharType="separate"/>
        </w:r>
        <w:r w:rsidR="00BA25CD">
          <w:rPr>
            <w:noProof/>
            <w:webHidden/>
          </w:rPr>
          <w:t>11</w:t>
        </w:r>
        <w:r w:rsidR="00AB2085">
          <w:rPr>
            <w:noProof/>
            <w:webHidden/>
          </w:rPr>
          <w:fldChar w:fldCharType="end"/>
        </w:r>
      </w:hyperlink>
    </w:p>
    <w:p w14:paraId="2246AA1D" w14:textId="2C984FE3" w:rsidR="00AB2085" w:rsidRDefault="00360BE3">
      <w:pPr>
        <w:pStyle w:val="Kazalovsebine2"/>
        <w:rPr>
          <w:rFonts w:asciiTheme="minorHAnsi" w:eastAsiaTheme="minorEastAsia" w:hAnsiTheme="minorHAnsi" w:cstheme="minorBidi"/>
          <w:noProof/>
          <w:kern w:val="2"/>
          <w:sz w:val="22"/>
          <w:szCs w:val="22"/>
          <w:lang w:eastAsia="en-GB"/>
          <w14:ligatures w14:val="standardContextual"/>
        </w:rPr>
      </w:pPr>
      <w:hyperlink w:anchor="_Toc163197415" w:history="1">
        <w:r w:rsidR="00AB2085" w:rsidRPr="00C4305B">
          <w:rPr>
            <w:rStyle w:val="Hiperpovezava"/>
            <w:noProof/>
            <w:lang w:val="sl-SI"/>
          </w:rPr>
          <w:t>1.2.</w:t>
        </w:r>
        <w:r w:rsidR="00AB2085">
          <w:rPr>
            <w:rFonts w:asciiTheme="minorHAnsi" w:eastAsiaTheme="minorEastAsia" w:hAnsiTheme="minorHAnsi" w:cstheme="minorBidi"/>
            <w:noProof/>
            <w:kern w:val="2"/>
            <w:sz w:val="22"/>
            <w:szCs w:val="22"/>
            <w:lang w:eastAsia="en-GB"/>
            <w14:ligatures w14:val="standardContextual"/>
          </w:rPr>
          <w:tab/>
        </w:r>
        <w:r w:rsidR="00AB2085" w:rsidRPr="00C4305B">
          <w:rPr>
            <w:rStyle w:val="Hiperpovezava"/>
            <w:noProof/>
            <w:lang w:val="sl-SI"/>
          </w:rPr>
          <w:t>Obseg in omejitve</w:t>
        </w:r>
        <w:r w:rsidR="00AB2085">
          <w:rPr>
            <w:noProof/>
            <w:webHidden/>
          </w:rPr>
          <w:tab/>
        </w:r>
        <w:r w:rsidR="00AB2085">
          <w:rPr>
            <w:noProof/>
            <w:webHidden/>
          </w:rPr>
          <w:fldChar w:fldCharType="begin"/>
        </w:r>
        <w:r w:rsidR="00AB2085">
          <w:rPr>
            <w:noProof/>
            <w:webHidden/>
          </w:rPr>
          <w:instrText xml:space="preserve"> PAGEREF _Toc163197415 \h </w:instrText>
        </w:r>
        <w:r w:rsidR="00AB2085">
          <w:rPr>
            <w:noProof/>
            <w:webHidden/>
          </w:rPr>
        </w:r>
        <w:r w:rsidR="00AB2085">
          <w:rPr>
            <w:noProof/>
            <w:webHidden/>
          </w:rPr>
          <w:fldChar w:fldCharType="separate"/>
        </w:r>
        <w:r w:rsidR="00BA25CD">
          <w:rPr>
            <w:noProof/>
            <w:webHidden/>
          </w:rPr>
          <w:t>11</w:t>
        </w:r>
        <w:r w:rsidR="00AB2085">
          <w:rPr>
            <w:noProof/>
            <w:webHidden/>
          </w:rPr>
          <w:fldChar w:fldCharType="end"/>
        </w:r>
      </w:hyperlink>
    </w:p>
    <w:p w14:paraId="0BF8EAC9" w14:textId="51F18913" w:rsidR="00AB2085" w:rsidRDefault="00360BE3">
      <w:pPr>
        <w:pStyle w:val="Kazalovsebine2"/>
        <w:rPr>
          <w:rFonts w:asciiTheme="minorHAnsi" w:eastAsiaTheme="minorEastAsia" w:hAnsiTheme="minorHAnsi" w:cstheme="minorBidi"/>
          <w:noProof/>
          <w:kern w:val="2"/>
          <w:sz w:val="22"/>
          <w:szCs w:val="22"/>
          <w:lang w:eastAsia="en-GB"/>
          <w14:ligatures w14:val="standardContextual"/>
        </w:rPr>
      </w:pPr>
      <w:hyperlink w:anchor="_Toc163197416" w:history="1">
        <w:r w:rsidR="00AB2085" w:rsidRPr="00C4305B">
          <w:rPr>
            <w:rStyle w:val="Hiperpovezava"/>
            <w:noProof/>
            <w:lang w:val="sl-SI"/>
          </w:rPr>
          <w:t>1.3.</w:t>
        </w:r>
        <w:r w:rsidR="00AB2085">
          <w:rPr>
            <w:rFonts w:asciiTheme="minorHAnsi" w:eastAsiaTheme="minorEastAsia" w:hAnsiTheme="minorHAnsi" w:cstheme="minorBidi"/>
            <w:noProof/>
            <w:kern w:val="2"/>
            <w:sz w:val="22"/>
            <w:szCs w:val="22"/>
            <w:lang w:eastAsia="en-GB"/>
            <w14:ligatures w14:val="standardContextual"/>
          </w:rPr>
          <w:tab/>
        </w:r>
        <w:r w:rsidR="00AB2085" w:rsidRPr="00C4305B">
          <w:rPr>
            <w:rStyle w:val="Hiperpovezava"/>
            <w:noProof/>
            <w:lang w:val="sl-SI"/>
          </w:rPr>
          <w:t>Cilj in namen</w:t>
        </w:r>
        <w:r w:rsidR="00AB2085">
          <w:rPr>
            <w:noProof/>
            <w:webHidden/>
          </w:rPr>
          <w:tab/>
        </w:r>
        <w:r w:rsidR="00AB2085">
          <w:rPr>
            <w:noProof/>
            <w:webHidden/>
          </w:rPr>
          <w:fldChar w:fldCharType="begin"/>
        </w:r>
        <w:r w:rsidR="00AB2085">
          <w:rPr>
            <w:noProof/>
            <w:webHidden/>
          </w:rPr>
          <w:instrText xml:space="preserve"> PAGEREF _Toc163197416 \h </w:instrText>
        </w:r>
        <w:r w:rsidR="00AB2085">
          <w:rPr>
            <w:noProof/>
            <w:webHidden/>
          </w:rPr>
        </w:r>
        <w:r w:rsidR="00AB2085">
          <w:rPr>
            <w:noProof/>
            <w:webHidden/>
          </w:rPr>
          <w:fldChar w:fldCharType="separate"/>
        </w:r>
        <w:r w:rsidR="00BA25CD">
          <w:rPr>
            <w:noProof/>
            <w:webHidden/>
          </w:rPr>
          <w:t>13</w:t>
        </w:r>
        <w:r w:rsidR="00AB2085">
          <w:rPr>
            <w:noProof/>
            <w:webHidden/>
          </w:rPr>
          <w:fldChar w:fldCharType="end"/>
        </w:r>
      </w:hyperlink>
    </w:p>
    <w:p w14:paraId="6753E919" w14:textId="25575715" w:rsidR="00AB2085" w:rsidRDefault="00360BE3">
      <w:pPr>
        <w:pStyle w:val="Kazalovsebine2"/>
        <w:rPr>
          <w:rFonts w:asciiTheme="minorHAnsi" w:eastAsiaTheme="minorEastAsia" w:hAnsiTheme="minorHAnsi" w:cstheme="minorBidi"/>
          <w:noProof/>
          <w:kern w:val="2"/>
          <w:sz w:val="22"/>
          <w:szCs w:val="22"/>
          <w:lang w:eastAsia="en-GB"/>
          <w14:ligatures w14:val="standardContextual"/>
        </w:rPr>
      </w:pPr>
      <w:hyperlink w:anchor="_Toc163197417" w:history="1">
        <w:r w:rsidR="00AB2085" w:rsidRPr="00C4305B">
          <w:rPr>
            <w:rStyle w:val="Hiperpovezava"/>
            <w:noProof/>
            <w:lang w:val="sl-SI"/>
          </w:rPr>
          <w:t>1.4.</w:t>
        </w:r>
        <w:r w:rsidR="00AB2085">
          <w:rPr>
            <w:rFonts w:asciiTheme="minorHAnsi" w:eastAsiaTheme="minorEastAsia" w:hAnsiTheme="minorHAnsi" w:cstheme="minorBidi"/>
            <w:noProof/>
            <w:kern w:val="2"/>
            <w:sz w:val="22"/>
            <w:szCs w:val="22"/>
            <w:lang w:eastAsia="en-GB"/>
            <w14:ligatures w14:val="standardContextual"/>
          </w:rPr>
          <w:tab/>
        </w:r>
        <w:r w:rsidR="00AB2085" w:rsidRPr="00C4305B">
          <w:rPr>
            <w:rStyle w:val="Hiperpovezava"/>
            <w:noProof/>
            <w:lang w:val="sl-SI"/>
          </w:rPr>
          <w:t>Organizacija in vodenje projekta ter seznam poročil PSR</w:t>
        </w:r>
        <w:r w:rsidR="00AB2085">
          <w:rPr>
            <w:noProof/>
            <w:webHidden/>
          </w:rPr>
          <w:tab/>
        </w:r>
        <w:r w:rsidR="00AB2085">
          <w:rPr>
            <w:noProof/>
            <w:webHidden/>
          </w:rPr>
          <w:fldChar w:fldCharType="begin"/>
        </w:r>
        <w:r w:rsidR="00AB2085">
          <w:rPr>
            <w:noProof/>
            <w:webHidden/>
          </w:rPr>
          <w:instrText xml:space="preserve"> PAGEREF _Toc163197417 \h </w:instrText>
        </w:r>
        <w:r w:rsidR="00AB2085">
          <w:rPr>
            <w:noProof/>
            <w:webHidden/>
          </w:rPr>
        </w:r>
        <w:r w:rsidR="00AB2085">
          <w:rPr>
            <w:noProof/>
            <w:webHidden/>
          </w:rPr>
          <w:fldChar w:fldCharType="separate"/>
        </w:r>
        <w:r w:rsidR="00BA25CD">
          <w:rPr>
            <w:noProof/>
            <w:webHidden/>
          </w:rPr>
          <w:t>13</w:t>
        </w:r>
        <w:r w:rsidR="00AB2085">
          <w:rPr>
            <w:noProof/>
            <w:webHidden/>
          </w:rPr>
          <w:fldChar w:fldCharType="end"/>
        </w:r>
      </w:hyperlink>
    </w:p>
    <w:p w14:paraId="19225A3F" w14:textId="04B9693A" w:rsidR="00AB2085" w:rsidRDefault="00360BE3">
      <w:pPr>
        <w:pStyle w:val="Kazalovsebine1"/>
        <w:rPr>
          <w:rFonts w:asciiTheme="minorHAnsi" w:eastAsiaTheme="minorEastAsia" w:hAnsiTheme="minorHAnsi" w:cstheme="minorBidi"/>
          <w:b w:val="0"/>
          <w:bCs w:val="0"/>
          <w:caps w:val="0"/>
          <w:noProof/>
          <w:kern w:val="2"/>
          <w:sz w:val="22"/>
          <w:szCs w:val="22"/>
          <w:lang w:eastAsia="en-GB"/>
          <w14:ligatures w14:val="standardContextual"/>
        </w:rPr>
      </w:pPr>
      <w:hyperlink w:anchor="_Toc163197418" w:history="1">
        <w:r w:rsidR="00AB2085" w:rsidRPr="00C4305B">
          <w:rPr>
            <w:rStyle w:val="Hiperpovezava"/>
            <w:noProof/>
            <w:lang w:val="sl-SI"/>
          </w:rPr>
          <w:t>2.</w:t>
        </w:r>
        <w:r w:rsidR="00AB2085">
          <w:rPr>
            <w:rFonts w:asciiTheme="minorHAnsi" w:eastAsiaTheme="minorEastAsia" w:hAnsiTheme="minorHAnsi" w:cstheme="minorBidi"/>
            <w:b w:val="0"/>
            <w:bCs w:val="0"/>
            <w:caps w:val="0"/>
            <w:noProof/>
            <w:kern w:val="2"/>
            <w:sz w:val="22"/>
            <w:szCs w:val="22"/>
            <w:lang w:eastAsia="en-GB"/>
            <w14:ligatures w14:val="standardContextual"/>
          </w:rPr>
          <w:tab/>
        </w:r>
        <w:r w:rsidR="00AB2085" w:rsidRPr="00C4305B">
          <w:rPr>
            <w:rStyle w:val="Hiperpovezava"/>
            <w:noProof/>
            <w:lang w:val="sl-SI"/>
          </w:rPr>
          <w:t>Pregled pristopa k izvajanju PSR</w:t>
        </w:r>
        <w:r w:rsidR="00AB2085">
          <w:rPr>
            <w:noProof/>
            <w:webHidden/>
          </w:rPr>
          <w:tab/>
        </w:r>
        <w:r w:rsidR="00AB2085">
          <w:rPr>
            <w:noProof/>
            <w:webHidden/>
          </w:rPr>
          <w:fldChar w:fldCharType="begin"/>
        </w:r>
        <w:r w:rsidR="00AB2085">
          <w:rPr>
            <w:noProof/>
            <w:webHidden/>
          </w:rPr>
          <w:instrText xml:space="preserve"> PAGEREF _Toc163197418 \h </w:instrText>
        </w:r>
        <w:r w:rsidR="00AB2085">
          <w:rPr>
            <w:noProof/>
            <w:webHidden/>
          </w:rPr>
        </w:r>
        <w:r w:rsidR="00AB2085">
          <w:rPr>
            <w:noProof/>
            <w:webHidden/>
          </w:rPr>
          <w:fldChar w:fldCharType="separate"/>
        </w:r>
        <w:r w:rsidR="00BA25CD">
          <w:rPr>
            <w:noProof/>
            <w:webHidden/>
          </w:rPr>
          <w:t>17</w:t>
        </w:r>
        <w:r w:rsidR="00AB2085">
          <w:rPr>
            <w:noProof/>
            <w:webHidden/>
          </w:rPr>
          <w:fldChar w:fldCharType="end"/>
        </w:r>
      </w:hyperlink>
    </w:p>
    <w:p w14:paraId="55ECE785" w14:textId="0F55E056" w:rsidR="00AB2085" w:rsidRDefault="00360BE3">
      <w:pPr>
        <w:pStyle w:val="Kazalovsebine2"/>
        <w:rPr>
          <w:rFonts w:asciiTheme="minorHAnsi" w:eastAsiaTheme="minorEastAsia" w:hAnsiTheme="minorHAnsi" w:cstheme="minorBidi"/>
          <w:noProof/>
          <w:kern w:val="2"/>
          <w:sz w:val="22"/>
          <w:szCs w:val="22"/>
          <w:lang w:eastAsia="en-GB"/>
          <w14:ligatures w14:val="standardContextual"/>
        </w:rPr>
      </w:pPr>
      <w:hyperlink w:anchor="_Toc163197419" w:history="1">
        <w:r w:rsidR="00AB2085" w:rsidRPr="00C4305B">
          <w:rPr>
            <w:rStyle w:val="Hiperpovezava"/>
            <w:noProof/>
            <w:lang w:val="sl-SI"/>
          </w:rPr>
          <w:t>2.1.</w:t>
        </w:r>
        <w:r w:rsidR="00AB2085">
          <w:rPr>
            <w:rFonts w:asciiTheme="minorHAnsi" w:eastAsiaTheme="minorEastAsia" w:hAnsiTheme="minorHAnsi" w:cstheme="minorBidi"/>
            <w:noProof/>
            <w:kern w:val="2"/>
            <w:sz w:val="22"/>
            <w:szCs w:val="22"/>
            <w:lang w:eastAsia="en-GB"/>
            <w14:ligatures w14:val="standardContextual"/>
          </w:rPr>
          <w:tab/>
        </w:r>
        <w:r w:rsidR="00AB2085" w:rsidRPr="00C4305B">
          <w:rPr>
            <w:rStyle w:val="Hiperpovezava"/>
            <w:noProof/>
            <w:lang w:val="sl-SI"/>
          </w:rPr>
          <w:t>Organizacijski pristop</w:t>
        </w:r>
        <w:r w:rsidR="00AB2085">
          <w:rPr>
            <w:noProof/>
            <w:webHidden/>
          </w:rPr>
          <w:tab/>
        </w:r>
        <w:r w:rsidR="00AB2085">
          <w:rPr>
            <w:noProof/>
            <w:webHidden/>
          </w:rPr>
          <w:fldChar w:fldCharType="begin"/>
        </w:r>
        <w:r w:rsidR="00AB2085">
          <w:rPr>
            <w:noProof/>
            <w:webHidden/>
          </w:rPr>
          <w:instrText xml:space="preserve"> PAGEREF _Toc163197419 \h </w:instrText>
        </w:r>
        <w:r w:rsidR="00AB2085">
          <w:rPr>
            <w:noProof/>
            <w:webHidden/>
          </w:rPr>
        </w:r>
        <w:r w:rsidR="00AB2085">
          <w:rPr>
            <w:noProof/>
            <w:webHidden/>
          </w:rPr>
          <w:fldChar w:fldCharType="separate"/>
        </w:r>
        <w:r w:rsidR="00BA25CD">
          <w:rPr>
            <w:noProof/>
            <w:webHidden/>
          </w:rPr>
          <w:t>17</w:t>
        </w:r>
        <w:r w:rsidR="00AB2085">
          <w:rPr>
            <w:noProof/>
            <w:webHidden/>
          </w:rPr>
          <w:fldChar w:fldCharType="end"/>
        </w:r>
      </w:hyperlink>
    </w:p>
    <w:p w14:paraId="7C7AC1D7" w14:textId="4ECCF64D" w:rsidR="00AB2085" w:rsidRDefault="00360BE3">
      <w:pPr>
        <w:pStyle w:val="Kazalovsebine2"/>
        <w:rPr>
          <w:rFonts w:asciiTheme="minorHAnsi" w:eastAsiaTheme="minorEastAsia" w:hAnsiTheme="minorHAnsi" w:cstheme="minorBidi"/>
          <w:noProof/>
          <w:kern w:val="2"/>
          <w:sz w:val="22"/>
          <w:szCs w:val="22"/>
          <w:lang w:eastAsia="en-GB"/>
          <w14:ligatures w14:val="standardContextual"/>
        </w:rPr>
      </w:pPr>
      <w:hyperlink w:anchor="_Toc163197420" w:history="1">
        <w:r w:rsidR="00AB2085" w:rsidRPr="00C4305B">
          <w:rPr>
            <w:rStyle w:val="Hiperpovezava"/>
            <w:noProof/>
            <w:lang w:val="sl-SI"/>
          </w:rPr>
          <w:t>2.2.</w:t>
        </w:r>
        <w:r w:rsidR="00AB2085">
          <w:rPr>
            <w:rFonts w:asciiTheme="minorHAnsi" w:eastAsiaTheme="minorEastAsia" w:hAnsiTheme="minorHAnsi" w:cstheme="minorBidi"/>
            <w:noProof/>
            <w:kern w:val="2"/>
            <w:sz w:val="22"/>
            <w:szCs w:val="22"/>
            <w:lang w:eastAsia="en-GB"/>
            <w14:ligatures w14:val="standardContextual"/>
          </w:rPr>
          <w:tab/>
        </w:r>
        <w:r w:rsidR="00AB2085" w:rsidRPr="00C4305B">
          <w:rPr>
            <w:rStyle w:val="Hiperpovezava"/>
            <w:noProof/>
            <w:lang w:val="sl-SI"/>
          </w:rPr>
          <w:t>Metodološki pristop</w:t>
        </w:r>
        <w:r w:rsidR="00AB2085">
          <w:rPr>
            <w:noProof/>
            <w:webHidden/>
          </w:rPr>
          <w:tab/>
        </w:r>
        <w:r w:rsidR="00AB2085">
          <w:rPr>
            <w:noProof/>
            <w:webHidden/>
          </w:rPr>
          <w:fldChar w:fldCharType="begin"/>
        </w:r>
        <w:r w:rsidR="00AB2085">
          <w:rPr>
            <w:noProof/>
            <w:webHidden/>
          </w:rPr>
          <w:instrText xml:space="preserve"> PAGEREF _Toc163197420 \h </w:instrText>
        </w:r>
        <w:r w:rsidR="00AB2085">
          <w:rPr>
            <w:noProof/>
            <w:webHidden/>
          </w:rPr>
        </w:r>
        <w:r w:rsidR="00AB2085">
          <w:rPr>
            <w:noProof/>
            <w:webHidden/>
          </w:rPr>
          <w:fldChar w:fldCharType="separate"/>
        </w:r>
        <w:r w:rsidR="00BA25CD">
          <w:rPr>
            <w:noProof/>
            <w:webHidden/>
          </w:rPr>
          <w:t>18</w:t>
        </w:r>
        <w:r w:rsidR="00AB2085">
          <w:rPr>
            <w:noProof/>
            <w:webHidden/>
          </w:rPr>
          <w:fldChar w:fldCharType="end"/>
        </w:r>
      </w:hyperlink>
    </w:p>
    <w:p w14:paraId="0C6B3DDC" w14:textId="4EB7BE0A" w:rsidR="00AB2085" w:rsidRDefault="00360BE3">
      <w:pPr>
        <w:pStyle w:val="Kazalovsebine3"/>
        <w:rPr>
          <w:rFonts w:asciiTheme="minorHAnsi" w:eastAsiaTheme="minorEastAsia" w:hAnsiTheme="minorHAnsi" w:cstheme="minorBidi"/>
          <w:noProof/>
          <w:kern w:val="2"/>
          <w:sz w:val="22"/>
          <w:szCs w:val="22"/>
          <w:lang w:eastAsia="en-GB"/>
          <w14:ligatures w14:val="standardContextual"/>
        </w:rPr>
      </w:pPr>
      <w:hyperlink w:anchor="_Toc163197421" w:history="1">
        <w:r w:rsidR="00AB2085" w:rsidRPr="00C4305B">
          <w:rPr>
            <w:rStyle w:val="Hiperpovezava"/>
            <w:noProof/>
            <w:lang w:val="sl-SI"/>
          </w:rPr>
          <w:t>2.2.1.</w:t>
        </w:r>
        <w:r w:rsidR="00AB2085">
          <w:rPr>
            <w:rFonts w:asciiTheme="minorHAnsi" w:eastAsiaTheme="minorEastAsia" w:hAnsiTheme="minorHAnsi" w:cstheme="minorBidi"/>
            <w:noProof/>
            <w:kern w:val="2"/>
            <w:sz w:val="22"/>
            <w:szCs w:val="22"/>
            <w:lang w:eastAsia="en-GB"/>
            <w14:ligatures w14:val="standardContextual"/>
          </w:rPr>
          <w:tab/>
        </w:r>
        <w:r w:rsidR="00AB2085" w:rsidRPr="00C4305B">
          <w:rPr>
            <w:rStyle w:val="Hiperpovezava"/>
            <w:noProof/>
            <w:lang w:val="sl-SI"/>
          </w:rPr>
          <w:t>Pregled varnostnih vsebin</w:t>
        </w:r>
        <w:r w:rsidR="00AB2085">
          <w:rPr>
            <w:noProof/>
            <w:webHidden/>
          </w:rPr>
          <w:tab/>
        </w:r>
        <w:r w:rsidR="00AB2085">
          <w:rPr>
            <w:noProof/>
            <w:webHidden/>
          </w:rPr>
          <w:fldChar w:fldCharType="begin"/>
        </w:r>
        <w:r w:rsidR="00AB2085">
          <w:rPr>
            <w:noProof/>
            <w:webHidden/>
          </w:rPr>
          <w:instrText xml:space="preserve"> PAGEREF _Toc163197421 \h </w:instrText>
        </w:r>
        <w:r w:rsidR="00AB2085">
          <w:rPr>
            <w:noProof/>
            <w:webHidden/>
          </w:rPr>
        </w:r>
        <w:r w:rsidR="00AB2085">
          <w:rPr>
            <w:noProof/>
            <w:webHidden/>
          </w:rPr>
          <w:fldChar w:fldCharType="separate"/>
        </w:r>
        <w:r w:rsidR="00BA25CD">
          <w:rPr>
            <w:noProof/>
            <w:webHidden/>
          </w:rPr>
          <w:t>18</w:t>
        </w:r>
        <w:r w:rsidR="00AB2085">
          <w:rPr>
            <w:noProof/>
            <w:webHidden/>
          </w:rPr>
          <w:fldChar w:fldCharType="end"/>
        </w:r>
      </w:hyperlink>
    </w:p>
    <w:p w14:paraId="0930D201" w14:textId="4B5CD0DE" w:rsidR="00AB2085" w:rsidRDefault="00360BE3">
      <w:pPr>
        <w:pStyle w:val="Kazalovsebine3"/>
        <w:rPr>
          <w:rFonts w:asciiTheme="minorHAnsi" w:eastAsiaTheme="minorEastAsia" w:hAnsiTheme="minorHAnsi" w:cstheme="minorBidi"/>
          <w:noProof/>
          <w:kern w:val="2"/>
          <w:sz w:val="22"/>
          <w:szCs w:val="22"/>
          <w:lang w:eastAsia="en-GB"/>
          <w14:ligatures w14:val="standardContextual"/>
        </w:rPr>
      </w:pPr>
      <w:hyperlink w:anchor="_Toc163197422" w:history="1">
        <w:r w:rsidR="00AB2085" w:rsidRPr="00C4305B">
          <w:rPr>
            <w:rStyle w:val="Hiperpovezava"/>
            <w:noProof/>
            <w:lang w:val="sl-SI"/>
          </w:rPr>
          <w:t>2.2.2.</w:t>
        </w:r>
        <w:r w:rsidR="00AB2085">
          <w:rPr>
            <w:rFonts w:asciiTheme="minorHAnsi" w:eastAsiaTheme="minorEastAsia" w:hAnsiTheme="minorHAnsi" w:cstheme="minorBidi"/>
            <w:noProof/>
            <w:kern w:val="2"/>
            <w:sz w:val="22"/>
            <w:szCs w:val="22"/>
            <w:lang w:eastAsia="en-GB"/>
            <w14:ligatures w14:val="standardContextual"/>
          </w:rPr>
          <w:tab/>
        </w:r>
        <w:r w:rsidR="00AB2085" w:rsidRPr="00C4305B">
          <w:rPr>
            <w:rStyle w:val="Hiperpovezava"/>
            <w:noProof/>
            <w:lang w:val="sl-SI"/>
          </w:rPr>
          <w:t>Končni široka in podrobna razvrstitev varnostnih najdb</w:t>
        </w:r>
        <w:r w:rsidR="00AB2085">
          <w:rPr>
            <w:noProof/>
            <w:webHidden/>
          </w:rPr>
          <w:tab/>
        </w:r>
        <w:r w:rsidR="00AB2085">
          <w:rPr>
            <w:noProof/>
            <w:webHidden/>
          </w:rPr>
          <w:fldChar w:fldCharType="begin"/>
        </w:r>
        <w:r w:rsidR="00AB2085">
          <w:rPr>
            <w:noProof/>
            <w:webHidden/>
          </w:rPr>
          <w:instrText xml:space="preserve"> PAGEREF _Toc163197422 \h </w:instrText>
        </w:r>
        <w:r w:rsidR="00AB2085">
          <w:rPr>
            <w:noProof/>
            <w:webHidden/>
          </w:rPr>
        </w:r>
        <w:r w:rsidR="00AB2085">
          <w:rPr>
            <w:noProof/>
            <w:webHidden/>
          </w:rPr>
          <w:fldChar w:fldCharType="separate"/>
        </w:r>
        <w:r w:rsidR="00BA25CD">
          <w:rPr>
            <w:noProof/>
            <w:webHidden/>
          </w:rPr>
          <w:t>20</w:t>
        </w:r>
        <w:r w:rsidR="00AB2085">
          <w:rPr>
            <w:noProof/>
            <w:webHidden/>
          </w:rPr>
          <w:fldChar w:fldCharType="end"/>
        </w:r>
      </w:hyperlink>
    </w:p>
    <w:p w14:paraId="30F522DE" w14:textId="329BDBEA" w:rsidR="00AB2085" w:rsidRDefault="00360BE3">
      <w:pPr>
        <w:pStyle w:val="Kazalovsebine3"/>
        <w:rPr>
          <w:rFonts w:asciiTheme="minorHAnsi" w:eastAsiaTheme="minorEastAsia" w:hAnsiTheme="minorHAnsi" w:cstheme="minorBidi"/>
          <w:noProof/>
          <w:kern w:val="2"/>
          <w:sz w:val="22"/>
          <w:szCs w:val="22"/>
          <w:lang w:eastAsia="en-GB"/>
          <w14:ligatures w14:val="standardContextual"/>
        </w:rPr>
      </w:pPr>
      <w:hyperlink w:anchor="_Toc163197423" w:history="1">
        <w:r w:rsidR="00AB2085" w:rsidRPr="00C4305B">
          <w:rPr>
            <w:rStyle w:val="Hiperpovezava"/>
            <w:noProof/>
            <w:lang w:val="sl-SI"/>
          </w:rPr>
          <w:t>2.2.3.</w:t>
        </w:r>
        <w:r w:rsidR="00AB2085">
          <w:rPr>
            <w:rFonts w:asciiTheme="minorHAnsi" w:eastAsiaTheme="minorEastAsia" w:hAnsiTheme="minorHAnsi" w:cstheme="minorBidi"/>
            <w:noProof/>
            <w:kern w:val="2"/>
            <w:sz w:val="22"/>
            <w:szCs w:val="22"/>
            <w:lang w:eastAsia="en-GB"/>
            <w14:ligatures w14:val="standardContextual"/>
          </w:rPr>
          <w:tab/>
        </w:r>
        <w:r w:rsidR="00AB2085" w:rsidRPr="00C4305B">
          <w:rPr>
            <w:rStyle w:val="Hiperpovezava"/>
            <w:noProof/>
            <w:lang w:val="sl-SI"/>
          </w:rPr>
          <w:t>Načrt izvedbe ukrepov (IAP)</w:t>
        </w:r>
        <w:r w:rsidR="00AB2085">
          <w:rPr>
            <w:noProof/>
            <w:webHidden/>
          </w:rPr>
          <w:tab/>
        </w:r>
        <w:r w:rsidR="00AB2085">
          <w:rPr>
            <w:noProof/>
            <w:webHidden/>
          </w:rPr>
          <w:fldChar w:fldCharType="begin"/>
        </w:r>
        <w:r w:rsidR="00AB2085">
          <w:rPr>
            <w:noProof/>
            <w:webHidden/>
          </w:rPr>
          <w:instrText xml:space="preserve"> PAGEREF _Toc163197423 \h </w:instrText>
        </w:r>
        <w:r w:rsidR="00AB2085">
          <w:rPr>
            <w:noProof/>
            <w:webHidden/>
          </w:rPr>
        </w:r>
        <w:r w:rsidR="00AB2085">
          <w:rPr>
            <w:noProof/>
            <w:webHidden/>
          </w:rPr>
          <w:fldChar w:fldCharType="separate"/>
        </w:r>
        <w:r w:rsidR="00BA25CD">
          <w:rPr>
            <w:noProof/>
            <w:webHidden/>
          </w:rPr>
          <w:t>24</w:t>
        </w:r>
        <w:r w:rsidR="00AB2085">
          <w:rPr>
            <w:noProof/>
            <w:webHidden/>
          </w:rPr>
          <w:fldChar w:fldCharType="end"/>
        </w:r>
      </w:hyperlink>
    </w:p>
    <w:p w14:paraId="47476275" w14:textId="4826251C" w:rsidR="00AB2085" w:rsidRDefault="00360BE3">
      <w:pPr>
        <w:pStyle w:val="Kazalovsebine3"/>
        <w:rPr>
          <w:rFonts w:asciiTheme="minorHAnsi" w:eastAsiaTheme="minorEastAsia" w:hAnsiTheme="minorHAnsi" w:cstheme="minorBidi"/>
          <w:noProof/>
          <w:kern w:val="2"/>
          <w:sz w:val="22"/>
          <w:szCs w:val="22"/>
          <w:lang w:eastAsia="en-GB"/>
          <w14:ligatures w14:val="standardContextual"/>
        </w:rPr>
      </w:pPr>
      <w:hyperlink w:anchor="_Toc163197424" w:history="1">
        <w:r w:rsidR="00AB2085" w:rsidRPr="00C4305B">
          <w:rPr>
            <w:rStyle w:val="Hiperpovezava"/>
            <w:noProof/>
            <w:lang w:val="sl-SI"/>
          </w:rPr>
          <w:t>2.2.4.</w:t>
        </w:r>
        <w:r w:rsidR="00AB2085">
          <w:rPr>
            <w:rFonts w:asciiTheme="minorHAnsi" w:eastAsiaTheme="minorEastAsia" w:hAnsiTheme="minorHAnsi" w:cstheme="minorBidi"/>
            <w:noProof/>
            <w:kern w:val="2"/>
            <w:sz w:val="22"/>
            <w:szCs w:val="22"/>
            <w:lang w:eastAsia="en-GB"/>
            <w14:ligatures w14:val="standardContextual"/>
          </w:rPr>
          <w:tab/>
        </w:r>
        <w:r w:rsidR="00AB2085" w:rsidRPr="00C4305B">
          <w:rPr>
            <w:rStyle w:val="Hiperpovezava"/>
            <w:noProof/>
            <w:lang w:val="sl-SI"/>
          </w:rPr>
          <w:t>Celovita ocena varnosti elektrarne</w:t>
        </w:r>
        <w:r w:rsidR="00AB2085">
          <w:rPr>
            <w:noProof/>
            <w:webHidden/>
          </w:rPr>
          <w:tab/>
        </w:r>
        <w:r w:rsidR="00AB2085">
          <w:rPr>
            <w:noProof/>
            <w:webHidden/>
          </w:rPr>
          <w:fldChar w:fldCharType="begin"/>
        </w:r>
        <w:r w:rsidR="00AB2085">
          <w:rPr>
            <w:noProof/>
            <w:webHidden/>
          </w:rPr>
          <w:instrText xml:space="preserve"> PAGEREF _Toc163197424 \h </w:instrText>
        </w:r>
        <w:r w:rsidR="00AB2085">
          <w:rPr>
            <w:noProof/>
            <w:webHidden/>
          </w:rPr>
        </w:r>
        <w:r w:rsidR="00AB2085">
          <w:rPr>
            <w:noProof/>
            <w:webHidden/>
          </w:rPr>
          <w:fldChar w:fldCharType="separate"/>
        </w:r>
        <w:r w:rsidR="00BA25CD">
          <w:rPr>
            <w:noProof/>
            <w:webHidden/>
          </w:rPr>
          <w:t>25</w:t>
        </w:r>
        <w:r w:rsidR="00AB2085">
          <w:rPr>
            <w:noProof/>
            <w:webHidden/>
          </w:rPr>
          <w:fldChar w:fldCharType="end"/>
        </w:r>
      </w:hyperlink>
    </w:p>
    <w:p w14:paraId="18990B1B" w14:textId="63C61CB0" w:rsidR="00AB2085" w:rsidRDefault="00360BE3">
      <w:pPr>
        <w:pStyle w:val="Kazalovsebine1"/>
        <w:rPr>
          <w:rFonts w:asciiTheme="minorHAnsi" w:eastAsiaTheme="minorEastAsia" w:hAnsiTheme="minorHAnsi" w:cstheme="minorBidi"/>
          <w:b w:val="0"/>
          <w:bCs w:val="0"/>
          <w:caps w:val="0"/>
          <w:noProof/>
          <w:kern w:val="2"/>
          <w:sz w:val="22"/>
          <w:szCs w:val="22"/>
          <w:lang w:eastAsia="en-GB"/>
          <w14:ligatures w14:val="standardContextual"/>
        </w:rPr>
      </w:pPr>
      <w:hyperlink w:anchor="_Toc163197425" w:history="1">
        <w:r w:rsidR="00AB2085" w:rsidRPr="00C4305B">
          <w:rPr>
            <w:rStyle w:val="Hiperpovezava"/>
            <w:noProof/>
            <w:lang w:val="sl-SI"/>
          </w:rPr>
          <w:t>3.</w:t>
        </w:r>
        <w:r w:rsidR="00AB2085">
          <w:rPr>
            <w:rFonts w:asciiTheme="minorHAnsi" w:eastAsiaTheme="minorEastAsia" w:hAnsiTheme="minorHAnsi" w:cstheme="minorBidi"/>
            <w:b w:val="0"/>
            <w:bCs w:val="0"/>
            <w:caps w:val="0"/>
            <w:noProof/>
            <w:kern w:val="2"/>
            <w:sz w:val="22"/>
            <w:szCs w:val="22"/>
            <w:lang w:eastAsia="en-GB"/>
            <w14:ligatures w14:val="standardContextual"/>
          </w:rPr>
          <w:tab/>
        </w:r>
        <w:r w:rsidR="00AB2085" w:rsidRPr="00C4305B">
          <w:rPr>
            <w:rStyle w:val="Hiperpovezava"/>
            <w:noProof/>
            <w:lang w:val="sl-SI"/>
          </w:rPr>
          <w:t>Povzetek rezultatov faze pregledA</w:t>
        </w:r>
        <w:r w:rsidR="00AB2085">
          <w:rPr>
            <w:noProof/>
            <w:webHidden/>
          </w:rPr>
          <w:tab/>
        </w:r>
        <w:r w:rsidR="00AB2085">
          <w:rPr>
            <w:noProof/>
            <w:webHidden/>
          </w:rPr>
          <w:fldChar w:fldCharType="begin"/>
        </w:r>
        <w:r w:rsidR="00AB2085">
          <w:rPr>
            <w:noProof/>
            <w:webHidden/>
          </w:rPr>
          <w:instrText xml:space="preserve"> PAGEREF _Toc163197425 \h </w:instrText>
        </w:r>
        <w:r w:rsidR="00AB2085">
          <w:rPr>
            <w:noProof/>
            <w:webHidden/>
          </w:rPr>
        </w:r>
        <w:r w:rsidR="00AB2085">
          <w:rPr>
            <w:noProof/>
            <w:webHidden/>
          </w:rPr>
          <w:fldChar w:fldCharType="separate"/>
        </w:r>
        <w:r w:rsidR="00BA25CD">
          <w:rPr>
            <w:noProof/>
            <w:webHidden/>
          </w:rPr>
          <w:t>27</w:t>
        </w:r>
        <w:r w:rsidR="00AB2085">
          <w:rPr>
            <w:noProof/>
            <w:webHidden/>
          </w:rPr>
          <w:fldChar w:fldCharType="end"/>
        </w:r>
      </w:hyperlink>
    </w:p>
    <w:p w14:paraId="424BD42A" w14:textId="4CC41F2A" w:rsidR="00AB2085" w:rsidRDefault="00360BE3">
      <w:pPr>
        <w:pStyle w:val="Kazalovsebine1"/>
        <w:rPr>
          <w:rFonts w:asciiTheme="minorHAnsi" w:eastAsiaTheme="minorEastAsia" w:hAnsiTheme="minorHAnsi" w:cstheme="minorBidi"/>
          <w:b w:val="0"/>
          <w:bCs w:val="0"/>
          <w:caps w:val="0"/>
          <w:noProof/>
          <w:kern w:val="2"/>
          <w:sz w:val="22"/>
          <w:szCs w:val="22"/>
          <w:lang w:eastAsia="en-GB"/>
          <w14:ligatures w14:val="standardContextual"/>
        </w:rPr>
      </w:pPr>
      <w:hyperlink w:anchor="_Toc163197426" w:history="1">
        <w:r w:rsidR="00AB2085" w:rsidRPr="00C4305B">
          <w:rPr>
            <w:rStyle w:val="Hiperpovezava"/>
            <w:noProof/>
            <w:lang w:val="sl-SI"/>
          </w:rPr>
          <w:t>4.</w:t>
        </w:r>
        <w:r w:rsidR="00AB2085">
          <w:rPr>
            <w:rFonts w:asciiTheme="minorHAnsi" w:eastAsiaTheme="minorEastAsia" w:hAnsiTheme="minorHAnsi" w:cstheme="minorBidi"/>
            <w:b w:val="0"/>
            <w:bCs w:val="0"/>
            <w:caps w:val="0"/>
            <w:noProof/>
            <w:kern w:val="2"/>
            <w:sz w:val="22"/>
            <w:szCs w:val="22"/>
            <w:lang w:eastAsia="en-GB"/>
            <w14:ligatures w14:val="standardContextual"/>
          </w:rPr>
          <w:tab/>
        </w:r>
        <w:r w:rsidR="00AB2085" w:rsidRPr="00C4305B">
          <w:rPr>
            <w:rStyle w:val="Hiperpovezava"/>
            <w:noProof/>
            <w:lang w:val="sl-SI"/>
          </w:rPr>
          <w:t>Ocena učinka povezav</w:t>
        </w:r>
        <w:r w:rsidR="00AB2085">
          <w:rPr>
            <w:noProof/>
            <w:webHidden/>
          </w:rPr>
          <w:tab/>
        </w:r>
        <w:r w:rsidR="00AB2085">
          <w:rPr>
            <w:noProof/>
            <w:webHidden/>
          </w:rPr>
          <w:fldChar w:fldCharType="begin"/>
        </w:r>
        <w:r w:rsidR="00AB2085">
          <w:rPr>
            <w:noProof/>
            <w:webHidden/>
          </w:rPr>
          <w:instrText xml:space="preserve"> PAGEREF _Toc163197426 \h </w:instrText>
        </w:r>
        <w:r w:rsidR="00AB2085">
          <w:rPr>
            <w:noProof/>
            <w:webHidden/>
          </w:rPr>
        </w:r>
        <w:r w:rsidR="00AB2085">
          <w:rPr>
            <w:noProof/>
            <w:webHidden/>
          </w:rPr>
          <w:fldChar w:fldCharType="separate"/>
        </w:r>
        <w:r w:rsidR="00BA25CD">
          <w:rPr>
            <w:noProof/>
            <w:webHidden/>
          </w:rPr>
          <w:t>29</w:t>
        </w:r>
        <w:r w:rsidR="00AB2085">
          <w:rPr>
            <w:noProof/>
            <w:webHidden/>
          </w:rPr>
          <w:fldChar w:fldCharType="end"/>
        </w:r>
      </w:hyperlink>
    </w:p>
    <w:p w14:paraId="7217226D" w14:textId="7C1D04D6" w:rsidR="00AB2085" w:rsidRDefault="00360BE3">
      <w:pPr>
        <w:pStyle w:val="Kazalovsebine1"/>
        <w:rPr>
          <w:rFonts w:asciiTheme="minorHAnsi" w:eastAsiaTheme="minorEastAsia" w:hAnsiTheme="minorHAnsi" w:cstheme="minorBidi"/>
          <w:b w:val="0"/>
          <w:bCs w:val="0"/>
          <w:caps w:val="0"/>
          <w:noProof/>
          <w:kern w:val="2"/>
          <w:sz w:val="22"/>
          <w:szCs w:val="22"/>
          <w:lang w:eastAsia="en-GB"/>
          <w14:ligatures w14:val="standardContextual"/>
        </w:rPr>
      </w:pPr>
      <w:hyperlink w:anchor="_Toc163197427" w:history="1">
        <w:r w:rsidR="00AB2085" w:rsidRPr="00C4305B">
          <w:rPr>
            <w:rStyle w:val="Hiperpovezava"/>
            <w:noProof/>
            <w:lang w:val="sl-SI"/>
          </w:rPr>
          <w:t>5.</w:t>
        </w:r>
        <w:r w:rsidR="00AB2085">
          <w:rPr>
            <w:rFonts w:asciiTheme="minorHAnsi" w:eastAsiaTheme="minorEastAsia" w:hAnsiTheme="minorHAnsi" w:cstheme="minorBidi"/>
            <w:b w:val="0"/>
            <w:bCs w:val="0"/>
            <w:caps w:val="0"/>
            <w:noProof/>
            <w:kern w:val="2"/>
            <w:sz w:val="22"/>
            <w:szCs w:val="22"/>
            <w:lang w:eastAsia="en-GB"/>
            <w14:ligatures w14:val="standardContextual"/>
          </w:rPr>
          <w:tab/>
        </w:r>
        <w:r w:rsidR="00AB2085" w:rsidRPr="00C4305B">
          <w:rPr>
            <w:rStyle w:val="Hiperpovezava"/>
            <w:noProof/>
            <w:lang w:val="sl-SI"/>
          </w:rPr>
          <w:t>Celovita ocena VARNOSTI elektrarne</w:t>
        </w:r>
        <w:r w:rsidR="00AB2085">
          <w:rPr>
            <w:noProof/>
            <w:webHidden/>
          </w:rPr>
          <w:tab/>
        </w:r>
        <w:r w:rsidR="00AB2085">
          <w:rPr>
            <w:noProof/>
            <w:webHidden/>
          </w:rPr>
          <w:fldChar w:fldCharType="begin"/>
        </w:r>
        <w:r w:rsidR="00AB2085">
          <w:rPr>
            <w:noProof/>
            <w:webHidden/>
          </w:rPr>
          <w:instrText xml:space="preserve"> PAGEREF _Toc163197427 \h </w:instrText>
        </w:r>
        <w:r w:rsidR="00AB2085">
          <w:rPr>
            <w:noProof/>
            <w:webHidden/>
          </w:rPr>
        </w:r>
        <w:r w:rsidR="00AB2085">
          <w:rPr>
            <w:noProof/>
            <w:webHidden/>
          </w:rPr>
          <w:fldChar w:fldCharType="separate"/>
        </w:r>
        <w:r w:rsidR="00BA25CD">
          <w:rPr>
            <w:noProof/>
            <w:webHidden/>
          </w:rPr>
          <w:t>32</w:t>
        </w:r>
        <w:r w:rsidR="00AB2085">
          <w:rPr>
            <w:noProof/>
            <w:webHidden/>
          </w:rPr>
          <w:fldChar w:fldCharType="end"/>
        </w:r>
      </w:hyperlink>
    </w:p>
    <w:p w14:paraId="7C90A143" w14:textId="02A20B65" w:rsidR="00AB2085" w:rsidRDefault="00360BE3">
      <w:pPr>
        <w:pStyle w:val="Kazalovsebine2"/>
        <w:rPr>
          <w:rFonts w:asciiTheme="minorHAnsi" w:eastAsiaTheme="minorEastAsia" w:hAnsiTheme="minorHAnsi" w:cstheme="minorBidi"/>
          <w:noProof/>
          <w:kern w:val="2"/>
          <w:sz w:val="22"/>
          <w:szCs w:val="22"/>
          <w:lang w:eastAsia="en-GB"/>
          <w14:ligatures w14:val="standardContextual"/>
        </w:rPr>
      </w:pPr>
      <w:hyperlink w:anchor="_Toc163197428" w:history="1">
        <w:r w:rsidR="00AB2085" w:rsidRPr="00C4305B">
          <w:rPr>
            <w:rStyle w:val="Hiperpovezava"/>
            <w:noProof/>
            <w:lang w:val="sl-SI" w:eastAsia="en-GB"/>
          </w:rPr>
          <w:t>5.1.</w:t>
        </w:r>
        <w:r w:rsidR="00AB2085">
          <w:rPr>
            <w:rFonts w:asciiTheme="minorHAnsi" w:eastAsiaTheme="minorEastAsia" w:hAnsiTheme="minorHAnsi" w:cstheme="minorBidi"/>
            <w:noProof/>
            <w:kern w:val="2"/>
            <w:sz w:val="22"/>
            <w:szCs w:val="22"/>
            <w:lang w:eastAsia="en-GB"/>
            <w14:ligatures w14:val="standardContextual"/>
          </w:rPr>
          <w:tab/>
        </w:r>
        <w:r w:rsidR="00AB2085" w:rsidRPr="00C4305B">
          <w:rPr>
            <w:rStyle w:val="Hiperpovezava"/>
            <w:noProof/>
            <w:lang w:val="sl-SI" w:eastAsia="en-GB"/>
          </w:rPr>
          <w:t>Ocena stanja elektrarne v času PSR3 glede na obrambo</w:t>
        </w:r>
        <w:r w:rsidR="00AB2085" w:rsidRPr="00C4305B">
          <w:rPr>
            <w:rStyle w:val="Hiperpovezava"/>
            <w:noProof/>
            <w:lang w:val="sl-SI"/>
          </w:rPr>
          <w:t xml:space="preserve"> v globino</w:t>
        </w:r>
        <w:r w:rsidR="00AB2085">
          <w:rPr>
            <w:noProof/>
            <w:webHidden/>
          </w:rPr>
          <w:tab/>
        </w:r>
        <w:r w:rsidR="00AB2085">
          <w:rPr>
            <w:noProof/>
            <w:webHidden/>
          </w:rPr>
          <w:fldChar w:fldCharType="begin"/>
        </w:r>
        <w:r w:rsidR="00AB2085">
          <w:rPr>
            <w:noProof/>
            <w:webHidden/>
          </w:rPr>
          <w:instrText xml:space="preserve"> PAGEREF _Toc163197428 \h </w:instrText>
        </w:r>
        <w:r w:rsidR="00AB2085">
          <w:rPr>
            <w:noProof/>
            <w:webHidden/>
          </w:rPr>
        </w:r>
        <w:r w:rsidR="00AB2085">
          <w:rPr>
            <w:noProof/>
            <w:webHidden/>
          </w:rPr>
          <w:fldChar w:fldCharType="separate"/>
        </w:r>
        <w:r w:rsidR="00BA25CD">
          <w:rPr>
            <w:noProof/>
            <w:webHidden/>
          </w:rPr>
          <w:t>32</w:t>
        </w:r>
        <w:r w:rsidR="00AB2085">
          <w:rPr>
            <w:noProof/>
            <w:webHidden/>
          </w:rPr>
          <w:fldChar w:fldCharType="end"/>
        </w:r>
      </w:hyperlink>
    </w:p>
    <w:p w14:paraId="5387764F" w14:textId="7C736801" w:rsidR="00AB2085" w:rsidRDefault="00360BE3">
      <w:pPr>
        <w:pStyle w:val="Kazalovsebine2"/>
        <w:rPr>
          <w:rFonts w:asciiTheme="minorHAnsi" w:eastAsiaTheme="minorEastAsia" w:hAnsiTheme="minorHAnsi" w:cstheme="minorBidi"/>
          <w:noProof/>
          <w:kern w:val="2"/>
          <w:sz w:val="22"/>
          <w:szCs w:val="22"/>
          <w:lang w:eastAsia="en-GB"/>
          <w14:ligatures w14:val="standardContextual"/>
        </w:rPr>
      </w:pPr>
      <w:hyperlink w:anchor="_Toc163197429" w:history="1">
        <w:r w:rsidR="00AB2085" w:rsidRPr="00C4305B">
          <w:rPr>
            <w:rStyle w:val="Hiperpovezava"/>
            <w:noProof/>
            <w:lang w:val="sl-SI"/>
          </w:rPr>
          <w:t>5.2.</w:t>
        </w:r>
        <w:r w:rsidR="00AB2085">
          <w:rPr>
            <w:rFonts w:asciiTheme="minorHAnsi" w:eastAsiaTheme="minorEastAsia" w:hAnsiTheme="minorHAnsi" w:cstheme="minorBidi"/>
            <w:noProof/>
            <w:kern w:val="2"/>
            <w:sz w:val="22"/>
            <w:szCs w:val="22"/>
            <w:lang w:eastAsia="en-GB"/>
            <w14:ligatures w14:val="standardContextual"/>
          </w:rPr>
          <w:tab/>
        </w:r>
        <w:r w:rsidR="00AB2085" w:rsidRPr="00C4305B">
          <w:rPr>
            <w:rStyle w:val="Hiperpovezava"/>
            <w:noProof/>
            <w:lang w:val="sl-SI"/>
          </w:rPr>
          <w:t>Ocena tveganja</w:t>
        </w:r>
        <w:r w:rsidR="00AB2085">
          <w:rPr>
            <w:noProof/>
            <w:webHidden/>
          </w:rPr>
          <w:tab/>
        </w:r>
        <w:r w:rsidR="00AB2085">
          <w:rPr>
            <w:noProof/>
            <w:webHidden/>
          </w:rPr>
          <w:fldChar w:fldCharType="begin"/>
        </w:r>
        <w:r w:rsidR="00AB2085">
          <w:rPr>
            <w:noProof/>
            <w:webHidden/>
          </w:rPr>
          <w:instrText xml:space="preserve"> PAGEREF _Toc163197429 \h </w:instrText>
        </w:r>
        <w:r w:rsidR="00AB2085">
          <w:rPr>
            <w:noProof/>
            <w:webHidden/>
          </w:rPr>
        </w:r>
        <w:r w:rsidR="00AB2085">
          <w:rPr>
            <w:noProof/>
            <w:webHidden/>
          </w:rPr>
          <w:fldChar w:fldCharType="separate"/>
        </w:r>
        <w:r w:rsidR="00BA25CD">
          <w:rPr>
            <w:noProof/>
            <w:webHidden/>
          </w:rPr>
          <w:t>37</w:t>
        </w:r>
        <w:r w:rsidR="00AB2085">
          <w:rPr>
            <w:noProof/>
            <w:webHidden/>
          </w:rPr>
          <w:fldChar w:fldCharType="end"/>
        </w:r>
      </w:hyperlink>
    </w:p>
    <w:p w14:paraId="0ED28EFE" w14:textId="6297CD7A" w:rsidR="00AB2085" w:rsidRDefault="00360BE3">
      <w:pPr>
        <w:pStyle w:val="Kazalovsebine2"/>
        <w:rPr>
          <w:rFonts w:asciiTheme="minorHAnsi" w:eastAsiaTheme="minorEastAsia" w:hAnsiTheme="minorHAnsi" w:cstheme="minorBidi"/>
          <w:noProof/>
          <w:kern w:val="2"/>
          <w:sz w:val="22"/>
          <w:szCs w:val="22"/>
          <w:lang w:eastAsia="en-GB"/>
          <w14:ligatures w14:val="standardContextual"/>
        </w:rPr>
      </w:pPr>
      <w:hyperlink w:anchor="_Toc163197430" w:history="1">
        <w:r w:rsidR="00AB2085" w:rsidRPr="00C4305B">
          <w:rPr>
            <w:rStyle w:val="Hiperpovezava"/>
            <w:noProof/>
            <w:lang w:val="sl-SI" w:eastAsia="en-GB"/>
          </w:rPr>
          <w:t>5.3.</w:t>
        </w:r>
        <w:r w:rsidR="00AB2085">
          <w:rPr>
            <w:rFonts w:asciiTheme="minorHAnsi" w:eastAsiaTheme="minorEastAsia" w:hAnsiTheme="minorHAnsi" w:cstheme="minorBidi"/>
            <w:noProof/>
            <w:kern w:val="2"/>
            <w:sz w:val="22"/>
            <w:szCs w:val="22"/>
            <w:lang w:eastAsia="en-GB"/>
            <w14:ligatures w14:val="standardContextual"/>
          </w:rPr>
          <w:tab/>
        </w:r>
        <w:r w:rsidR="00AB2085" w:rsidRPr="00C4305B">
          <w:rPr>
            <w:rStyle w:val="Hiperpovezava"/>
            <w:noProof/>
            <w:lang w:val="sl-SI" w:eastAsia="en-GB"/>
          </w:rPr>
          <w:t>Ocena vpliva najdb iz PSR3</w:t>
        </w:r>
        <w:r w:rsidR="00AB2085">
          <w:rPr>
            <w:noProof/>
            <w:webHidden/>
          </w:rPr>
          <w:tab/>
        </w:r>
        <w:r w:rsidR="00AB2085">
          <w:rPr>
            <w:noProof/>
            <w:webHidden/>
          </w:rPr>
          <w:fldChar w:fldCharType="begin"/>
        </w:r>
        <w:r w:rsidR="00AB2085">
          <w:rPr>
            <w:noProof/>
            <w:webHidden/>
          </w:rPr>
          <w:instrText xml:space="preserve"> PAGEREF _Toc163197430 \h </w:instrText>
        </w:r>
        <w:r w:rsidR="00AB2085">
          <w:rPr>
            <w:noProof/>
            <w:webHidden/>
          </w:rPr>
        </w:r>
        <w:r w:rsidR="00AB2085">
          <w:rPr>
            <w:noProof/>
            <w:webHidden/>
          </w:rPr>
          <w:fldChar w:fldCharType="separate"/>
        </w:r>
        <w:r w:rsidR="00BA25CD">
          <w:rPr>
            <w:noProof/>
            <w:webHidden/>
          </w:rPr>
          <w:t>40</w:t>
        </w:r>
        <w:r w:rsidR="00AB2085">
          <w:rPr>
            <w:noProof/>
            <w:webHidden/>
          </w:rPr>
          <w:fldChar w:fldCharType="end"/>
        </w:r>
      </w:hyperlink>
    </w:p>
    <w:p w14:paraId="3EC45507" w14:textId="06559EC6" w:rsidR="00AB2085" w:rsidRDefault="00360BE3">
      <w:pPr>
        <w:pStyle w:val="Kazalovsebine2"/>
        <w:rPr>
          <w:rFonts w:asciiTheme="minorHAnsi" w:eastAsiaTheme="minorEastAsia" w:hAnsiTheme="minorHAnsi" w:cstheme="minorBidi"/>
          <w:noProof/>
          <w:kern w:val="2"/>
          <w:sz w:val="22"/>
          <w:szCs w:val="22"/>
          <w:lang w:eastAsia="en-GB"/>
          <w14:ligatures w14:val="standardContextual"/>
        </w:rPr>
      </w:pPr>
      <w:hyperlink w:anchor="_Toc163197431" w:history="1">
        <w:r w:rsidR="00AB2085" w:rsidRPr="00C4305B">
          <w:rPr>
            <w:rStyle w:val="Hiperpovezava"/>
            <w:noProof/>
            <w:lang w:val="sl-SI" w:eastAsia="en-GB"/>
          </w:rPr>
          <w:t>5.4.</w:t>
        </w:r>
        <w:r w:rsidR="00AB2085">
          <w:rPr>
            <w:rFonts w:asciiTheme="minorHAnsi" w:eastAsiaTheme="minorEastAsia" w:hAnsiTheme="minorHAnsi" w:cstheme="minorBidi"/>
            <w:noProof/>
            <w:kern w:val="2"/>
            <w:sz w:val="22"/>
            <w:szCs w:val="22"/>
            <w:lang w:eastAsia="en-GB"/>
            <w14:ligatures w14:val="standardContextual"/>
          </w:rPr>
          <w:tab/>
        </w:r>
        <w:r w:rsidR="00AB2085" w:rsidRPr="00C4305B">
          <w:rPr>
            <w:rStyle w:val="Hiperpovezava"/>
            <w:noProof/>
            <w:lang w:val="sl-SI" w:eastAsia="en-GB"/>
          </w:rPr>
          <w:t>Upoštevanje korektivnih ukrepov iz Načrta izvedbe ukrepov PSR3</w:t>
        </w:r>
        <w:r w:rsidR="00AB2085">
          <w:rPr>
            <w:noProof/>
            <w:webHidden/>
          </w:rPr>
          <w:tab/>
        </w:r>
        <w:r w:rsidR="00AB2085">
          <w:rPr>
            <w:noProof/>
            <w:webHidden/>
          </w:rPr>
          <w:fldChar w:fldCharType="begin"/>
        </w:r>
        <w:r w:rsidR="00AB2085">
          <w:rPr>
            <w:noProof/>
            <w:webHidden/>
          </w:rPr>
          <w:instrText xml:space="preserve"> PAGEREF _Toc163197431 \h </w:instrText>
        </w:r>
        <w:r w:rsidR="00AB2085">
          <w:rPr>
            <w:noProof/>
            <w:webHidden/>
          </w:rPr>
        </w:r>
        <w:r w:rsidR="00AB2085">
          <w:rPr>
            <w:noProof/>
            <w:webHidden/>
          </w:rPr>
          <w:fldChar w:fldCharType="separate"/>
        </w:r>
        <w:r w:rsidR="00BA25CD">
          <w:rPr>
            <w:noProof/>
            <w:webHidden/>
          </w:rPr>
          <w:t>46</w:t>
        </w:r>
        <w:r w:rsidR="00AB2085">
          <w:rPr>
            <w:noProof/>
            <w:webHidden/>
          </w:rPr>
          <w:fldChar w:fldCharType="end"/>
        </w:r>
      </w:hyperlink>
    </w:p>
    <w:p w14:paraId="0CFED493" w14:textId="532107F9" w:rsidR="00AB2085" w:rsidRDefault="00360BE3">
      <w:pPr>
        <w:pStyle w:val="Kazalovsebine2"/>
        <w:rPr>
          <w:rFonts w:asciiTheme="minorHAnsi" w:eastAsiaTheme="minorEastAsia" w:hAnsiTheme="minorHAnsi" w:cstheme="minorBidi"/>
          <w:noProof/>
          <w:kern w:val="2"/>
          <w:sz w:val="22"/>
          <w:szCs w:val="22"/>
          <w:lang w:eastAsia="en-GB"/>
          <w14:ligatures w14:val="standardContextual"/>
        </w:rPr>
      </w:pPr>
      <w:hyperlink w:anchor="_Toc163197432" w:history="1">
        <w:r w:rsidR="00AB2085" w:rsidRPr="00C4305B">
          <w:rPr>
            <w:rStyle w:val="Hiperpovezava"/>
            <w:noProof/>
            <w:lang w:val="sl-SI" w:eastAsia="en-GB"/>
          </w:rPr>
          <w:t>5.5.</w:t>
        </w:r>
        <w:r w:rsidR="00AB2085">
          <w:rPr>
            <w:rFonts w:asciiTheme="minorHAnsi" w:eastAsiaTheme="minorEastAsia" w:hAnsiTheme="minorHAnsi" w:cstheme="minorBidi"/>
            <w:noProof/>
            <w:kern w:val="2"/>
            <w:sz w:val="22"/>
            <w:szCs w:val="22"/>
            <w:lang w:eastAsia="en-GB"/>
            <w14:ligatures w14:val="standardContextual"/>
          </w:rPr>
          <w:tab/>
        </w:r>
        <w:r w:rsidR="00AB2085" w:rsidRPr="00C4305B">
          <w:rPr>
            <w:rStyle w:val="Hiperpovezava"/>
            <w:noProof/>
            <w:lang w:val="sl-SI" w:eastAsia="en-GB"/>
          </w:rPr>
          <w:t>Zaključki glede varnosti elektrarne in nadaljevanja obratovanja</w:t>
        </w:r>
        <w:r w:rsidR="00AB2085">
          <w:rPr>
            <w:noProof/>
            <w:webHidden/>
          </w:rPr>
          <w:tab/>
        </w:r>
        <w:r w:rsidR="00AB2085">
          <w:rPr>
            <w:noProof/>
            <w:webHidden/>
          </w:rPr>
          <w:fldChar w:fldCharType="begin"/>
        </w:r>
        <w:r w:rsidR="00AB2085">
          <w:rPr>
            <w:noProof/>
            <w:webHidden/>
          </w:rPr>
          <w:instrText xml:space="preserve"> PAGEREF _Toc163197432 \h </w:instrText>
        </w:r>
        <w:r w:rsidR="00AB2085">
          <w:rPr>
            <w:noProof/>
            <w:webHidden/>
          </w:rPr>
        </w:r>
        <w:r w:rsidR="00AB2085">
          <w:rPr>
            <w:noProof/>
            <w:webHidden/>
          </w:rPr>
          <w:fldChar w:fldCharType="separate"/>
        </w:r>
        <w:r w:rsidR="00BA25CD">
          <w:rPr>
            <w:noProof/>
            <w:webHidden/>
          </w:rPr>
          <w:t>48</w:t>
        </w:r>
        <w:r w:rsidR="00AB2085">
          <w:rPr>
            <w:noProof/>
            <w:webHidden/>
          </w:rPr>
          <w:fldChar w:fldCharType="end"/>
        </w:r>
      </w:hyperlink>
    </w:p>
    <w:p w14:paraId="272DB584" w14:textId="4DF4BE4D" w:rsidR="00AB2085" w:rsidRDefault="00360BE3">
      <w:pPr>
        <w:pStyle w:val="Kazalovsebine1"/>
        <w:rPr>
          <w:rFonts w:asciiTheme="minorHAnsi" w:eastAsiaTheme="minorEastAsia" w:hAnsiTheme="minorHAnsi" w:cstheme="minorBidi"/>
          <w:b w:val="0"/>
          <w:bCs w:val="0"/>
          <w:caps w:val="0"/>
          <w:noProof/>
          <w:kern w:val="2"/>
          <w:sz w:val="22"/>
          <w:szCs w:val="22"/>
          <w:lang w:eastAsia="en-GB"/>
          <w14:ligatures w14:val="standardContextual"/>
        </w:rPr>
      </w:pPr>
      <w:hyperlink w:anchor="_Toc163197433" w:history="1">
        <w:r w:rsidR="00AB2085" w:rsidRPr="00C4305B">
          <w:rPr>
            <w:rStyle w:val="Hiperpovezava"/>
            <w:noProof/>
            <w:lang w:val="sl-SI"/>
          </w:rPr>
          <w:t>6.</w:t>
        </w:r>
        <w:r w:rsidR="00AB2085">
          <w:rPr>
            <w:rFonts w:asciiTheme="minorHAnsi" w:eastAsiaTheme="minorEastAsia" w:hAnsiTheme="minorHAnsi" w:cstheme="minorBidi"/>
            <w:b w:val="0"/>
            <w:bCs w:val="0"/>
            <w:caps w:val="0"/>
            <w:noProof/>
            <w:kern w:val="2"/>
            <w:sz w:val="22"/>
            <w:szCs w:val="22"/>
            <w:lang w:eastAsia="en-GB"/>
            <w14:ligatures w14:val="standardContextual"/>
          </w:rPr>
          <w:tab/>
        </w:r>
        <w:r w:rsidR="00AB2085" w:rsidRPr="00C4305B">
          <w:rPr>
            <w:rStyle w:val="Hiperpovezava"/>
            <w:noProof/>
            <w:lang w:val="sl-SI"/>
          </w:rPr>
          <w:t>Zaključki</w:t>
        </w:r>
        <w:r w:rsidR="00AB2085">
          <w:rPr>
            <w:noProof/>
            <w:webHidden/>
          </w:rPr>
          <w:tab/>
        </w:r>
        <w:r w:rsidR="00AB2085">
          <w:rPr>
            <w:noProof/>
            <w:webHidden/>
          </w:rPr>
          <w:fldChar w:fldCharType="begin"/>
        </w:r>
        <w:r w:rsidR="00AB2085">
          <w:rPr>
            <w:noProof/>
            <w:webHidden/>
          </w:rPr>
          <w:instrText xml:space="preserve"> PAGEREF _Toc163197433 \h </w:instrText>
        </w:r>
        <w:r w:rsidR="00AB2085">
          <w:rPr>
            <w:noProof/>
            <w:webHidden/>
          </w:rPr>
        </w:r>
        <w:r w:rsidR="00AB2085">
          <w:rPr>
            <w:noProof/>
            <w:webHidden/>
          </w:rPr>
          <w:fldChar w:fldCharType="separate"/>
        </w:r>
        <w:r w:rsidR="00BA25CD">
          <w:rPr>
            <w:noProof/>
            <w:webHidden/>
          </w:rPr>
          <w:t>52</w:t>
        </w:r>
        <w:r w:rsidR="00AB2085">
          <w:rPr>
            <w:noProof/>
            <w:webHidden/>
          </w:rPr>
          <w:fldChar w:fldCharType="end"/>
        </w:r>
      </w:hyperlink>
    </w:p>
    <w:p w14:paraId="1F993F94" w14:textId="3723B984" w:rsidR="00AB2085" w:rsidRDefault="00360BE3">
      <w:pPr>
        <w:pStyle w:val="Kazalovsebine1"/>
        <w:rPr>
          <w:rFonts w:asciiTheme="minorHAnsi" w:eastAsiaTheme="minorEastAsia" w:hAnsiTheme="minorHAnsi" w:cstheme="minorBidi"/>
          <w:b w:val="0"/>
          <w:bCs w:val="0"/>
          <w:caps w:val="0"/>
          <w:noProof/>
          <w:kern w:val="2"/>
          <w:sz w:val="22"/>
          <w:szCs w:val="22"/>
          <w:lang w:eastAsia="en-GB"/>
          <w14:ligatures w14:val="standardContextual"/>
        </w:rPr>
      </w:pPr>
      <w:hyperlink w:anchor="_Toc163197434" w:history="1">
        <w:r w:rsidR="00AB2085" w:rsidRPr="00C4305B">
          <w:rPr>
            <w:rStyle w:val="Hiperpovezava"/>
            <w:noProof/>
            <w:lang w:val="sl-SI"/>
          </w:rPr>
          <w:t>7.</w:t>
        </w:r>
        <w:r w:rsidR="00AB2085">
          <w:rPr>
            <w:rFonts w:asciiTheme="minorHAnsi" w:eastAsiaTheme="minorEastAsia" w:hAnsiTheme="minorHAnsi" w:cstheme="minorBidi"/>
            <w:b w:val="0"/>
            <w:bCs w:val="0"/>
            <w:caps w:val="0"/>
            <w:noProof/>
            <w:kern w:val="2"/>
            <w:sz w:val="22"/>
            <w:szCs w:val="22"/>
            <w:lang w:eastAsia="en-GB"/>
            <w14:ligatures w14:val="standardContextual"/>
          </w:rPr>
          <w:tab/>
        </w:r>
        <w:r w:rsidR="00AB2085" w:rsidRPr="00C4305B">
          <w:rPr>
            <w:rStyle w:val="Hiperpovezava"/>
            <w:noProof/>
            <w:lang w:val="sl-SI"/>
          </w:rPr>
          <w:t>Reference</w:t>
        </w:r>
        <w:r w:rsidR="00AB2085">
          <w:rPr>
            <w:noProof/>
            <w:webHidden/>
          </w:rPr>
          <w:tab/>
        </w:r>
        <w:r w:rsidR="00AB2085">
          <w:rPr>
            <w:noProof/>
            <w:webHidden/>
          </w:rPr>
          <w:fldChar w:fldCharType="begin"/>
        </w:r>
        <w:r w:rsidR="00AB2085">
          <w:rPr>
            <w:noProof/>
            <w:webHidden/>
          </w:rPr>
          <w:instrText xml:space="preserve"> PAGEREF _Toc163197434 \h </w:instrText>
        </w:r>
        <w:r w:rsidR="00AB2085">
          <w:rPr>
            <w:noProof/>
            <w:webHidden/>
          </w:rPr>
        </w:r>
        <w:r w:rsidR="00AB2085">
          <w:rPr>
            <w:noProof/>
            <w:webHidden/>
          </w:rPr>
          <w:fldChar w:fldCharType="separate"/>
        </w:r>
        <w:r w:rsidR="00BA25CD">
          <w:rPr>
            <w:noProof/>
            <w:webHidden/>
          </w:rPr>
          <w:t>54</w:t>
        </w:r>
        <w:r w:rsidR="00AB2085">
          <w:rPr>
            <w:noProof/>
            <w:webHidden/>
          </w:rPr>
          <w:fldChar w:fldCharType="end"/>
        </w:r>
      </w:hyperlink>
    </w:p>
    <w:p w14:paraId="5528D433" w14:textId="7BAA6829" w:rsidR="00AB2085" w:rsidRDefault="00360BE3">
      <w:pPr>
        <w:pStyle w:val="Kazalovsebine1"/>
        <w:rPr>
          <w:rFonts w:asciiTheme="minorHAnsi" w:eastAsiaTheme="minorEastAsia" w:hAnsiTheme="minorHAnsi" w:cstheme="minorBidi"/>
          <w:b w:val="0"/>
          <w:bCs w:val="0"/>
          <w:caps w:val="0"/>
          <w:noProof/>
          <w:kern w:val="2"/>
          <w:sz w:val="22"/>
          <w:szCs w:val="22"/>
          <w:lang w:eastAsia="en-GB"/>
          <w14:ligatures w14:val="standardContextual"/>
        </w:rPr>
      </w:pPr>
      <w:hyperlink w:anchor="_Toc163197435" w:history="1">
        <w:r w:rsidR="00AB2085" w:rsidRPr="00C4305B">
          <w:rPr>
            <w:rStyle w:val="Hiperpovezava"/>
            <w:noProof/>
            <w:lang w:val="sl-SI"/>
          </w:rPr>
          <w:t>Dodatek 1: Načrt izvedbe ukrepov (IAP)</w:t>
        </w:r>
        <w:r w:rsidR="00AB2085">
          <w:rPr>
            <w:noProof/>
            <w:webHidden/>
          </w:rPr>
          <w:tab/>
        </w:r>
        <w:r w:rsidR="00AB2085">
          <w:rPr>
            <w:noProof/>
            <w:webHidden/>
          </w:rPr>
          <w:fldChar w:fldCharType="begin"/>
        </w:r>
        <w:r w:rsidR="00AB2085">
          <w:rPr>
            <w:noProof/>
            <w:webHidden/>
          </w:rPr>
          <w:instrText xml:space="preserve"> PAGEREF _Toc163197435 \h </w:instrText>
        </w:r>
        <w:r w:rsidR="00AB2085">
          <w:rPr>
            <w:noProof/>
            <w:webHidden/>
          </w:rPr>
        </w:r>
        <w:r w:rsidR="00AB2085">
          <w:rPr>
            <w:noProof/>
            <w:webHidden/>
          </w:rPr>
          <w:fldChar w:fldCharType="separate"/>
        </w:r>
        <w:r w:rsidR="00BA25CD">
          <w:rPr>
            <w:noProof/>
            <w:webHidden/>
          </w:rPr>
          <w:t>56</w:t>
        </w:r>
        <w:r w:rsidR="00AB2085">
          <w:rPr>
            <w:noProof/>
            <w:webHidden/>
          </w:rPr>
          <w:fldChar w:fldCharType="end"/>
        </w:r>
      </w:hyperlink>
    </w:p>
    <w:p w14:paraId="69401F89" w14:textId="1A6194A7" w:rsidR="00EB4666" w:rsidRPr="00275FBD" w:rsidRDefault="001F7DF3" w:rsidP="006576F5">
      <w:pPr>
        <w:pStyle w:val="Kazalovsebine1"/>
        <w:tabs>
          <w:tab w:val="clear" w:pos="9072"/>
          <w:tab w:val="left" w:pos="1760"/>
          <w:tab w:val="right" w:pos="9000"/>
        </w:tabs>
        <w:ind w:right="1032"/>
        <w:rPr>
          <w:lang w:val="sl-SI"/>
        </w:rPr>
      </w:pPr>
      <w:r w:rsidRPr="00275FBD">
        <w:rPr>
          <w:sz w:val="22"/>
          <w:lang w:val="sl-SI"/>
        </w:rPr>
        <w:fldChar w:fldCharType="end"/>
      </w:r>
      <w:r w:rsidR="00EB4666" w:rsidRPr="00275FBD">
        <w:rPr>
          <w:lang w:val="sl-SI"/>
        </w:rPr>
        <w:br w:type="page"/>
      </w:r>
    </w:p>
    <w:tbl>
      <w:tblPr>
        <w:tblW w:w="9214" w:type="dxa"/>
        <w:tblInd w:w="108" w:type="dxa"/>
        <w:tblLayout w:type="fixed"/>
        <w:tblLook w:val="0000" w:firstRow="0" w:lastRow="0" w:firstColumn="0" w:lastColumn="0" w:noHBand="0" w:noVBand="0"/>
      </w:tblPr>
      <w:tblGrid>
        <w:gridCol w:w="1985"/>
        <w:gridCol w:w="7229"/>
      </w:tblGrid>
      <w:tr w:rsidR="00C722AD" w:rsidRPr="00275FBD" w14:paraId="08E823B0" w14:textId="77777777" w:rsidTr="00860B26">
        <w:trPr>
          <w:cantSplit/>
          <w:trHeight w:val="200"/>
          <w:tblHeader/>
        </w:trPr>
        <w:tc>
          <w:tcPr>
            <w:tcW w:w="9214" w:type="dxa"/>
            <w:gridSpan w:val="2"/>
          </w:tcPr>
          <w:p w14:paraId="5C06B8B0" w14:textId="2CF70FCF" w:rsidR="00C722AD" w:rsidRPr="00275FBD" w:rsidRDefault="00860B26" w:rsidP="001A7DAD">
            <w:pPr>
              <w:pStyle w:val="Naslov"/>
              <w:spacing w:before="120" w:after="240"/>
              <w:rPr>
                <w:lang w:val="sl-SI"/>
              </w:rPr>
            </w:pPr>
            <w:bookmarkStart w:id="4" w:name="_Toc163197410"/>
            <w:bookmarkStart w:id="5" w:name="_Toc58126142"/>
            <w:bookmarkStart w:id="6" w:name="_Ref126377426"/>
            <w:bookmarkStart w:id="7" w:name="_Ref126377763"/>
            <w:bookmarkStart w:id="8" w:name="_Ref126633160"/>
            <w:bookmarkStart w:id="9" w:name="_Ref126633184"/>
            <w:bookmarkStart w:id="10" w:name="_Toc133902459"/>
            <w:r w:rsidRPr="00275FBD">
              <w:rPr>
                <w:lang w:val="sl-SI"/>
              </w:rPr>
              <w:lastRenderedPageBreak/>
              <w:t>SEZNAM OKRAJŠAV</w:t>
            </w:r>
            <w:bookmarkEnd w:id="4"/>
          </w:p>
        </w:tc>
      </w:tr>
      <w:tr w:rsidR="00860B26" w:rsidRPr="00C656D7" w14:paraId="6398B147" w14:textId="77777777" w:rsidTr="00860B26">
        <w:trPr>
          <w:cantSplit/>
          <w:trHeight w:val="200"/>
        </w:trPr>
        <w:tc>
          <w:tcPr>
            <w:tcW w:w="9214" w:type="dxa"/>
            <w:gridSpan w:val="2"/>
          </w:tcPr>
          <w:p w14:paraId="06AADACD" w14:textId="21068FBE" w:rsidR="00860B26" w:rsidRPr="00275FBD" w:rsidRDefault="00860B26" w:rsidP="00860B26">
            <w:pPr>
              <w:rPr>
                <w:i/>
                <w:iCs/>
                <w:szCs w:val="20"/>
                <w:lang w:val="sl-SI"/>
              </w:rPr>
            </w:pPr>
            <w:r w:rsidRPr="00275FBD">
              <w:rPr>
                <w:b/>
                <w:bCs/>
                <w:i/>
                <w:iCs/>
                <w:szCs w:val="20"/>
                <w:lang w:val="sl-SI"/>
              </w:rPr>
              <w:t>Pripomba</w:t>
            </w:r>
            <w:r w:rsidRPr="00275FBD">
              <w:rPr>
                <w:i/>
                <w:iCs/>
                <w:szCs w:val="20"/>
                <w:lang w:val="sl-SI"/>
              </w:rPr>
              <w:t>: Izvirna, angleška, verzija dokumentacije izdelan</w:t>
            </w:r>
            <w:r w:rsidR="004654D4">
              <w:rPr>
                <w:i/>
                <w:iCs/>
                <w:szCs w:val="20"/>
                <w:lang w:val="sl-SI"/>
              </w:rPr>
              <w:t>a</w:t>
            </w:r>
            <w:r w:rsidRPr="00275FBD">
              <w:rPr>
                <w:i/>
                <w:iCs/>
                <w:szCs w:val="20"/>
                <w:lang w:val="sl-SI"/>
              </w:rPr>
              <w:t xml:space="preserve"> za potrebe PSR3 vsebuje večje število okrajšav angleških izrazov in fraz, ki </w:t>
            </w:r>
            <w:r w:rsidR="004654D4">
              <w:rPr>
                <w:i/>
                <w:iCs/>
                <w:szCs w:val="20"/>
                <w:lang w:val="sl-SI"/>
              </w:rPr>
              <w:t>so</w:t>
            </w:r>
            <w:r w:rsidRPr="00275FBD">
              <w:rPr>
                <w:i/>
                <w:iCs/>
                <w:szCs w:val="20"/>
                <w:lang w:val="sl-SI"/>
              </w:rPr>
              <w:t xml:space="preserve"> večin</w:t>
            </w:r>
            <w:r w:rsidR="004516ED">
              <w:rPr>
                <w:i/>
                <w:iCs/>
                <w:szCs w:val="20"/>
                <w:lang w:val="sl-SI"/>
              </w:rPr>
              <w:t>om</w:t>
            </w:r>
            <w:r w:rsidR="007A5E54">
              <w:rPr>
                <w:i/>
                <w:iCs/>
                <w:szCs w:val="20"/>
                <w:lang w:val="sl-SI"/>
              </w:rPr>
              <w:t>a</w:t>
            </w:r>
            <w:r w:rsidRPr="00275FBD">
              <w:rPr>
                <w:i/>
                <w:iCs/>
                <w:szCs w:val="20"/>
                <w:lang w:val="sl-SI"/>
              </w:rPr>
              <w:t xml:space="preserve"> dobro </w:t>
            </w:r>
            <w:r w:rsidR="004516ED">
              <w:rPr>
                <w:i/>
                <w:iCs/>
                <w:szCs w:val="20"/>
                <w:lang w:val="sl-SI"/>
              </w:rPr>
              <w:t>po</w:t>
            </w:r>
            <w:r w:rsidRPr="00275FBD">
              <w:rPr>
                <w:i/>
                <w:iCs/>
                <w:szCs w:val="20"/>
                <w:lang w:val="sl-SI"/>
              </w:rPr>
              <w:t>znan</w:t>
            </w:r>
            <w:r w:rsidR="004654D4">
              <w:rPr>
                <w:i/>
                <w:iCs/>
                <w:szCs w:val="20"/>
                <w:lang w:val="sl-SI"/>
              </w:rPr>
              <w:t>e</w:t>
            </w:r>
            <w:r w:rsidRPr="00275FBD">
              <w:rPr>
                <w:i/>
                <w:iCs/>
                <w:szCs w:val="20"/>
                <w:lang w:val="sl-SI"/>
              </w:rPr>
              <w:t xml:space="preserve"> domači strokovni javnosti. Ob prevajanju je prevladalo mnenje, da bi uvajanje slovenskih okrajšav v dokument (kar pomeni okrajšav slovenskih prevodov odgovarjajočih izrazov oziroma fraz) poslabšalo sledljivost in razumljivost dokumenta. Zaradi tega so bile v besedilu dokumenta ohranjene izvirne angleške okrajšave (poleg prevedenega izraza oziroma fraze), ki so prevedene v spodnjemu seznamu.</w:t>
            </w:r>
          </w:p>
        </w:tc>
      </w:tr>
      <w:tr w:rsidR="00C722AD" w:rsidRPr="00C656D7" w14:paraId="5FDCECF2" w14:textId="77777777" w:rsidTr="00860B26">
        <w:trPr>
          <w:cantSplit/>
          <w:trHeight w:val="200"/>
        </w:trPr>
        <w:tc>
          <w:tcPr>
            <w:tcW w:w="1985" w:type="dxa"/>
          </w:tcPr>
          <w:p w14:paraId="4CADD20E" w14:textId="77777777" w:rsidR="00C722AD" w:rsidRPr="00275FBD" w:rsidRDefault="00C722AD" w:rsidP="0010631F">
            <w:pPr>
              <w:spacing w:before="0" w:after="0"/>
              <w:rPr>
                <w:szCs w:val="20"/>
                <w:lang w:val="sl-SI"/>
              </w:rPr>
            </w:pPr>
          </w:p>
        </w:tc>
        <w:tc>
          <w:tcPr>
            <w:tcW w:w="7229" w:type="dxa"/>
          </w:tcPr>
          <w:p w14:paraId="436048FD" w14:textId="77777777" w:rsidR="00C722AD" w:rsidRPr="00275FBD" w:rsidRDefault="00C722AD" w:rsidP="0010631F">
            <w:pPr>
              <w:spacing w:before="0" w:after="0"/>
              <w:rPr>
                <w:szCs w:val="20"/>
                <w:lang w:val="sl-SI"/>
              </w:rPr>
            </w:pPr>
          </w:p>
        </w:tc>
      </w:tr>
      <w:tr w:rsidR="00C51494" w:rsidRPr="00275FBD" w14:paraId="616380D7" w14:textId="77777777" w:rsidTr="00860B26">
        <w:trPr>
          <w:cantSplit/>
          <w:trHeight w:val="200"/>
        </w:trPr>
        <w:tc>
          <w:tcPr>
            <w:tcW w:w="1985" w:type="dxa"/>
          </w:tcPr>
          <w:p w14:paraId="670D7DAD" w14:textId="52E1F675" w:rsidR="00A27108" w:rsidRPr="00275FBD" w:rsidRDefault="00A27108" w:rsidP="00E0176C">
            <w:pPr>
              <w:spacing w:before="40" w:after="40"/>
              <w:rPr>
                <w:szCs w:val="20"/>
                <w:lang w:val="sl-SI"/>
              </w:rPr>
            </w:pPr>
            <w:r w:rsidRPr="00275FBD">
              <w:rPr>
                <w:szCs w:val="20"/>
                <w:lang w:val="sl-SI"/>
              </w:rPr>
              <w:t>AFW</w:t>
            </w:r>
          </w:p>
        </w:tc>
        <w:tc>
          <w:tcPr>
            <w:tcW w:w="7229" w:type="dxa"/>
          </w:tcPr>
          <w:p w14:paraId="0B9B56F4" w14:textId="41328599" w:rsidR="00A27108" w:rsidRPr="00275FBD" w:rsidRDefault="00A27108" w:rsidP="00E0176C">
            <w:pPr>
              <w:spacing w:before="40" w:after="40"/>
              <w:rPr>
                <w:szCs w:val="20"/>
                <w:lang w:val="sl-SI"/>
              </w:rPr>
            </w:pPr>
            <w:proofErr w:type="spellStart"/>
            <w:r w:rsidRPr="00275FBD">
              <w:rPr>
                <w:szCs w:val="20"/>
                <w:lang w:val="sl-SI"/>
              </w:rPr>
              <w:t>Auxiliary</w:t>
            </w:r>
            <w:proofErr w:type="spellEnd"/>
            <w:r w:rsidRPr="00275FBD">
              <w:rPr>
                <w:szCs w:val="20"/>
                <w:lang w:val="sl-SI"/>
              </w:rPr>
              <w:t xml:space="preserve"> </w:t>
            </w:r>
            <w:proofErr w:type="spellStart"/>
            <w:r w:rsidRPr="00275FBD">
              <w:rPr>
                <w:szCs w:val="20"/>
                <w:lang w:val="sl-SI"/>
              </w:rPr>
              <w:t>Feed</w:t>
            </w:r>
            <w:proofErr w:type="spellEnd"/>
            <w:r w:rsidRPr="00275FBD">
              <w:rPr>
                <w:szCs w:val="20"/>
                <w:lang w:val="sl-SI"/>
              </w:rPr>
              <w:t xml:space="preserve"> </w:t>
            </w:r>
            <w:proofErr w:type="spellStart"/>
            <w:r w:rsidRPr="00275FBD">
              <w:rPr>
                <w:szCs w:val="20"/>
                <w:lang w:val="sl-SI"/>
              </w:rPr>
              <w:t>Water</w:t>
            </w:r>
            <w:proofErr w:type="spellEnd"/>
            <w:r w:rsidR="00C51494" w:rsidRPr="00275FBD">
              <w:rPr>
                <w:szCs w:val="20"/>
                <w:lang w:val="sl-SI"/>
              </w:rPr>
              <w:t xml:space="preserve"> (Pomožna napajalna voda)</w:t>
            </w:r>
          </w:p>
        </w:tc>
      </w:tr>
      <w:tr w:rsidR="00915CCE" w:rsidRPr="00275FBD" w14:paraId="4DB4E0DA" w14:textId="77777777" w:rsidTr="00860B26">
        <w:trPr>
          <w:cantSplit/>
          <w:trHeight w:val="200"/>
        </w:trPr>
        <w:tc>
          <w:tcPr>
            <w:tcW w:w="1985" w:type="dxa"/>
          </w:tcPr>
          <w:p w14:paraId="639BEDEC" w14:textId="2AEB4568" w:rsidR="001B0A07" w:rsidRPr="00275FBD" w:rsidRDefault="0061337B" w:rsidP="00915CCE">
            <w:pPr>
              <w:spacing w:before="40" w:after="40"/>
              <w:rPr>
                <w:szCs w:val="20"/>
                <w:lang w:val="sl-SI"/>
              </w:rPr>
            </w:pPr>
            <w:r w:rsidRPr="00275FBD">
              <w:rPr>
                <w:szCs w:val="20"/>
                <w:lang w:val="sl-SI"/>
              </w:rPr>
              <w:t>AI</w:t>
            </w:r>
          </w:p>
        </w:tc>
        <w:tc>
          <w:tcPr>
            <w:tcW w:w="7229" w:type="dxa"/>
          </w:tcPr>
          <w:p w14:paraId="700367E0" w14:textId="77EBC8FB" w:rsidR="001B0A07" w:rsidRPr="00275FBD" w:rsidRDefault="0061337B" w:rsidP="00915CCE">
            <w:pPr>
              <w:spacing w:before="40" w:after="40"/>
              <w:rPr>
                <w:lang w:val="sl-SI"/>
              </w:rPr>
            </w:pPr>
            <w:proofErr w:type="spellStart"/>
            <w:r w:rsidRPr="00275FBD">
              <w:rPr>
                <w:lang w:val="sl-SI"/>
              </w:rPr>
              <w:t>Authorized</w:t>
            </w:r>
            <w:proofErr w:type="spellEnd"/>
            <w:r w:rsidRPr="00275FBD">
              <w:rPr>
                <w:lang w:val="sl-SI"/>
              </w:rPr>
              <w:t xml:space="preserve"> </w:t>
            </w:r>
            <w:proofErr w:type="spellStart"/>
            <w:r w:rsidRPr="00275FBD">
              <w:rPr>
                <w:lang w:val="sl-SI"/>
              </w:rPr>
              <w:t>Institution</w:t>
            </w:r>
            <w:proofErr w:type="spellEnd"/>
            <w:r w:rsidRPr="00275FBD">
              <w:rPr>
                <w:lang w:val="sl-SI"/>
              </w:rPr>
              <w:t xml:space="preserve"> </w:t>
            </w:r>
            <w:r w:rsidR="00915CCE" w:rsidRPr="00275FBD">
              <w:rPr>
                <w:lang w:val="sl-SI"/>
              </w:rPr>
              <w:t>(</w:t>
            </w:r>
            <w:r w:rsidR="00455B15">
              <w:rPr>
                <w:lang w:val="sl-SI"/>
              </w:rPr>
              <w:t>pooblaščena organizacija</w:t>
            </w:r>
            <w:r w:rsidR="00915CCE" w:rsidRPr="00275FBD">
              <w:rPr>
                <w:lang w:val="sl-SI"/>
              </w:rPr>
              <w:t xml:space="preserve"> – </w:t>
            </w:r>
            <w:r w:rsidRPr="00275FBD">
              <w:rPr>
                <w:lang w:val="sl-SI"/>
              </w:rPr>
              <w:t>NUCCON</w:t>
            </w:r>
            <w:r w:rsidR="00915CCE" w:rsidRPr="00275FBD">
              <w:rPr>
                <w:lang w:val="sl-SI"/>
              </w:rPr>
              <w:t>, za to nalogo</w:t>
            </w:r>
            <w:r w:rsidRPr="00275FBD">
              <w:rPr>
                <w:lang w:val="sl-SI"/>
              </w:rPr>
              <w:t>)</w:t>
            </w:r>
          </w:p>
        </w:tc>
      </w:tr>
      <w:tr w:rsidR="006C5D3C" w:rsidRPr="00275FBD" w14:paraId="35F06598" w14:textId="77777777" w:rsidTr="00860B26">
        <w:trPr>
          <w:cantSplit/>
          <w:trHeight w:val="200"/>
        </w:trPr>
        <w:tc>
          <w:tcPr>
            <w:tcW w:w="1985" w:type="dxa"/>
          </w:tcPr>
          <w:p w14:paraId="3622FA70" w14:textId="77777777" w:rsidR="00E9732C" w:rsidRPr="00275FBD" w:rsidRDefault="00E9732C" w:rsidP="00E0176C">
            <w:pPr>
              <w:spacing w:before="40" w:after="40"/>
              <w:rPr>
                <w:szCs w:val="20"/>
                <w:lang w:val="sl-SI"/>
              </w:rPr>
            </w:pPr>
            <w:r w:rsidRPr="00275FBD">
              <w:rPr>
                <w:szCs w:val="20"/>
                <w:lang w:val="sl-SI"/>
              </w:rPr>
              <w:t>CAP</w:t>
            </w:r>
          </w:p>
        </w:tc>
        <w:tc>
          <w:tcPr>
            <w:tcW w:w="7229" w:type="dxa"/>
          </w:tcPr>
          <w:p w14:paraId="76EE7AF8" w14:textId="1623FC79" w:rsidR="00E9732C" w:rsidRPr="00275FBD" w:rsidRDefault="00E9732C" w:rsidP="00E0176C">
            <w:pPr>
              <w:spacing w:before="40" w:after="40"/>
              <w:rPr>
                <w:szCs w:val="20"/>
                <w:lang w:val="sl-SI"/>
              </w:rPr>
            </w:pPr>
            <w:proofErr w:type="spellStart"/>
            <w:r w:rsidRPr="00275FBD">
              <w:rPr>
                <w:szCs w:val="20"/>
                <w:lang w:val="sl-SI"/>
              </w:rPr>
              <w:t>Corrective</w:t>
            </w:r>
            <w:proofErr w:type="spellEnd"/>
            <w:r w:rsidRPr="00275FBD">
              <w:rPr>
                <w:szCs w:val="20"/>
                <w:lang w:val="sl-SI"/>
              </w:rPr>
              <w:t xml:space="preserve"> Action Program</w:t>
            </w:r>
            <w:r w:rsidR="006C5D3C" w:rsidRPr="00275FBD">
              <w:rPr>
                <w:szCs w:val="20"/>
                <w:lang w:val="sl-SI"/>
              </w:rPr>
              <w:t xml:space="preserve"> (</w:t>
            </w:r>
            <w:r w:rsidR="006C5D3C" w:rsidRPr="00275FBD">
              <w:rPr>
                <w:lang w:val="sl-SI" w:eastAsia="en-GB"/>
              </w:rPr>
              <w:t>Program korektivnih ukrepov)</w:t>
            </w:r>
          </w:p>
        </w:tc>
      </w:tr>
      <w:tr w:rsidR="00650BDC" w:rsidRPr="00275FBD" w14:paraId="2D857435" w14:textId="77777777" w:rsidTr="00860B26">
        <w:trPr>
          <w:cantSplit/>
          <w:trHeight w:val="200"/>
        </w:trPr>
        <w:tc>
          <w:tcPr>
            <w:tcW w:w="1985" w:type="dxa"/>
          </w:tcPr>
          <w:p w14:paraId="2B5733DA" w14:textId="61EC4E0C" w:rsidR="00156175" w:rsidRPr="00275FBD" w:rsidRDefault="00156175" w:rsidP="00E0176C">
            <w:pPr>
              <w:spacing w:before="40" w:after="40"/>
              <w:rPr>
                <w:szCs w:val="20"/>
                <w:lang w:val="sl-SI"/>
              </w:rPr>
            </w:pPr>
            <w:r w:rsidRPr="00275FBD">
              <w:rPr>
                <w:szCs w:val="20"/>
                <w:lang w:val="sl-SI"/>
              </w:rPr>
              <w:t>CCF</w:t>
            </w:r>
          </w:p>
        </w:tc>
        <w:tc>
          <w:tcPr>
            <w:tcW w:w="7229" w:type="dxa"/>
          </w:tcPr>
          <w:p w14:paraId="4B6CF1CF" w14:textId="64717E11" w:rsidR="00156175" w:rsidRPr="00275FBD" w:rsidRDefault="00156175" w:rsidP="00E0176C">
            <w:pPr>
              <w:spacing w:before="40" w:after="40"/>
              <w:rPr>
                <w:szCs w:val="20"/>
                <w:lang w:val="sl-SI"/>
              </w:rPr>
            </w:pPr>
            <w:proofErr w:type="spellStart"/>
            <w:r w:rsidRPr="00275FBD">
              <w:rPr>
                <w:szCs w:val="20"/>
                <w:lang w:val="sl-SI"/>
              </w:rPr>
              <w:t>Common</w:t>
            </w:r>
            <w:proofErr w:type="spellEnd"/>
            <w:r w:rsidRPr="00275FBD">
              <w:rPr>
                <w:szCs w:val="20"/>
                <w:lang w:val="sl-SI"/>
              </w:rPr>
              <w:t xml:space="preserve"> </w:t>
            </w:r>
            <w:proofErr w:type="spellStart"/>
            <w:r w:rsidRPr="00275FBD">
              <w:rPr>
                <w:szCs w:val="20"/>
                <w:lang w:val="sl-SI"/>
              </w:rPr>
              <w:t>Cause</w:t>
            </w:r>
            <w:proofErr w:type="spellEnd"/>
            <w:r w:rsidRPr="00275FBD">
              <w:rPr>
                <w:szCs w:val="20"/>
                <w:lang w:val="sl-SI"/>
              </w:rPr>
              <w:t xml:space="preserve"> </w:t>
            </w:r>
            <w:proofErr w:type="spellStart"/>
            <w:r w:rsidRPr="00275FBD">
              <w:rPr>
                <w:szCs w:val="20"/>
                <w:lang w:val="sl-SI"/>
              </w:rPr>
              <w:t>Failure</w:t>
            </w:r>
            <w:proofErr w:type="spellEnd"/>
            <w:r w:rsidRPr="00275FBD">
              <w:rPr>
                <w:szCs w:val="20"/>
                <w:lang w:val="sl-SI"/>
              </w:rPr>
              <w:t xml:space="preserve"> (Okvara s skupnim vzrokom)</w:t>
            </w:r>
          </w:p>
        </w:tc>
      </w:tr>
      <w:tr w:rsidR="00EA6EB9" w:rsidRPr="00275FBD" w14:paraId="397FE6C2" w14:textId="77777777" w:rsidTr="00860B26">
        <w:trPr>
          <w:cantSplit/>
          <w:trHeight w:val="200"/>
        </w:trPr>
        <w:tc>
          <w:tcPr>
            <w:tcW w:w="1985" w:type="dxa"/>
          </w:tcPr>
          <w:p w14:paraId="62CD7403" w14:textId="77777777" w:rsidR="009928B0" w:rsidRPr="00275FBD" w:rsidRDefault="009928B0" w:rsidP="00E0176C">
            <w:pPr>
              <w:spacing w:before="40" w:after="40"/>
              <w:rPr>
                <w:szCs w:val="20"/>
                <w:lang w:val="sl-SI"/>
              </w:rPr>
            </w:pPr>
            <w:r w:rsidRPr="00275FBD">
              <w:rPr>
                <w:szCs w:val="20"/>
                <w:lang w:val="sl-SI"/>
              </w:rPr>
              <w:t>CDF</w:t>
            </w:r>
          </w:p>
        </w:tc>
        <w:tc>
          <w:tcPr>
            <w:tcW w:w="7229" w:type="dxa"/>
          </w:tcPr>
          <w:p w14:paraId="7EE88694" w14:textId="14B0774E" w:rsidR="009928B0" w:rsidRPr="00275FBD" w:rsidRDefault="009928B0" w:rsidP="00E0176C">
            <w:pPr>
              <w:spacing w:before="40" w:after="40"/>
              <w:rPr>
                <w:szCs w:val="20"/>
                <w:lang w:val="sl-SI"/>
              </w:rPr>
            </w:pPr>
            <w:proofErr w:type="spellStart"/>
            <w:r w:rsidRPr="00275FBD">
              <w:rPr>
                <w:szCs w:val="20"/>
                <w:lang w:val="sl-SI"/>
              </w:rPr>
              <w:t>Core</w:t>
            </w:r>
            <w:proofErr w:type="spellEnd"/>
            <w:r w:rsidRPr="00275FBD">
              <w:rPr>
                <w:szCs w:val="20"/>
                <w:lang w:val="sl-SI"/>
              </w:rPr>
              <w:t xml:space="preserve"> </w:t>
            </w:r>
            <w:proofErr w:type="spellStart"/>
            <w:r w:rsidRPr="00275FBD">
              <w:rPr>
                <w:szCs w:val="20"/>
                <w:lang w:val="sl-SI"/>
              </w:rPr>
              <w:t>Damage</w:t>
            </w:r>
            <w:proofErr w:type="spellEnd"/>
            <w:r w:rsidRPr="00275FBD">
              <w:rPr>
                <w:szCs w:val="20"/>
                <w:lang w:val="sl-SI"/>
              </w:rPr>
              <w:t xml:space="preserve"> </w:t>
            </w:r>
            <w:proofErr w:type="spellStart"/>
            <w:r w:rsidRPr="00275FBD">
              <w:rPr>
                <w:szCs w:val="20"/>
                <w:lang w:val="sl-SI"/>
              </w:rPr>
              <w:t>Frequency</w:t>
            </w:r>
            <w:proofErr w:type="spellEnd"/>
            <w:r w:rsidR="00EA6EB9" w:rsidRPr="00275FBD">
              <w:rPr>
                <w:szCs w:val="20"/>
                <w:lang w:val="sl-SI"/>
              </w:rPr>
              <w:t xml:space="preserve"> (Pogostost poškodb reaktorske sredice (merilo tveganja))</w:t>
            </w:r>
          </w:p>
        </w:tc>
      </w:tr>
      <w:tr w:rsidR="00251BE4" w:rsidRPr="00275FBD" w14:paraId="7067F96B" w14:textId="77777777" w:rsidTr="00860B26">
        <w:trPr>
          <w:cantSplit/>
          <w:trHeight w:val="200"/>
        </w:trPr>
        <w:tc>
          <w:tcPr>
            <w:tcW w:w="1985" w:type="dxa"/>
          </w:tcPr>
          <w:p w14:paraId="38943084" w14:textId="6EDF7D50" w:rsidR="000C3347" w:rsidRPr="00275FBD" w:rsidRDefault="000C3347" w:rsidP="00E0176C">
            <w:pPr>
              <w:spacing w:before="40" w:after="40"/>
              <w:rPr>
                <w:szCs w:val="20"/>
                <w:lang w:val="sl-SI"/>
              </w:rPr>
            </w:pPr>
            <w:r w:rsidRPr="00275FBD">
              <w:rPr>
                <w:szCs w:val="20"/>
                <w:lang w:val="sl-SI"/>
              </w:rPr>
              <w:t>CLOD</w:t>
            </w:r>
          </w:p>
        </w:tc>
        <w:tc>
          <w:tcPr>
            <w:tcW w:w="7229" w:type="dxa"/>
          </w:tcPr>
          <w:p w14:paraId="2816091A" w14:textId="79926BD5" w:rsidR="000C3347" w:rsidRPr="00275FBD" w:rsidRDefault="000C3347" w:rsidP="00E0176C">
            <w:pPr>
              <w:spacing w:before="40" w:after="40"/>
              <w:rPr>
                <w:rFonts w:cs="Arial"/>
                <w:szCs w:val="20"/>
                <w:lang w:val="sl-SI"/>
              </w:rPr>
            </w:pPr>
            <w:proofErr w:type="spellStart"/>
            <w:r w:rsidRPr="00275FBD">
              <w:rPr>
                <w:rFonts w:cs="Arial"/>
                <w:szCs w:val="20"/>
                <w:lang w:val="sl-SI"/>
              </w:rPr>
              <w:t>Counting</w:t>
            </w:r>
            <w:proofErr w:type="spellEnd"/>
            <w:r w:rsidRPr="00275FBD">
              <w:rPr>
                <w:rFonts w:cs="Arial"/>
                <w:szCs w:val="20"/>
                <w:lang w:val="sl-SI"/>
              </w:rPr>
              <w:t xml:space="preserve"> </w:t>
            </w:r>
            <w:proofErr w:type="spellStart"/>
            <w:r w:rsidRPr="00275FBD">
              <w:rPr>
                <w:rFonts w:cs="Arial"/>
                <w:szCs w:val="20"/>
                <w:lang w:val="sl-SI"/>
              </w:rPr>
              <w:t>Lines</w:t>
            </w:r>
            <w:proofErr w:type="spellEnd"/>
            <w:r w:rsidRPr="00275FBD">
              <w:rPr>
                <w:rFonts w:cs="Arial"/>
                <w:szCs w:val="20"/>
                <w:lang w:val="sl-SI"/>
              </w:rPr>
              <w:t xml:space="preserve"> of </w:t>
            </w:r>
            <w:proofErr w:type="spellStart"/>
            <w:r w:rsidRPr="00275FBD">
              <w:rPr>
                <w:rFonts w:cs="Arial"/>
                <w:szCs w:val="20"/>
                <w:lang w:val="sl-SI"/>
              </w:rPr>
              <w:t>Defense</w:t>
            </w:r>
            <w:proofErr w:type="spellEnd"/>
            <w:r w:rsidR="00251BE4" w:rsidRPr="00275FBD">
              <w:rPr>
                <w:rFonts w:cs="Arial"/>
                <w:szCs w:val="20"/>
                <w:lang w:val="sl-SI"/>
              </w:rPr>
              <w:t xml:space="preserve"> (Štetje obrambnih linij)</w:t>
            </w:r>
          </w:p>
        </w:tc>
      </w:tr>
      <w:tr w:rsidR="00567F03" w:rsidRPr="00275FBD" w14:paraId="670E22EE" w14:textId="77777777" w:rsidTr="00860B26">
        <w:trPr>
          <w:cantSplit/>
          <w:trHeight w:val="200"/>
        </w:trPr>
        <w:tc>
          <w:tcPr>
            <w:tcW w:w="1985" w:type="dxa"/>
          </w:tcPr>
          <w:p w14:paraId="7B4024F8" w14:textId="00139FE8" w:rsidR="000C3347" w:rsidRPr="00275FBD" w:rsidRDefault="000C3347" w:rsidP="00E0176C">
            <w:pPr>
              <w:spacing w:before="40" w:after="40"/>
              <w:rPr>
                <w:szCs w:val="20"/>
                <w:lang w:val="sl-SI"/>
              </w:rPr>
            </w:pPr>
            <w:r w:rsidRPr="00275FBD">
              <w:rPr>
                <w:szCs w:val="20"/>
                <w:lang w:val="sl-SI"/>
              </w:rPr>
              <w:t>DB</w:t>
            </w:r>
          </w:p>
        </w:tc>
        <w:tc>
          <w:tcPr>
            <w:tcW w:w="7229" w:type="dxa"/>
          </w:tcPr>
          <w:p w14:paraId="66D7275E" w14:textId="771A844D" w:rsidR="000C3347" w:rsidRPr="00275FBD" w:rsidRDefault="000C3347" w:rsidP="00E0176C">
            <w:pPr>
              <w:spacing w:before="40" w:after="40"/>
              <w:rPr>
                <w:rFonts w:cs="Arial"/>
                <w:szCs w:val="20"/>
                <w:lang w:val="sl-SI"/>
              </w:rPr>
            </w:pPr>
            <w:r w:rsidRPr="00275FBD">
              <w:rPr>
                <w:rFonts w:cs="Arial"/>
                <w:szCs w:val="20"/>
                <w:lang w:val="sl-SI"/>
              </w:rPr>
              <w:t>Design Basis</w:t>
            </w:r>
            <w:r w:rsidR="00567F03" w:rsidRPr="00275FBD">
              <w:rPr>
                <w:rFonts w:cs="Arial"/>
                <w:szCs w:val="20"/>
                <w:lang w:val="sl-SI"/>
              </w:rPr>
              <w:t xml:space="preserve"> (Projektna osnova)</w:t>
            </w:r>
          </w:p>
        </w:tc>
      </w:tr>
      <w:tr w:rsidR="003C08A7" w:rsidRPr="00275FBD" w14:paraId="1C353313" w14:textId="77777777" w:rsidTr="00860B26">
        <w:trPr>
          <w:cantSplit/>
          <w:trHeight w:val="200"/>
        </w:trPr>
        <w:tc>
          <w:tcPr>
            <w:tcW w:w="1985" w:type="dxa"/>
          </w:tcPr>
          <w:p w14:paraId="3EE8C0A9" w14:textId="77777777" w:rsidR="00BC460E" w:rsidRPr="00275FBD" w:rsidRDefault="00BC460E" w:rsidP="00E0176C">
            <w:pPr>
              <w:spacing w:before="40" w:after="40"/>
              <w:rPr>
                <w:szCs w:val="20"/>
                <w:lang w:val="sl-SI"/>
              </w:rPr>
            </w:pPr>
            <w:r w:rsidRPr="00275FBD">
              <w:rPr>
                <w:szCs w:val="20"/>
                <w:lang w:val="sl-SI"/>
              </w:rPr>
              <w:t>DEC</w:t>
            </w:r>
          </w:p>
        </w:tc>
        <w:tc>
          <w:tcPr>
            <w:tcW w:w="7229" w:type="dxa"/>
          </w:tcPr>
          <w:p w14:paraId="0233E718" w14:textId="365200C8" w:rsidR="00BC460E" w:rsidRPr="00275FBD" w:rsidRDefault="00BC460E" w:rsidP="00E0176C">
            <w:pPr>
              <w:spacing w:before="40" w:after="40"/>
              <w:rPr>
                <w:rFonts w:cs="Arial"/>
                <w:szCs w:val="20"/>
                <w:lang w:val="sl-SI"/>
              </w:rPr>
            </w:pPr>
            <w:r w:rsidRPr="00275FBD">
              <w:rPr>
                <w:lang w:val="sl-SI"/>
              </w:rPr>
              <w:t xml:space="preserve">Design Extension </w:t>
            </w:r>
            <w:proofErr w:type="spellStart"/>
            <w:r w:rsidRPr="00275FBD">
              <w:rPr>
                <w:lang w:val="sl-SI"/>
              </w:rPr>
              <w:t>Condition</w:t>
            </w:r>
            <w:proofErr w:type="spellEnd"/>
            <w:r w:rsidR="003C08A7" w:rsidRPr="00275FBD">
              <w:rPr>
                <w:lang w:val="sl-SI"/>
              </w:rPr>
              <w:t xml:space="preserve"> (</w:t>
            </w:r>
            <w:r w:rsidR="004516ED">
              <w:rPr>
                <w:lang w:val="sl-SI"/>
              </w:rPr>
              <w:t>R</w:t>
            </w:r>
            <w:r w:rsidR="003C08A7" w:rsidRPr="00275FBD">
              <w:rPr>
                <w:lang w:val="sl-SI"/>
              </w:rPr>
              <w:t>azširjen</w:t>
            </w:r>
            <w:r w:rsidR="001848EB">
              <w:rPr>
                <w:lang w:val="sl-SI"/>
              </w:rPr>
              <w:t>a</w:t>
            </w:r>
            <w:r w:rsidR="003C08A7" w:rsidRPr="00275FBD">
              <w:rPr>
                <w:lang w:val="sl-SI"/>
              </w:rPr>
              <w:t xml:space="preserve"> projektn</w:t>
            </w:r>
            <w:r w:rsidR="004516ED">
              <w:rPr>
                <w:lang w:val="sl-SI"/>
              </w:rPr>
              <w:t>a</w:t>
            </w:r>
            <w:r w:rsidR="003C08A7" w:rsidRPr="00275FBD">
              <w:rPr>
                <w:lang w:val="sl-SI"/>
              </w:rPr>
              <w:t xml:space="preserve"> osnov</w:t>
            </w:r>
            <w:r w:rsidR="004516ED">
              <w:rPr>
                <w:lang w:val="sl-SI"/>
              </w:rPr>
              <w:t>a</w:t>
            </w:r>
            <w:r w:rsidR="003C08A7" w:rsidRPr="00275FBD">
              <w:rPr>
                <w:lang w:val="sl-SI"/>
              </w:rPr>
              <w:t>)</w:t>
            </w:r>
          </w:p>
        </w:tc>
      </w:tr>
      <w:tr w:rsidR="006C5D3C" w:rsidRPr="00C656D7" w14:paraId="68FF1C7F" w14:textId="77777777" w:rsidTr="00860B26">
        <w:trPr>
          <w:cantSplit/>
          <w:trHeight w:val="200"/>
        </w:trPr>
        <w:tc>
          <w:tcPr>
            <w:tcW w:w="1985" w:type="dxa"/>
          </w:tcPr>
          <w:p w14:paraId="71E212C0" w14:textId="25B5D768" w:rsidR="00183777" w:rsidRPr="00275FBD" w:rsidRDefault="00183777" w:rsidP="00E0176C">
            <w:pPr>
              <w:spacing w:before="40" w:after="40"/>
              <w:rPr>
                <w:szCs w:val="20"/>
                <w:lang w:val="sl-SI"/>
              </w:rPr>
            </w:pPr>
            <w:r w:rsidRPr="00275FBD">
              <w:rPr>
                <w:szCs w:val="20"/>
                <w:lang w:val="sl-SI"/>
              </w:rPr>
              <w:t>DL</w:t>
            </w:r>
          </w:p>
        </w:tc>
        <w:tc>
          <w:tcPr>
            <w:tcW w:w="7229" w:type="dxa"/>
          </w:tcPr>
          <w:p w14:paraId="08F63941" w14:textId="75219AAC" w:rsidR="00183777" w:rsidRPr="00275FBD" w:rsidRDefault="00183777" w:rsidP="00E0176C">
            <w:pPr>
              <w:spacing w:before="40" w:after="40"/>
              <w:rPr>
                <w:lang w:val="sl-SI"/>
              </w:rPr>
            </w:pPr>
            <w:proofErr w:type="spellStart"/>
            <w:r w:rsidRPr="00275FBD">
              <w:rPr>
                <w:lang w:val="sl-SI"/>
              </w:rPr>
              <w:t>Direct</w:t>
            </w:r>
            <w:proofErr w:type="spellEnd"/>
            <w:r w:rsidRPr="00275FBD">
              <w:rPr>
                <w:lang w:val="sl-SI"/>
              </w:rPr>
              <w:t xml:space="preserve"> link to </w:t>
            </w:r>
            <w:proofErr w:type="spellStart"/>
            <w:r w:rsidRPr="00275FBD">
              <w:rPr>
                <w:lang w:val="sl-SI"/>
              </w:rPr>
              <w:t>nuclear</w:t>
            </w:r>
            <w:proofErr w:type="spellEnd"/>
            <w:r w:rsidRPr="00275FBD">
              <w:rPr>
                <w:lang w:val="sl-SI"/>
              </w:rPr>
              <w:t xml:space="preserve"> </w:t>
            </w:r>
            <w:proofErr w:type="spellStart"/>
            <w:r w:rsidRPr="00275FBD">
              <w:rPr>
                <w:lang w:val="sl-SI"/>
              </w:rPr>
              <w:t>safety</w:t>
            </w:r>
            <w:proofErr w:type="spellEnd"/>
            <w:r w:rsidRPr="00275FBD">
              <w:rPr>
                <w:lang w:val="sl-SI"/>
              </w:rPr>
              <w:t xml:space="preserve"> (PSR </w:t>
            </w:r>
            <w:proofErr w:type="spellStart"/>
            <w:r w:rsidRPr="00275FBD">
              <w:rPr>
                <w:lang w:val="sl-SI"/>
              </w:rPr>
              <w:t>issue</w:t>
            </w:r>
            <w:proofErr w:type="spellEnd"/>
            <w:r w:rsidRPr="00275FBD">
              <w:rPr>
                <w:lang w:val="sl-SI"/>
              </w:rPr>
              <w:t xml:space="preserve"> </w:t>
            </w:r>
            <w:proofErr w:type="spellStart"/>
            <w:r w:rsidRPr="00275FBD">
              <w:rPr>
                <w:lang w:val="sl-SI"/>
              </w:rPr>
              <w:t>category</w:t>
            </w:r>
            <w:proofErr w:type="spellEnd"/>
            <w:r w:rsidRPr="00275FBD">
              <w:rPr>
                <w:lang w:val="sl-SI"/>
              </w:rPr>
              <w:t>)</w:t>
            </w:r>
            <w:r w:rsidR="006C5D3C" w:rsidRPr="00275FBD">
              <w:rPr>
                <w:lang w:val="sl-SI"/>
              </w:rPr>
              <w:t xml:space="preserve"> (Neposredna povezava z jedrsko varnostjo (kategorija </w:t>
            </w:r>
            <w:r w:rsidR="00BD5705" w:rsidRPr="00275FBD">
              <w:rPr>
                <w:lang w:val="sl-SI"/>
              </w:rPr>
              <w:t xml:space="preserve">najdb </w:t>
            </w:r>
            <w:r w:rsidR="009006BE" w:rsidRPr="00275FBD">
              <w:rPr>
                <w:lang w:val="sl-SI"/>
              </w:rPr>
              <w:t>pri</w:t>
            </w:r>
            <w:r w:rsidR="006C5D3C" w:rsidRPr="00275FBD">
              <w:rPr>
                <w:lang w:val="sl-SI"/>
              </w:rPr>
              <w:t xml:space="preserve"> PSR)</w:t>
            </w:r>
            <w:r w:rsidR="005B082A" w:rsidRPr="00275FBD">
              <w:rPr>
                <w:lang w:val="sl-SI"/>
              </w:rPr>
              <w:t>)</w:t>
            </w:r>
          </w:p>
        </w:tc>
      </w:tr>
      <w:tr w:rsidR="00F94E89" w:rsidRPr="00275FBD" w14:paraId="499403DB" w14:textId="77777777" w:rsidTr="00860B26">
        <w:trPr>
          <w:cantSplit/>
          <w:trHeight w:val="200"/>
        </w:trPr>
        <w:tc>
          <w:tcPr>
            <w:tcW w:w="1985" w:type="dxa"/>
          </w:tcPr>
          <w:p w14:paraId="401DFD4C" w14:textId="6B8D135A" w:rsidR="00D05227" w:rsidRPr="00275FBD" w:rsidRDefault="00D05227" w:rsidP="00E0176C">
            <w:pPr>
              <w:spacing w:before="40" w:after="40"/>
              <w:rPr>
                <w:szCs w:val="20"/>
                <w:lang w:val="sl-SI"/>
              </w:rPr>
            </w:pPr>
            <w:r w:rsidRPr="00275FBD">
              <w:rPr>
                <w:szCs w:val="20"/>
                <w:lang w:val="sl-SI"/>
              </w:rPr>
              <w:t>DNC</w:t>
            </w:r>
          </w:p>
        </w:tc>
        <w:tc>
          <w:tcPr>
            <w:tcW w:w="7229" w:type="dxa"/>
          </w:tcPr>
          <w:p w14:paraId="598B2194" w14:textId="7FCE0170" w:rsidR="00D05227" w:rsidRPr="00275FBD" w:rsidRDefault="00D05227" w:rsidP="00E0176C">
            <w:pPr>
              <w:spacing w:before="40" w:after="40"/>
              <w:rPr>
                <w:lang w:val="sl-SI"/>
              </w:rPr>
            </w:pPr>
            <w:proofErr w:type="spellStart"/>
            <w:r w:rsidRPr="00275FBD">
              <w:rPr>
                <w:lang w:val="sl-SI"/>
              </w:rPr>
              <w:t>Does</w:t>
            </w:r>
            <w:proofErr w:type="spellEnd"/>
            <w:r w:rsidRPr="00275FBD">
              <w:rPr>
                <w:lang w:val="sl-SI"/>
              </w:rPr>
              <w:t xml:space="preserve"> Not </w:t>
            </w:r>
            <w:proofErr w:type="spellStart"/>
            <w:r w:rsidRPr="00275FBD">
              <w:rPr>
                <w:lang w:val="sl-SI"/>
              </w:rPr>
              <w:t>Comply</w:t>
            </w:r>
            <w:proofErr w:type="spellEnd"/>
            <w:r w:rsidR="00F94E89" w:rsidRPr="00275FBD">
              <w:rPr>
                <w:lang w:val="sl-SI"/>
              </w:rPr>
              <w:t xml:space="preserve"> (Ne </w:t>
            </w:r>
            <w:r w:rsidR="004516ED">
              <w:rPr>
                <w:lang w:val="sl-SI"/>
              </w:rPr>
              <w:t>izpolnjuje zahteve</w:t>
            </w:r>
            <w:r w:rsidR="00F94E89" w:rsidRPr="00275FBD">
              <w:rPr>
                <w:lang w:val="sl-SI"/>
              </w:rPr>
              <w:t>)</w:t>
            </w:r>
          </w:p>
        </w:tc>
      </w:tr>
      <w:tr w:rsidR="002C2399" w:rsidRPr="00275FBD" w14:paraId="78F5D20C" w14:textId="77777777" w:rsidTr="00860B26">
        <w:trPr>
          <w:cantSplit/>
          <w:trHeight w:val="200"/>
        </w:trPr>
        <w:tc>
          <w:tcPr>
            <w:tcW w:w="1985" w:type="dxa"/>
          </w:tcPr>
          <w:p w14:paraId="051F5D47" w14:textId="77777777" w:rsidR="00D57B08" w:rsidRPr="00275FBD" w:rsidRDefault="00D57B08" w:rsidP="00E0176C">
            <w:pPr>
              <w:spacing w:before="40" w:after="40"/>
              <w:rPr>
                <w:szCs w:val="20"/>
                <w:lang w:val="sl-SI"/>
              </w:rPr>
            </w:pPr>
            <w:r w:rsidRPr="00275FBD">
              <w:rPr>
                <w:szCs w:val="20"/>
                <w:lang w:val="sl-SI"/>
              </w:rPr>
              <w:t>DOD</w:t>
            </w:r>
          </w:p>
        </w:tc>
        <w:tc>
          <w:tcPr>
            <w:tcW w:w="7229" w:type="dxa"/>
          </w:tcPr>
          <w:p w14:paraId="1F4A1AE0" w14:textId="1FC12E54" w:rsidR="00D57B08" w:rsidRPr="00275FBD" w:rsidRDefault="007E671D" w:rsidP="00E0176C">
            <w:pPr>
              <w:spacing w:before="40" w:after="40"/>
              <w:rPr>
                <w:lang w:val="sl-SI"/>
              </w:rPr>
            </w:pPr>
            <w:proofErr w:type="spellStart"/>
            <w:r w:rsidRPr="00275FBD">
              <w:rPr>
                <w:lang w:val="sl-SI"/>
              </w:rPr>
              <w:t>Depth</w:t>
            </w:r>
            <w:proofErr w:type="spellEnd"/>
            <w:r w:rsidRPr="00275FBD">
              <w:rPr>
                <w:lang w:val="sl-SI"/>
              </w:rPr>
              <w:t xml:space="preserve"> of </w:t>
            </w:r>
            <w:proofErr w:type="spellStart"/>
            <w:r w:rsidRPr="00275FBD">
              <w:rPr>
                <w:lang w:val="sl-SI"/>
              </w:rPr>
              <w:t>Defense</w:t>
            </w:r>
            <w:proofErr w:type="spellEnd"/>
            <w:r w:rsidR="002C2399" w:rsidRPr="00275FBD">
              <w:rPr>
                <w:lang w:val="sl-SI"/>
              </w:rPr>
              <w:t xml:space="preserve"> (Globina obrambe)</w:t>
            </w:r>
          </w:p>
        </w:tc>
      </w:tr>
      <w:tr w:rsidR="00C51494" w:rsidRPr="00275FBD" w14:paraId="798F6B65" w14:textId="77777777" w:rsidTr="00860B26">
        <w:trPr>
          <w:cantSplit/>
          <w:trHeight w:val="200"/>
        </w:trPr>
        <w:tc>
          <w:tcPr>
            <w:tcW w:w="1985" w:type="dxa"/>
          </w:tcPr>
          <w:p w14:paraId="782F2EB7" w14:textId="77777777" w:rsidR="00BC460E" w:rsidRPr="00275FBD" w:rsidRDefault="00BC460E" w:rsidP="00E0176C">
            <w:pPr>
              <w:spacing w:before="40" w:after="40"/>
              <w:rPr>
                <w:szCs w:val="20"/>
                <w:lang w:val="sl-SI"/>
              </w:rPr>
            </w:pPr>
            <w:r w:rsidRPr="00275FBD">
              <w:rPr>
                <w:szCs w:val="20"/>
                <w:lang w:val="sl-SI"/>
              </w:rPr>
              <w:t>ECCS</w:t>
            </w:r>
          </w:p>
        </w:tc>
        <w:tc>
          <w:tcPr>
            <w:tcW w:w="7229" w:type="dxa"/>
          </w:tcPr>
          <w:p w14:paraId="45200C94" w14:textId="7DD0798A" w:rsidR="00BC460E" w:rsidRPr="00275FBD" w:rsidRDefault="00BC460E" w:rsidP="00E0176C">
            <w:pPr>
              <w:spacing w:before="40" w:after="40"/>
              <w:rPr>
                <w:lang w:val="sl-SI"/>
              </w:rPr>
            </w:pPr>
            <w:r w:rsidRPr="00275FBD">
              <w:rPr>
                <w:lang w:val="sl-SI"/>
              </w:rPr>
              <w:t xml:space="preserve">Emergency </w:t>
            </w:r>
            <w:proofErr w:type="spellStart"/>
            <w:r w:rsidRPr="00275FBD">
              <w:rPr>
                <w:lang w:val="sl-SI"/>
              </w:rPr>
              <w:t>Core</w:t>
            </w:r>
            <w:proofErr w:type="spellEnd"/>
            <w:r w:rsidRPr="00275FBD">
              <w:rPr>
                <w:lang w:val="sl-SI"/>
              </w:rPr>
              <w:t xml:space="preserve"> </w:t>
            </w:r>
            <w:proofErr w:type="spellStart"/>
            <w:r w:rsidRPr="00275FBD">
              <w:rPr>
                <w:lang w:val="sl-SI"/>
              </w:rPr>
              <w:t>Cooling</w:t>
            </w:r>
            <w:proofErr w:type="spellEnd"/>
            <w:r w:rsidR="00C51494" w:rsidRPr="00275FBD">
              <w:rPr>
                <w:lang w:val="sl-SI"/>
              </w:rPr>
              <w:t xml:space="preserve"> System (Sistem za zasilno hlajenje sredice)</w:t>
            </w:r>
          </w:p>
        </w:tc>
      </w:tr>
      <w:tr w:rsidR="00814729" w:rsidRPr="00275FBD" w14:paraId="44BAB755" w14:textId="77777777" w:rsidTr="00860B26">
        <w:trPr>
          <w:cantSplit/>
          <w:trHeight w:val="200"/>
        </w:trPr>
        <w:tc>
          <w:tcPr>
            <w:tcW w:w="1985" w:type="dxa"/>
          </w:tcPr>
          <w:p w14:paraId="09880BED" w14:textId="1842341C" w:rsidR="00972240" w:rsidRPr="00275FBD" w:rsidRDefault="00972240" w:rsidP="00E0176C">
            <w:pPr>
              <w:spacing w:before="40" w:after="40"/>
              <w:rPr>
                <w:szCs w:val="20"/>
                <w:lang w:val="sl-SI"/>
              </w:rPr>
            </w:pPr>
            <w:r w:rsidRPr="00275FBD">
              <w:rPr>
                <w:szCs w:val="20"/>
                <w:lang w:val="sl-SI"/>
              </w:rPr>
              <w:t>EC</w:t>
            </w:r>
            <w:r w:rsidR="00BC460E" w:rsidRPr="00275FBD">
              <w:rPr>
                <w:szCs w:val="20"/>
                <w:lang w:val="sl-SI"/>
              </w:rPr>
              <w:t>R</w:t>
            </w:r>
          </w:p>
        </w:tc>
        <w:tc>
          <w:tcPr>
            <w:tcW w:w="7229" w:type="dxa"/>
          </w:tcPr>
          <w:p w14:paraId="433E366C" w14:textId="760AE0A1" w:rsidR="00972240" w:rsidRPr="00275FBD" w:rsidRDefault="00BC460E" w:rsidP="00E0176C">
            <w:pPr>
              <w:spacing w:before="40" w:after="40"/>
              <w:rPr>
                <w:lang w:val="sl-SI"/>
              </w:rPr>
            </w:pPr>
            <w:r w:rsidRPr="00275FBD">
              <w:rPr>
                <w:lang w:val="sl-SI"/>
              </w:rPr>
              <w:t xml:space="preserve">Emergency Control </w:t>
            </w:r>
            <w:proofErr w:type="spellStart"/>
            <w:r w:rsidRPr="00275FBD">
              <w:rPr>
                <w:lang w:val="sl-SI"/>
              </w:rPr>
              <w:t>Room</w:t>
            </w:r>
            <w:proofErr w:type="spellEnd"/>
            <w:r w:rsidR="00814729" w:rsidRPr="00275FBD">
              <w:rPr>
                <w:lang w:val="sl-SI"/>
              </w:rPr>
              <w:t xml:space="preserve"> (Zasilna kontrolna soba)</w:t>
            </w:r>
          </w:p>
        </w:tc>
      </w:tr>
      <w:tr w:rsidR="001D1DB1" w:rsidRPr="00275FBD" w14:paraId="591D93F0" w14:textId="77777777" w:rsidTr="00860B26">
        <w:trPr>
          <w:cantSplit/>
          <w:trHeight w:val="200"/>
        </w:trPr>
        <w:tc>
          <w:tcPr>
            <w:tcW w:w="1985" w:type="dxa"/>
          </w:tcPr>
          <w:p w14:paraId="3C974CF6" w14:textId="77777777" w:rsidR="00EF2BC1" w:rsidRPr="00275FBD" w:rsidRDefault="00EF2BC1" w:rsidP="00E0176C">
            <w:pPr>
              <w:spacing w:before="40" w:after="40"/>
              <w:rPr>
                <w:szCs w:val="20"/>
                <w:lang w:val="sl-SI"/>
              </w:rPr>
            </w:pPr>
            <w:r w:rsidRPr="00275FBD">
              <w:rPr>
                <w:szCs w:val="20"/>
                <w:lang w:val="sl-SI"/>
              </w:rPr>
              <w:t>EOP</w:t>
            </w:r>
          </w:p>
        </w:tc>
        <w:tc>
          <w:tcPr>
            <w:tcW w:w="7229" w:type="dxa"/>
          </w:tcPr>
          <w:p w14:paraId="13705FF2" w14:textId="305A45E0" w:rsidR="00EF2BC1" w:rsidRPr="00275FBD" w:rsidRDefault="00EF2BC1" w:rsidP="00E0176C">
            <w:pPr>
              <w:spacing w:before="40" w:after="40"/>
              <w:rPr>
                <w:lang w:val="sl-SI"/>
              </w:rPr>
            </w:pPr>
            <w:r w:rsidRPr="00275FBD">
              <w:rPr>
                <w:lang w:val="sl-SI"/>
              </w:rPr>
              <w:t xml:space="preserve">Emergency Operating </w:t>
            </w:r>
            <w:proofErr w:type="spellStart"/>
            <w:r w:rsidRPr="00275FBD">
              <w:rPr>
                <w:lang w:val="sl-SI"/>
              </w:rPr>
              <w:t>Procedures</w:t>
            </w:r>
            <w:proofErr w:type="spellEnd"/>
            <w:r w:rsidR="001D1DB1" w:rsidRPr="00275FBD">
              <w:rPr>
                <w:lang w:val="sl-SI"/>
              </w:rPr>
              <w:t xml:space="preserve"> (</w:t>
            </w:r>
            <w:r w:rsidR="004516ED">
              <w:rPr>
                <w:lang w:val="sl-SI"/>
              </w:rPr>
              <w:t>O</w:t>
            </w:r>
            <w:r w:rsidR="001D1DB1" w:rsidRPr="00275FBD">
              <w:rPr>
                <w:lang w:val="sl-SI"/>
              </w:rPr>
              <w:t>perativni postopki za izredne razmere)</w:t>
            </w:r>
          </w:p>
        </w:tc>
      </w:tr>
      <w:tr w:rsidR="002B6C8C" w:rsidRPr="00275FBD" w14:paraId="0D6FFD3B" w14:textId="77777777" w:rsidTr="00860B26">
        <w:trPr>
          <w:cantSplit/>
          <w:trHeight w:val="200"/>
        </w:trPr>
        <w:tc>
          <w:tcPr>
            <w:tcW w:w="1985" w:type="dxa"/>
          </w:tcPr>
          <w:p w14:paraId="2C837AA4" w14:textId="1F7A2B2A" w:rsidR="000C3347" w:rsidRPr="00275FBD" w:rsidRDefault="000C3347" w:rsidP="00E0176C">
            <w:pPr>
              <w:spacing w:before="40" w:after="40"/>
              <w:rPr>
                <w:szCs w:val="20"/>
                <w:lang w:val="sl-SI"/>
              </w:rPr>
            </w:pPr>
            <w:r w:rsidRPr="00275FBD">
              <w:rPr>
                <w:szCs w:val="20"/>
                <w:lang w:val="sl-SI"/>
              </w:rPr>
              <w:t>FB</w:t>
            </w:r>
          </w:p>
        </w:tc>
        <w:tc>
          <w:tcPr>
            <w:tcW w:w="7229" w:type="dxa"/>
          </w:tcPr>
          <w:p w14:paraId="4B04AD0F" w14:textId="4B294937" w:rsidR="000C3347" w:rsidRPr="00275FBD" w:rsidRDefault="000C3347" w:rsidP="00E0176C">
            <w:pPr>
              <w:spacing w:before="40" w:after="40"/>
              <w:rPr>
                <w:szCs w:val="20"/>
                <w:lang w:val="sl-SI"/>
              </w:rPr>
            </w:pPr>
            <w:proofErr w:type="spellStart"/>
            <w:r w:rsidRPr="00275FBD">
              <w:rPr>
                <w:szCs w:val="20"/>
                <w:lang w:val="sl-SI"/>
              </w:rPr>
              <w:t>Feed</w:t>
            </w:r>
            <w:proofErr w:type="spellEnd"/>
            <w:r w:rsidRPr="00275FBD">
              <w:rPr>
                <w:szCs w:val="20"/>
                <w:lang w:val="sl-SI"/>
              </w:rPr>
              <w:t xml:space="preserve"> and </w:t>
            </w:r>
            <w:proofErr w:type="spellStart"/>
            <w:r w:rsidRPr="00275FBD">
              <w:rPr>
                <w:szCs w:val="20"/>
                <w:lang w:val="sl-SI"/>
              </w:rPr>
              <w:t>Bleed</w:t>
            </w:r>
            <w:proofErr w:type="spellEnd"/>
            <w:r w:rsidR="002B6C8C" w:rsidRPr="00275FBD">
              <w:rPr>
                <w:szCs w:val="20"/>
                <w:lang w:val="sl-SI"/>
              </w:rPr>
              <w:t xml:space="preserve"> (Napajanje in odvajanje)</w:t>
            </w:r>
          </w:p>
        </w:tc>
      </w:tr>
      <w:tr w:rsidR="000D42FA" w:rsidRPr="00275FBD" w14:paraId="7C779F81" w14:textId="77777777" w:rsidTr="00860B26">
        <w:trPr>
          <w:cantSplit/>
          <w:trHeight w:val="200"/>
        </w:trPr>
        <w:tc>
          <w:tcPr>
            <w:tcW w:w="1985" w:type="dxa"/>
          </w:tcPr>
          <w:p w14:paraId="79D3012A" w14:textId="77777777" w:rsidR="00AC770B" w:rsidRPr="00275FBD" w:rsidRDefault="00AC770B" w:rsidP="00E0176C">
            <w:pPr>
              <w:spacing w:before="40" w:after="40"/>
              <w:rPr>
                <w:szCs w:val="20"/>
                <w:lang w:val="sl-SI"/>
              </w:rPr>
            </w:pPr>
            <w:r w:rsidRPr="00275FBD">
              <w:rPr>
                <w:szCs w:val="20"/>
                <w:lang w:val="sl-SI"/>
              </w:rPr>
              <w:t>IAEA</w:t>
            </w:r>
          </w:p>
        </w:tc>
        <w:tc>
          <w:tcPr>
            <w:tcW w:w="7229" w:type="dxa"/>
          </w:tcPr>
          <w:p w14:paraId="2EE0ADC8" w14:textId="4D214C32" w:rsidR="00AC770B" w:rsidRPr="00275FBD" w:rsidRDefault="00AC770B" w:rsidP="00E0176C">
            <w:pPr>
              <w:spacing w:before="40" w:after="40"/>
              <w:rPr>
                <w:szCs w:val="20"/>
                <w:lang w:val="sl-SI"/>
              </w:rPr>
            </w:pPr>
            <w:r w:rsidRPr="00275FBD">
              <w:rPr>
                <w:szCs w:val="20"/>
                <w:lang w:val="sl-SI"/>
              </w:rPr>
              <w:t>International Atomic Energy Agency</w:t>
            </w:r>
            <w:r w:rsidR="000D42FA" w:rsidRPr="00275FBD">
              <w:rPr>
                <w:szCs w:val="20"/>
                <w:lang w:val="sl-SI"/>
              </w:rPr>
              <w:t xml:space="preserve"> (Mednarodna agencija za atomsko energijo)</w:t>
            </w:r>
          </w:p>
        </w:tc>
      </w:tr>
      <w:tr w:rsidR="003710C7" w:rsidRPr="00275FBD" w14:paraId="76B479D1" w14:textId="77777777" w:rsidTr="00860B26">
        <w:trPr>
          <w:cantSplit/>
          <w:trHeight w:val="200"/>
        </w:trPr>
        <w:tc>
          <w:tcPr>
            <w:tcW w:w="1985" w:type="dxa"/>
          </w:tcPr>
          <w:p w14:paraId="6976B1FA" w14:textId="7A312868" w:rsidR="00E9732C" w:rsidRPr="00275FBD" w:rsidRDefault="00E9732C" w:rsidP="00E0176C">
            <w:pPr>
              <w:spacing w:before="40" w:after="40"/>
              <w:rPr>
                <w:szCs w:val="20"/>
                <w:lang w:val="sl-SI"/>
              </w:rPr>
            </w:pPr>
            <w:r w:rsidRPr="00275FBD">
              <w:rPr>
                <w:szCs w:val="20"/>
                <w:lang w:val="sl-SI"/>
              </w:rPr>
              <w:t>IA</w:t>
            </w:r>
            <w:r w:rsidR="00AC770B" w:rsidRPr="00275FBD">
              <w:rPr>
                <w:szCs w:val="20"/>
                <w:lang w:val="sl-SI"/>
              </w:rPr>
              <w:t>P</w:t>
            </w:r>
          </w:p>
        </w:tc>
        <w:tc>
          <w:tcPr>
            <w:tcW w:w="7229" w:type="dxa"/>
          </w:tcPr>
          <w:p w14:paraId="0996BBEF" w14:textId="4AF75AFA" w:rsidR="00E9732C" w:rsidRPr="00275FBD" w:rsidRDefault="00AC770B" w:rsidP="00E0176C">
            <w:pPr>
              <w:spacing w:before="40" w:after="40"/>
              <w:rPr>
                <w:szCs w:val="20"/>
                <w:lang w:val="sl-SI"/>
              </w:rPr>
            </w:pPr>
            <w:r w:rsidRPr="00275FBD">
              <w:rPr>
                <w:szCs w:val="20"/>
                <w:lang w:val="sl-SI"/>
              </w:rPr>
              <w:t>Implementation Action Plan</w:t>
            </w:r>
            <w:r w:rsidR="003710C7" w:rsidRPr="00275FBD">
              <w:rPr>
                <w:szCs w:val="20"/>
                <w:lang w:val="sl-SI"/>
              </w:rPr>
              <w:t xml:space="preserve"> (</w:t>
            </w:r>
            <w:r w:rsidR="003710C7" w:rsidRPr="00275FBD">
              <w:rPr>
                <w:lang w:val="sl-SI" w:eastAsia="en-GB"/>
              </w:rPr>
              <w:t>Načrt izvedbe ukrepov</w:t>
            </w:r>
            <w:r w:rsidR="003710C7" w:rsidRPr="00275FBD">
              <w:rPr>
                <w:szCs w:val="20"/>
                <w:lang w:val="sl-SI"/>
              </w:rPr>
              <w:t>)</w:t>
            </w:r>
          </w:p>
        </w:tc>
      </w:tr>
      <w:tr w:rsidR="006D31F3" w:rsidRPr="009B3344" w14:paraId="2BCCD101" w14:textId="77777777" w:rsidTr="00860B26">
        <w:trPr>
          <w:cantSplit/>
          <w:trHeight w:val="200"/>
        </w:trPr>
        <w:tc>
          <w:tcPr>
            <w:tcW w:w="1985" w:type="dxa"/>
          </w:tcPr>
          <w:p w14:paraId="0BC857EB" w14:textId="52435F9B" w:rsidR="00183777" w:rsidRPr="00275FBD" w:rsidRDefault="00183777" w:rsidP="00E0176C">
            <w:pPr>
              <w:spacing w:before="40" w:after="40"/>
              <w:rPr>
                <w:szCs w:val="20"/>
                <w:lang w:val="sl-SI"/>
              </w:rPr>
            </w:pPr>
            <w:r w:rsidRPr="00275FBD">
              <w:rPr>
                <w:szCs w:val="20"/>
                <w:lang w:val="sl-SI"/>
              </w:rPr>
              <w:t>IRR</w:t>
            </w:r>
          </w:p>
        </w:tc>
        <w:tc>
          <w:tcPr>
            <w:tcW w:w="7229" w:type="dxa"/>
          </w:tcPr>
          <w:p w14:paraId="156B4E15" w14:textId="60E8394C" w:rsidR="00183777" w:rsidRPr="00275FBD" w:rsidRDefault="00183777" w:rsidP="00E0176C">
            <w:pPr>
              <w:spacing w:before="40" w:after="40"/>
              <w:rPr>
                <w:szCs w:val="20"/>
                <w:lang w:val="sl-SI"/>
              </w:rPr>
            </w:pPr>
            <w:proofErr w:type="spellStart"/>
            <w:r w:rsidRPr="00275FBD">
              <w:rPr>
                <w:szCs w:val="20"/>
                <w:lang w:val="sl-SI"/>
              </w:rPr>
              <w:t>Immediate</w:t>
            </w:r>
            <w:proofErr w:type="spellEnd"/>
            <w:r w:rsidRPr="00275FBD">
              <w:rPr>
                <w:szCs w:val="20"/>
                <w:lang w:val="sl-SI"/>
              </w:rPr>
              <w:t xml:space="preserve"> </w:t>
            </w:r>
            <w:proofErr w:type="spellStart"/>
            <w:r w:rsidRPr="00275FBD">
              <w:rPr>
                <w:szCs w:val="20"/>
                <w:lang w:val="sl-SI"/>
              </w:rPr>
              <w:t>Resolution</w:t>
            </w:r>
            <w:proofErr w:type="spellEnd"/>
            <w:r w:rsidRPr="00275FBD">
              <w:rPr>
                <w:szCs w:val="20"/>
                <w:lang w:val="sl-SI"/>
              </w:rPr>
              <w:t xml:space="preserve"> </w:t>
            </w:r>
            <w:proofErr w:type="spellStart"/>
            <w:r w:rsidRPr="00275FBD">
              <w:rPr>
                <w:szCs w:val="20"/>
                <w:lang w:val="sl-SI"/>
              </w:rPr>
              <w:t>Required</w:t>
            </w:r>
            <w:proofErr w:type="spellEnd"/>
            <w:r w:rsidRPr="00275FBD">
              <w:rPr>
                <w:szCs w:val="20"/>
                <w:lang w:val="sl-SI"/>
              </w:rPr>
              <w:t xml:space="preserve"> (PSR </w:t>
            </w:r>
            <w:proofErr w:type="spellStart"/>
            <w:r w:rsidRPr="00275FBD">
              <w:rPr>
                <w:szCs w:val="20"/>
                <w:lang w:val="sl-SI"/>
              </w:rPr>
              <w:t>issue</w:t>
            </w:r>
            <w:proofErr w:type="spellEnd"/>
            <w:r w:rsidRPr="00275FBD">
              <w:rPr>
                <w:szCs w:val="20"/>
                <w:lang w:val="sl-SI"/>
              </w:rPr>
              <w:t xml:space="preserve"> </w:t>
            </w:r>
            <w:proofErr w:type="spellStart"/>
            <w:r w:rsidRPr="00275FBD">
              <w:rPr>
                <w:szCs w:val="20"/>
                <w:lang w:val="sl-SI"/>
              </w:rPr>
              <w:t>category</w:t>
            </w:r>
            <w:proofErr w:type="spellEnd"/>
            <w:r w:rsidRPr="00275FBD">
              <w:rPr>
                <w:szCs w:val="20"/>
                <w:lang w:val="sl-SI"/>
              </w:rPr>
              <w:t>)</w:t>
            </w:r>
            <w:r w:rsidR="006D31F3" w:rsidRPr="00275FBD">
              <w:rPr>
                <w:szCs w:val="20"/>
                <w:lang w:val="sl-SI"/>
              </w:rPr>
              <w:t>.</w:t>
            </w:r>
          </w:p>
          <w:p w14:paraId="1FE192E3" w14:textId="2AB430F3" w:rsidR="006D31F3" w:rsidRPr="00275FBD" w:rsidRDefault="00D331B7" w:rsidP="00E0176C">
            <w:pPr>
              <w:spacing w:before="40" w:after="40"/>
              <w:rPr>
                <w:szCs w:val="20"/>
                <w:lang w:val="sl-SI"/>
              </w:rPr>
            </w:pPr>
            <w:r w:rsidRPr="00275FBD">
              <w:rPr>
                <w:szCs w:val="20"/>
                <w:lang w:val="sl-SI"/>
              </w:rPr>
              <w:t>(</w:t>
            </w:r>
            <w:r w:rsidR="006D31F3" w:rsidRPr="00275FBD">
              <w:rPr>
                <w:szCs w:val="20"/>
                <w:lang w:val="sl-SI"/>
              </w:rPr>
              <w:t xml:space="preserve">Oznaka za </w:t>
            </w:r>
            <w:r w:rsidR="00CE6729" w:rsidRPr="00275FBD">
              <w:rPr>
                <w:szCs w:val="20"/>
                <w:lang w:val="sl-SI"/>
              </w:rPr>
              <w:t>najdbo</w:t>
            </w:r>
            <w:r w:rsidR="005C0015">
              <w:rPr>
                <w:szCs w:val="20"/>
                <w:lang w:val="sl-SI"/>
              </w:rPr>
              <w:t>, ki</w:t>
            </w:r>
            <w:r w:rsidR="006D31F3" w:rsidRPr="00275FBD">
              <w:rPr>
                <w:szCs w:val="20"/>
                <w:lang w:val="sl-SI"/>
              </w:rPr>
              <w:t xml:space="preserve"> "zahtev</w:t>
            </w:r>
            <w:r w:rsidR="005C0015">
              <w:rPr>
                <w:szCs w:val="20"/>
                <w:lang w:val="sl-SI"/>
              </w:rPr>
              <w:t>a</w:t>
            </w:r>
            <w:r w:rsidR="006D31F3" w:rsidRPr="00275FBD">
              <w:rPr>
                <w:szCs w:val="20"/>
                <w:lang w:val="sl-SI"/>
              </w:rPr>
              <w:t xml:space="preserve"> takojšnj</w:t>
            </w:r>
            <w:r w:rsidR="005C0015">
              <w:rPr>
                <w:szCs w:val="20"/>
                <w:lang w:val="sl-SI"/>
              </w:rPr>
              <w:t>o</w:t>
            </w:r>
            <w:r w:rsidR="006D31F3" w:rsidRPr="00275FBD">
              <w:rPr>
                <w:szCs w:val="20"/>
                <w:lang w:val="sl-SI"/>
              </w:rPr>
              <w:t xml:space="preserve"> </w:t>
            </w:r>
            <w:r w:rsidR="004516ED">
              <w:rPr>
                <w:szCs w:val="20"/>
                <w:lang w:val="sl-SI"/>
              </w:rPr>
              <w:t>raz</w:t>
            </w:r>
            <w:r w:rsidR="006D31F3" w:rsidRPr="00275FBD">
              <w:rPr>
                <w:szCs w:val="20"/>
                <w:lang w:val="sl-SI"/>
              </w:rPr>
              <w:t>rešit</w:t>
            </w:r>
            <w:r w:rsidR="005C0015">
              <w:rPr>
                <w:szCs w:val="20"/>
                <w:lang w:val="sl-SI"/>
              </w:rPr>
              <w:t>ev</w:t>
            </w:r>
            <w:r w:rsidR="006D31F3" w:rsidRPr="00275FBD">
              <w:rPr>
                <w:szCs w:val="20"/>
                <w:lang w:val="sl-SI"/>
              </w:rPr>
              <w:t xml:space="preserve">", ki je bila obdržana </w:t>
            </w:r>
            <w:r w:rsidR="006D31F3" w:rsidRPr="00275FBD">
              <w:rPr>
                <w:lang w:val="sl-SI"/>
              </w:rPr>
              <w:t xml:space="preserve">zaradi doslednosti poimenovanja s prejšnjimi PSR. V bistvu gre za </w:t>
            </w:r>
            <w:r w:rsidR="00395621" w:rsidRPr="00275FBD">
              <w:rPr>
                <w:lang w:val="sl-SI"/>
              </w:rPr>
              <w:t>najdbe</w:t>
            </w:r>
            <w:r w:rsidR="006D31F3" w:rsidRPr="00275FBD">
              <w:rPr>
                <w:lang w:val="sl-SI"/>
              </w:rPr>
              <w:t xml:space="preserve">, ki jih je potrebno </w:t>
            </w:r>
            <w:r w:rsidR="005C0015">
              <w:rPr>
                <w:lang w:val="sl-SI"/>
              </w:rPr>
              <w:t>raz</w:t>
            </w:r>
            <w:r w:rsidR="006D31F3" w:rsidRPr="00275FBD">
              <w:rPr>
                <w:lang w:val="sl-SI"/>
              </w:rPr>
              <w:t xml:space="preserve">rešiti ne glede na </w:t>
            </w:r>
            <w:proofErr w:type="spellStart"/>
            <w:r w:rsidR="006D31F3" w:rsidRPr="00275FBD">
              <w:rPr>
                <w:lang w:val="sl-SI"/>
              </w:rPr>
              <w:t>rangiranje</w:t>
            </w:r>
            <w:proofErr w:type="spellEnd"/>
            <w:r w:rsidR="006D31F3" w:rsidRPr="00275FBD">
              <w:rPr>
                <w:lang w:val="sl-SI"/>
              </w:rPr>
              <w:t>.</w:t>
            </w:r>
            <w:r w:rsidRPr="00275FBD">
              <w:rPr>
                <w:lang w:val="sl-SI"/>
              </w:rPr>
              <w:t>)</w:t>
            </w:r>
          </w:p>
        </w:tc>
      </w:tr>
      <w:tr w:rsidR="0085239A" w:rsidRPr="00275FBD" w14:paraId="0CBB9C11" w14:textId="77777777" w:rsidTr="00860B26">
        <w:trPr>
          <w:cantSplit/>
          <w:trHeight w:val="200"/>
        </w:trPr>
        <w:tc>
          <w:tcPr>
            <w:tcW w:w="1985" w:type="dxa"/>
          </w:tcPr>
          <w:p w14:paraId="3B5C2B9B" w14:textId="77777777" w:rsidR="00281ABF" w:rsidRPr="00275FBD" w:rsidRDefault="00281ABF" w:rsidP="00E0176C">
            <w:pPr>
              <w:spacing w:before="40" w:after="40"/>
              <w:rPr>
                <w:szCs w:val="20"/>
                <w:lang w:val="sl-SI"/>
              </w:rPr>
            </w:pPr>
            <w:r w:rsidRPr="00275FBD">
              <w:rPr>
                <w:szCs w:val="20"/>
                <w:lang w:val="sl-SI"/>
              </w:rPr>
              <w:t>ISEG</w:t>
            </w:r>
          </w:p>
        </w:tc>
        <w:tc>
          <w:tcPr>
            <w:tcW w:w="7229" w:type="dxa"/>
          </w:tcPr>
          <w:p w14:paraId="5A01A8F5" w14:textId="480E4895" w:rsidR="00281ABF" w:rsidRPr="00275FBD" w:rsidRDefault="00281ABF" w:rsidP="00E0176C">
            <w:pPr>
              <w:spacing w:before="40" w:after="40"/>
              <w:rPr>
                <w:szCs w:val="20"/>
                <w:lang w:val="sl-SI"/>
              </w:rPr>
            </w:pPr>
            <w:proofErr w:type="spellStart"/>
            <w:r w:rsidRPr="00275FBD">
              <w:rPr>
                <w:lang w:val="sl-SI"/>
              </w:rPr>
              <w:t>Independent</w:t>
            </w:r>
            <w:proofErr w:type="spellEnd"/>
            <w:r w:rsidRPr="00275FBD">
              <w:rPr>
                <w:lang w:val="sl-SI"/>
              </w:rPr>
              <w:t xml:space="preserve"> Safety E</w:t>
            </w:r>
            <w:r w:rsidR="0085239A" w:rsidRPr="00275FBD">
              <w:rPr>
                <w:lang w:val="sl-SI"/>
              </w:rPr>
              <w:t>valuation</w:t>
            </w:r>
            <w:r w:rsidRPr="00275FBD">
              <w:rPr>
                <w:lang w:val="sl-SI"/>
              </w:rPr>
              <w:t xml:space="preserve"> Group</w:t>
            </w:r>
            <w:r w:rsidR="0085239A" w:rsidRPr="00275FBD">
              <w:rPr>
                <w:lang w:val="sl-SI"/>
              </w:rPr>
              <w:t xml:space="preserve"> (Skupina za neodvisne ocene varnosti)</w:t>
            </w:r>
          </w:p>
        </w:tc>
      </w:tr>
      <w:tr w:rsidR="00EA6EB9" w:rsidRPr="009B3344" w14:paraId="75B97F51" w14:textId="77777777" w:rsidTr="00860B26">
        <w:trPr>
          <w:cantSplit/>
          <w:trHeight w:val="200"/>
        </w:trPr>
        <w:tc>
          <w:tcPr>
            <w:tcW w:w="1985" w:type="dxa"/>
          </w:tcPr>
          <w:p w14:paraId="54846BE6" w14:textId="2A1689B5" w:rsidR="00183777" w:rsidRPr="00275FBD" w:rsidRDefault="00183777" w:rsidP="00E0176C">
            <w:pPr>
              <w:spacing w:before="40" w:after="40"/>
              <w:rPr>
                <w:szCs w:val="20"/>
                <w:lang w:val="sl-SI"/>
              </w:rPr>
            </w:pPr>
            <w:r w:rsidRPr="00275FBD">
              <w:rPr>
                <w:szCs w:val="20"/>
                <w:lang w:val="sl-SI"/>
              </w:rPr>
              <w:t>LE</w:t>
            </w:r>
          </w:p>
        </w:tc>
        <w:tc>
          <w:tcPr>
            <w:tcW w:w="7229" w:type="dxa"/>
          </w:tcPr>
          <w:p w14:paraId="772C3350" w14:textId="711F8A7D" w:rsidR="00183777" w:rsidRPr="00275FBD" w:rsidRDefault="00183777" w:rsidP="00E0176C">
            <w:pPr>
              <w:spacing w:before="40" w:after="40"/>
              <w:rPr>
                <w:szCs w:val="20"/>
                <w:lang w:val="sl-SI"/>
              </w:rPr>
            </w:pPr>
            <w:r w:rsidRPr="00275FBD">
              <w:rPr>
                <w:szCs w:val="20"/>
                <w:lang w:val="sl-SI"/>
              </w:rPr>
              <w:t xml:space="preserve">Low </w:t>
            </w:r>
            <w:proofErr w:type="spellStart"/>
            <w:r w:rsidRPr="00275FBD">
              <w:rPr>
                <w:szCs w:val="20"/>
                <w:lang w:val="sl-SI"/>
              </w:rPr>
              <w:t>Effort</w:t>
            </w:r>
            <w:proofErr w:type="spellEnd"/>
            <w:r w:rsidRPr="00275FBD">
              <w:rPr>
                <w:szCs w:val="20"/>
                <w:lang w:val="sl-SI"/>
              </w:rPr>
              <w:t xml:space="preserve"> (PSR </w:t>
            </w:r>
            <w:proofErr w:type="spellStart"/>
            <w:r w:rsidRPr="00275FBD">
              <w:rPr>
                <w:szCs w:val="20"/>
                <w:lang w:val="sl-SI"/>
              </w:rPr>
              <w:t>issue</w:t>
            </w:r>
            <w:proofErr w:type="spellEnd"/>
            <w:r w:rsidRPr="00275FBD">
              <w:rPr>
                <w:szCs w:val="20"/>
                <w:lang w:val="sl-SI"/>
              </w:rPr>
              <w:t xml:space="preserve"> </w:t>
            </w:r>
            <w:proofErr w:type="spellStart"/>
            <w:r w:rsidRPr="00275FBD">
              <w:rPr>
                <w:szCs w:val="20"/>
                <w:lang w:val="sl-SI"/>
              </w:rPr>
              <w:t>category</w:t>
            </w:r>
            <w:proofErr w:type="spellEnd"/>
            <w:r w:rsidRPr="00275FBD">
              <w:rPr>
                <w:szCs w:val="20"/>
                <w:lang w:val="sl-SI"/>
              </w:rPr>
              <w:t>)</w:t>
            </w:r>
            <w:r w:rsidR="00EA6EB9" w:rsidRPr="00275FBD">
              <w:rPr>
                <w:szCs w:val="20"/>
                <w:lang w:val="sl-SI"/>
              </w:rPr>
              <w:t xml:space="preserve"> (Oznaka kategorije </w:t>
            </w:r>
            <w:r w:rsidR="00BD5705" w:rsidRPr="00275FBD">
              <w:rPr>
                <w:szCs w:val="20"/>
                <w:lang w:val="sl-SI"/>
              </w:rPr>
              <w:t xml:space="preserve">najdb </w:t>
            </w:r>
            <w:r w:rsidR="00EA6EB9" w:rsidRPr="00275FBD">
              <w:rPr>
                <w:szCs w:val="20"/>
                <w:lang w:val="sl-SI"/>
              </w:rPr>
              <w:t xml:space="preserve">pri katerih je rešitev </w:t>
            </w:r>
            <w:r w:rsidR="00EA6EB9" w:rsidRPr="00275FBD">
              <w:rPr>
                <w:lang w:val="sl-SI"/>
              </w:rPr>
              <w:t>dosegljiva z majhnim naporom</w:t>
            </w:r>
            <w:r w:rsidR="00EA6EB9" w:rsidRPr="00275FBD">
              <w:rPr>
                <w:szCs w:val="20"/>
                <w:lang w:val="sl-SI"/>
              </w:rPr>
              <w:t>)</w:t>
            </w:r>
          </w:p>
        </w:tc>
      </w:tr>
      <w:tr w:rsidR="00EA6EB9" w:rsidRPr="009B3344" w14:paraId="790E18D2" w14:textId="77777777" w:rsidTr="00860B26">
        <w:trPr>
          <w:cantSplit/>
          <w:trHeight w:val="200"/>
        </w:trPr>
        <w:tc>
          <w:tcPr>
            <w:tcW w:w="1985" w:type="dxa"/>
          </w:tcPr>
          <w:p w14:paraId="163E9C03" w14:textId="77777777" w:rsidR="000C3347" w:rsidRPr="00275FBD" w:rsidRDefault="000C3347" w:rsidP="00E0176C">
            <w:pPr>
              <w:spacing w:before="40" w:after="40"/>
              <w:rPr>
                <w:szCs w:val="20"/>
                <w:lang w:val="sl-SI"/>
              </w:rPr>
            </w:pPr>
            <w:r w:rsidRPr="00275FBD">
              <w:rPr>
                <w:szCs w:val="20"/>
                <w:lang w:val="sl-SI"/>
              </w:rPr>
              <w:t>LERF</w:t>
            </w:r>
          </w:p>
        </w:tc>
        <w:tc>
          <w:tcPr>
            <w:tcW w:w="7229" w:type="dxa"/>
          </w:tcPr>
          <w:p w14:paraId="7AF3E110" w14:textId="09CF836C" w:rsidR="000C3347" w:rsidRPr="00275FBD" w:rsidRDefault="000C3347" w:rsidP="00E0176C">
            <w:pPr>
              <w:spacing w:before="40" w:after="40"/>
              <w:rPr>
                <w:lang w:val="sl-SI"/>
              </w:rPr>
            </w:pPr>
            <w:r w:rsidRPr="00275FBD">
              <w:rPr>
                <w:lang w:val="sl-SI"/>
              </w:rPr>
              <w:t xml:space="preserve">Large Early </w:t>
            </w:r>
            <w:proofErr w:type="spellStart"/>
            <w:r w:rsidRPr="00275FBD">
              <w:rPr>
                <w:lang w:val="sl-SI"/>
              </w:rPr>
              <w:t>Release</w:t>
            </w:r>
            <w:proofErr w:type="spellEnd"/>
            <w:r w:rsidRPr="00275FBD">
              <w:rPr>
                <w:lang w:val="sl-SI"/>
              </w:rPr>
              <w:t xml:space="preserve"> </w:t>
            </w:r>
            <w:proofErr w:type="spellStart"/>
            <w:r w:rsidRPr="00275FBD">
              <w:rPr>
                <w:lang w:val="sl-SI"/>
              </w:rPr>
              <w:t>Frequency</w:t>
            </w:r>
            <w:proofErr w:type="spellEnd"/>
            <w:r w:rsidR="00EA6EB9" w:rsidRPr="00275FBD">
              <w:rPr>
                <w:lang w:val="sl-SI"/>
              </w:rPr>
              <w:t xml:space="preserve"> (Pogostost velikih zgodnjih izpustov radioaktivnosti (merilo tveganja))</w:t>
            </w:r>
          </w:p>
        </w:tc>
      </w:tr>
      <w:tr w:rsidR="001A7DAD" w:rsidRPr="00275FBD" w14:paraId="49633B00" w14:textId="77777777" w:rsidTr="00860B26">
        <w:trPr>
          <w:cantSplit/>
          <w:trHeight w:val="200"/>
        </w:trPr>
        <w:tc>
          <w:tcPr>
            <w:tcW w:w="1985" w:type="dxa"/>
          </w:tcPr>
          <w:p w14:paraId="72C42C07" w14:textId="7F15197C" w:rsidR="009928B0" w:rsidRPr="00275FBD" w:rsidRDefault="009928B0" w:rsidP="00E0176C">
            <w:pPr>
              <w:spacing w:before="40" w:after="40"/>
              <w:rPr>
                <w:szCs w:val="20"/>
                <w:lang w:val="sl-SI"/>
              </w:rPr>
            </w:pPr>
            <w:r w:rsidRPr="00275FBD">
              <w:rPr>
                <w:szCs w:val="20"/>
                <w:lang w:val="sl-SI"/>
              </w:rPr>
              <w:t>LE</w:t>
            </w:r>
            <w:r w:rsidR="000C3347" w:rsidRPr="00275FBD">
              <w:rPr>
                <w:szCs w:val="20"/>
                <w:lang w:val="sl-SI"/>
              </w:rPr>
              <w:t>X</w:t>
            </w:r>
          </w:p>
        </w:tc>
        <w:tc>
          <w:tcPr>
            <w:tcW w:w="7229" w:type="dxa"/>
          </w:tcPr>
          <w:p w14:paraId="6ADA079E" w14:textId="5202E815" w:rsidR="009928B0" w:rsidRPr="00275FBD" w:rsidRDefault="000C3347" w:rsidP="00E0176C">
            <w:pPr>
              <w:spacing w:before="40" w:after="40"/>
              <w:rPr>
                <w:lang w:val="sl-SI"/>
              </w:rPr>
            </w:pPr>
            <w:proofErr w:type="spellStart"/>
            <w:r w:rsidRPr="00275FBD">
              <w:rPr>
                <w:lang w:val="sl-SI"/>
              </w:rPr>
              <w:t>Life</w:t>
            </w:r>
            <w:proofErr w:type="spellEnd"/>
            <w:r w:rsidRPr="00275FBD">
              <w:rPr>
                <w:lang w:val="sl-SI"/>
              </w:rPr>
              <w:t xml:space="preserve"> Extension (Project)</w:t>
            </w:r>
            <w:r w:rsidR="001A7DAD" w:rsidRPr="00275FBD">
              <w:rPr>
                <w:lang w:val="sl-SI"/>
              </w:rPr>
              <w:t xml:space="preserve"> (Podaljšanje življen</w:t>
            </w:r>
            <w:r w:rsidR="004654D4">
              <w:rPr>
                <w:lang w:val="sl-SI"/>
              </w:rPr>
              <w:t>j</w:t>
            </w:r>
            <w:r w:rsidR="001A7DAD" w:rsidRPr="00275FBD">
              <w:rPr>
                <w:lang w:val="sl-SI"/>
              </w:rPr>
              <w:t>ske dobe (projekt))</w:t>
            </w:r>
          </w:p>
        </w:tc>
      </w:tr>
      <w:tr w:rsidR="00B02C34" w:rsidRPr="00275FBD" w14:paraId="578472D8" w14:textId="77777777" w:rsidTr="00860B26">
        <w:trPr>
          <w:cantSplit/>
          <w:trHeight w:val="200"/>
        </w:trPr>
        <w:tc>
          <w:tcPr>
            <w:tcW w:w="1985" w:type="dxa"/>
          </w:tcPr>
          <w:p w14:paraId="6AB652C5" w14:textId="0FE4939D" w:rsidR="00281ABF" w:rsidRPr="00275FBD" w:rsidRDefault="00281ABF" w:rsidP="00E0176C">
            <w:pPr>
              <w:spacing w:before="40" w:after="40"/>
              <w:rPr>
                <w:szCs w:val="20"/>
                <w:lang w:val="sl-SI"/>
              </w:rPr>
            </w:pPr>
            <w:r w:rsidRPr="00275FBD">
              <w:rPr>
                <w:szCs w:val="20"/>
                <w:lang w:val="sl-SI"/>
              </w:rPr>
              <w:t>LOCA</w:t>
            </w:r>
          </w:p>
        </w:tc>
        <w:tc>
          <w:tcPr>
            <w:tcW w:w="7229" w:type="dxa"/>
          </w:tcPr>
          <w:p w14:paraId="6F92383D" w14:textId="789CCD89" w:rsidR="00281ABF" w:rsidRPr="00275FBD" w:rsidRDefault="00281ABF" w:rsidP="00E0176C">
            <w:pPr>
              <w:spacing w:before="40" w:after="40"/>
              <w:rPr>
                <w:lang w:val="sl-SI"/>
              </w:rPr>
            </w:pPr>
            <w:proofErr w:type="spellStart"/>
            <w:r w:rsidRPr="00275FBD">
              <w:rPr>
                <w:lang w:val="sl-SI"/>
              </w:rPr>
              <w:t>Loss</w:t>
            </w:r>
            <w:proofErr w:type="spellEnd"/>
            <w:r w:rsidRPr="00275FBD">
              <w:rPr>
                <w:lang w:val="sl-SI"/>
              </w:rPr>
              <w:t xml:space="preserve"> of </w:t>
            </w:r>
            <w:proofErr w:type="spellStart"/>
            <w:r w:rsidRPr="00275FBD">
              <w:rPr>
                <w:lang w:val="sl-SI"/>
              </w:rPr>
              <w:t>Coolant</w:t>
            </w:r>
            <w:proofErr w:type="spellEnd"/>
            <w:r w:rsidRPr="00275FBD">
              <w:rPr>
                <w:lang w:val="sl-SI"/>
              </w:rPr>
              <w:t xml:space="preserve"> Accident</w:t>
            </w:r>
            <w:r w:rsidR="00B02C34" w:rsidRPr="00275FBD">
              <w:rPr>
                <w:lang w:val="sl-SI"/>
              </w:rPr>
              <w:t xml:space="preserve"> (Dogodek </w:t>
            </w:r>
            <w:r w:rsidR="004516ED">
              <w:rPr>
                <w:lang w:val="sl-SI"/>
              </w:rPr>
              <w:t xml:space="preserve">z </w:t>
            </w:r>
            <w:r w:rsidR="004516ED" w:rsidRPr="00275FBD">
              <w:rPr>
                <w:lang w:val="sl-SI"/>
              </w:rPr>
              <w:t>izgub</w:t>
            </w:r>
            <w:r w:rsidR="004516ED">
              <w:rPr>
                <w:lang w:val="sl-SI"/>
              </w:rPr>
              <w:t>o</w:t>
            </w:r>
            <w:r w:rsidR="004516ED" w:rsidRPr="00275FBD">
              <w:rPr>
                <w:lang w:val="sl-SI"/>
              </w:rPr>
              <w:t xml:space="preserve"> </w:t>
            </w:r>
            <w:r w:rsidR="00B02C34" w:rsidRPr="00275FBD">
              <w:rPr>
                <w:lang w:val="sl-SI"/>
              </w:rPr>
              <w:t>reaktorskega hladila)</w:t>
            </w:r>
          </w:p>
        </w:tc>
      </w:tr>
      <w:tr w:rsidR="00814342" w:rsidRPr="00275FBD" w14:paraId="40431642" w14:textId="77777777" w:rsidTr="00860B26">
        <w:trPr>
          <w:cantSplit/>
          <w:trHeight w:val="200"/>
        </w:trPr>
        <w:tc>
          <w:tcPr>
            <w:tcW w:w="1985" w:type="dxa"/>
          </w:tcPr>
          <w:p w14:paraId="68599298" w14:textId="40011744" w:rsidR="000C3347" w:rsidRPr="00275FBD" w:rsidRDefault="000C3347" w:rsidP="00E0176C">
            <w:pPr>
              <w:spacing w:before="40" w:after="40"/>
              <w:rPr>
                <w:szCs w:val="20"/>
                <w:lang w:val="sl-SI"/>
              </w:rPr>
            </w:pPr>
            <w:r w:rsidRPr="00275FBD">
              <w:rPr>
                <w:szCs w:val="20"/>
                <w:lang w:val="sl-SI"/>
              </w:rPr>
              <w:t>LOD</w:t>
            </w:r>
          </w:p>
        </w:tc>
        <w:tc>
          <w:tcPr>
            <w:tcW w:w="7229" w:type="dxa"/>
          </w:tcPr>
          <w:p w14:paraId="4F59BA0B" w14:textId="58A85F5E" w:rsidR="000C3347" w:rsidRPr="00275FBD" w:rsidRDefault="000C3347" w:rsidP="00E0176C">
            <w:pPr>
              <w:spacing w:before="40" w:after="40"/>
              <w:rPr>
                <w:lang w:val="sl-SI"/>
              </w:rPr>
            </w:pPr>
            <w:r w:rsidRPr="00275FBD">
              <w:rPr>
                <w:lang w:val="sl-SI"/>
              </w:rPr>
              <w:t xml:space="preserve">Line of </w:t>
            </w:r>
            <w:proofErr w:type="spellStart"/>
            <w:r w:rsidRPr="00275FBD">
              <w:rPr>
                <w:lang w:val="sl-SI"/>
              </w:rPr>
              <w:t>Defense</w:t>
            </w:r>
            <w:proofErr w:type="spellEnd"/>
            <w:r w:rsidR="00814342" w:rsidRPr="00275FBD">
              <w:rPr>
                <w:lang w:val="sl-SI"/>
              </w:rPr>
              <w:t xml:space="preserve"> (Obrambna linija)</w:t>
            </w:r>
          </w:p>
        </w:tc>
      </w:tr>
      <w:tr w:rsidR="00F433AB" w:rsidRPr="00275FBD" w14:paraId="6CB69186" w14:textId="77777777" w:rsidTr="00860B26">
        <w:trPr>
          <w:cantSplit/>
          <w:trHeight w:val="200"/>
        </w:trPr>
        <w:tc>
          <w:tcPr>
            <w:tcW w:w="1985" w:type="dxa"/>
          </w:tcPr>
          <w:p w14:paraId="2D3F13C1" w14:textId="77777777" w:rsidR="00972240" w:rsidRPr="00275FBD" w:rsidRDefault="00972240" w:rsidP="00E0176C">
            <w:pPr>
              <w:spacing w:before="40" w:after="40"/>
              <w:rPr>
                <w:szCs w:val="20"/>
                <w:lang w:val="sl-SI"/>
              </w:rPr>
            </w:pPr>
            <w:r w:rsidRPr="00275FBD">
              <w:rPr>
                <w:szCs w:val="20"/>
                <w:lang w:val="sl-SI"/>
              </w:rPr>
              <w:t>LTO</w:t>
            </w:r>
          </w:p>
        </w:tc>
        <w:tc>
          <w:tcPr>
            <w:tcW w:w="7229" w:type="dxa"/>
          </w:tcPr>
          <w:p w14:paraId="67E58F47" w14:textId="7DD7B0DA" w:rsidR="00972240" w:rsidRPr="00275FBD" w:rsidRDefault="00AB4B6A" w:rsidP="00E0176C">
            <w:pPr>
              <w:spacing w:before="40" w:after="40"/>
              <w:rPr>
                <w:lang w:val="sl-SI"/>
              </w:rPr>
            </w:pPr>
            <w:r w:rsidRPr="00275FBD">
              <w:rPr>
                <w:lang w:val="sl-SI"/>
              </w:rPr>
              <w:t>Long Term Operation</w:t>
            </w:r>
            <w:r w:rsidR="00F433AB" w:rsidRPr="00275FBD">
              <w:rPr>
                <w:lang w:val="sl-SI"/>
              </w:rPr>
              <w:t xml:space="preserve"> (Dolgoročno obratovanje)</w:t>
            </w:r>
          </w:p>
        </w:tc>
      </w:tr>
      <w:tr w:rsidR="00F94E89" w:rsidRPr="00275FBD" w14:paraId="132267A7" w14:textId="77777777" w:rsidTr="00860B26">
        <w:trPr>
          <w:cantSplit/>
          <w:trHeight w:val="200"/>
        </w:trPr>
        <w:tc>
          <w:tcPr>
            <w:tcW w:w="1985" w:type="dxa"/>
          </w:tcPr>
          <w:p w14:paraId="32F9AFC0" w14:textId="77777777" w:rsidR="00CB2283" w:rsidRPr="00275FBD" w:rsidRDefault="00CB2283" w:rsidP="00E0176C">
            <w:pPr>
              <w:spacing w:before="40" w:after="40"/>
              <w:rPr>
                <w:szCs w:val="20"/>
                <w:lang w:val="sl-SI"/>
              </w:rPr>
            </w:pPr>
            <w:r w:rsidRPr="00275FBD">
              <w:rPr>
                <w:szCs w:val="20"/>
                <w:lang w:val="sl-SI"/>
              </w:rPr>
              <w:lastRenderedPageBreak/>
              <w:t>MCR</w:t>
            </w:r>
          </w:p>
        </w:tc>
        <w:tc>
          <w:tcPr>
            <w:tcW w:w="7229" w:type="dxa"/>
          </w:tcPr>
          <w:p w14:paraId="2FD82C26" w14:textId="22E0BFB1" w:rsidR="00CB2283" w:rsidRPr="00275FBD" w:rsidRDefault="00CB2283" w:rsidP="00256823">
            <w:pPr>
              <w:tabs>
                <w:tab w:val="left" w:pos="1125"/>
              </w:tabs>
              <w:spacing w:before="40" w:after="40"/>
              <w:rPr>
                <w:szCs w:val="20"/>
                <w:lang w:val="sl-SI"/>
              </w:rPr>
            </w:pPr>
            <w:r w:rsidRPr="00275FBD">
              <w:rPr>
                <w:szCs w:val="20"/>
                <w:lang w:val="sl-SI"/>
              </w:rPr>
              <w:t xml:space="preserve">Main Control </w:t>
            </w:r>
            <w:proofErr w:type="spellStart"/>
            <w:r w:rsidRPr="00275FBD">
              <w:rPr>
                <w:szCs w:val="20"/>
                <w:lang w:val="sl-SI"/>
              </w:rPr>
              <w:t>Room</w:t>
            </w:r>
            <w:proofErr w:type="spellEnd"/>
            <w:r w:rsidR="00F94E89" w:rsidRPr="00275FBD">
              <w:rPr>
                <w:szCs w:val="20"/>
                <w:lang w:val="sl-SI"/>
              </w:rPr>
              <w:t xml:space="preserve"> (Glavna kontrolna soba)</w:t>
            </w:r>
          </w:p>
        </w:tc>
      </w:tr>
      <w:tr w:rsidR="00B02C34" w:rsidRPr="009B3344" w14:paraId="0BB0CE8F" w14:textId="77777777" w:rsidTr="00860B26">
        <w:trPr>
          <w:cantSplit/>
          <w:trHeight w:val="200"/>
        </w:trPr>
        <w:tc>
          <w:tcPr>
            <w:tcW w:w="1985" w:type="dxa"/>
          </w:tcPr>
          <w:p w14:paraId="6C713277" w14:textId="40663477" w:rsidR="00A27108" w:rsidRPr="00275FBD" w:rsidRDefault="00A27108" w:rsidP="00E0176C">
            <w:pPr>
              <w:spacing w:before="40" w:after="40"/>
              <w:rPr>
                <w:szCs w:val="20"/>
                <w:lang w:val="sl-SI"/>
              </w:rPr>
            </w:pPr>
            <w:r w:rsidRPr="00275FBD">
              <w:rPr>
                <w:szCs w:val="20"/>
                <w:lang w:val="sl-SI"/>
              </w:rPr>
              <w:t>MDP</w:t>
            </w:r>
          </w:p>
        </w:tc>
        <w:tc>
          <w:tcPr>
            <w:tcW w:w="7229" w:type="dxa"/>
          </w:tcPr>
          <w:p w14:paraId="4DA9F1DF" w14:textId="673811A5" w:rsidR="00A27108" w:rsidRPr="00275FBD" w:rsidRDefault="00A27108" w:rsidP="00E0176C">
            <w:pPr>
              <w:spacing w:before="40" w:after="40"/>
              <w:rPr>
                <w:lang w:val="sl-SI"/>
              </w:rPr>
            </w:pPr>
            <w:r w:rsidRPr="00275FBD">
              <w:rPr>
                <w:lang w:val="sl-SI"/>
              </w:rPr>
              <w:t xml:space="preserve">Motor </w:t>
            </w:r>
            <w:proofErr w:type="spellStart"/>
            <w:r w:rsidRPr="00275FBD">
              <w:rPr>
                <w:lang w:val="sl-SI"/>
              </w:rPr>
              <w:t>Driven</w:t>
            </w:r>
            <w:proofErr w:type="spellEnd"/>
            <w:r w:rsidRPr="00275FBD">
              <w:rPr>
                <w:lang w:val="sl-SI"/>
              </w:rPr>
              <w:t xml:space="preserve"> Pump</w:t>
            </w:r>
            <w:r w:rsidR="00B02C34" w:rsidRPr="00275FBD">
              <w:rPr>
                <w:lang w:val="sl-SI"/>
              </w:rPr>
              <w:t xml:space="preserve"> (Motorna črpalka)</w:t>
            </w:r>
          </w:p>
        </w:tc>
      </w:tr>
      <w:tr w:rsidR="008479AA" w:rsidRPr="00275FBD" w14:paraId="2314F081" w14:textId="77777777" w:rsidTr="00860B26">
        <w:trPr>
          <w:cantSplit/>
          <w:trHeight w:val="200"/>
        </w:trPr>
        <w:tc>
          <w:tcPr>
            <w:tcW w:w="1985" w:type="dxa"/>
          </w:tcPr>
          <w:p w14:paraId="22A242B6" w14:textId="7DCE060B" w:rsidR="000C3347" w:rsidRPr="00275FBD" w:rsidRDefault="000C3347" w:rsidP="00E0176C">
            <w:pPr>
              <w:spacing w:before="40" w:after="40"/>
              <w:rPr>
                <w:szCs w:val="20"/>
                <w:lang w:val="sl-SI"/>
              </w:rPr>
            </w:pPr>
            <w:r w:rsidRPr="00275FBD">
              <w:rPr>
                <w:szCs w:val="20"/>
                <w:lang w:val="sl-SI"/>
              </w:rPr>
              <w:t>MFW</w:t>
            </w:r>
          </w:p>
        </w:tc>
        <w:tc>
          <w:tcPr>
            <w:tcW w:w="7229" w:type="dxa"/>
          </w:tcPr>
          <w:p w14:paraId="45E5FC82" w14:textId="3D6267E4" w:rsidR="000C3347" w:rsidRPr="00275FBD" w:rsidRDefault="000C3347" w:rsidP="00E0176C">
            <w:pPr>
              <w:spacing w:before="40" w:after="40"/>
              <w:rPr>
                <w:lang w:val="sl-SI"/>
              </w:rPr>
            </w:pPr>
            <w:r w:rsidRPr="00275FBD">
              <w:rPr>
                <w:lang w:val="sl-SI"/>
              </w:rPr>
              <w:t xml:space="preserve">Main </w:t>
            </w:r>
            <w:proofErr w:type="spellStart"/>
            <w:r w:rsidRPr="00275FBD">
              <w:rPr>
                <w:lang w:val="sl-SI"/>
              </w:rPr>
              <w:t>Feed</w:t>
            </w:r>
            <w:proofErr w:type="spellEnd"/>
            <w:r w:rsidRPr="00275FBD">
              <w:rPr>
                <w:lang w:val="sl-SI"/>
              </w:rPr>
              <w:t xml:space="preserve"> </w:t>
            </w:r>
            <w:proofErr w:type="spellStart"/>
            <w:r w:rsidRPr="00275FBD">
              <w:rPr>
                <w:lang w:val="sl-SI"/>
              </w:rPr>
              <w:t>Water</w:t>
            </w:r>
            <w:proofErr w:type="spellEnd"/>
            <w:r w:rsidR="008479AA" w:rsidRPr="00275FBD">
              <w:rPr>
                <w:lang w:val="sl-SI"/>
              </w:rPr>
              <w:t xml:space="preserve"> (Glavna napajalna voda)</w:t>
            </w:r>
          </w:p>
        </w:tc>
      </w:tr>
      <w:tr w:rsidR="004B359C" w:rsidRPr="00275FBD" w14:paraId="272E0F0A" w14:textId="77777777" w:rsidTr="00860B26">
        <w:trPr>
          <w:cantSplit/>
          <w:trHeight w:val="200"/>
        </w:trPr>
        <w:tc>
          <w:tcPr>
            <w:tcW w:w="1985" w:type="dxa"/>
          </w:tcPr>
          <w:p w14:paraId="3B83A566" w14:textId="77777777" w:rsidR="008B4156" w:rsidRPr="00275FBD" w:rsidRDefault="008B4156" w:rsidP="00E0176C">
            <w:pPr>
              <w:spacing w:before="40" w:after="40"/>
              <w:rPr>
                <w:szCs w:val="20"/>
                <w:lang w:val="sl-SI"/>
              </w:rPr>
            </w:pPr>
            <w:r w:rsidRPr="00275FBD">
              <w:rPr>
                <w:szCs w:val="20"/>
                <w:lang w:val="sl-SI"/>
              </w:rPr>
              <w:t>NEK</w:t>
            </w:r>
          </w:p>
        </w:tc>
        <w:tc>
          <w:tcPr>
            <w:tcW w:w="7229" w:type="dxa"/>
          </w:tcPr>
          <w:p w14:paraId="446D10E6" w14:textId="6830E7AC" w:rsidR="008B4156" w:rsidRPr="00275FBD" w:rsidRDefault="00AC40AB" w:rsidP="00E0176C">
            <w:pPr>
              <w:spacing w:before="40" w:after="40"/>
              <w:jc w:val="left"/>
              <w:rPr>
                <w:szCs w:val="20"/>
                <w:lang w:val="sl-SI"/>
              </w:rPr>
            </w:pPr>
            <w:r w:rsidRPr="00275FBD">
              <w:rPr>
                <w:szCs w:val="20"/>
                <w:lang w:val="sl-SI"/>
              </w:rPr>
              <w:t>Nuklearna elektrarna Krško</w:t>
            </w:r>
          </w:p>
        </w:tc>
      </w:tr>
      <w:tr w:rsidR="00C727FA" w:rsidRPr="00275FBD" w14:paraId="7AAD067B" w14:textId="77777777" w:rsidTr="00860B26">
        <w:trPr>
          <w:cantSplit/>
          <w:trHeight w:val="200"/>
        </w:trPr>
        <w:tc>
          <w:tcPr>
            <w:tcW w:w="1985" w:type="dxa"/>
          </w:tcPr>
          <w:p w14:paraId="3EEF2CAA" w14:textId="77777777" w:rsidR="00D57B08" w:rsidRPr="00275FBD" w:rsidRDefault="00D57B08" w:rsidP="00E0176C">
            <w:pPr>
              <w:spacing w:before="40" w:after="40"/>
              <w:rPr>
                <w:szCs w:val="20"/>
                <w:lang w:val="sl-SI"/>
              </w:rPr>
            </w:pPr>
            <w:r w:rsidRPr="00275FBD">
              <w:rPr>
                <w:szCs w:val="20"/>
                <w:lang w:val="sl-SI"/>
              </w:rPr>
              <w:t>OSF</w:t>
            </w:r>
          </w:p>
        </w:tc>
        <w:tc>
          <w:tcPr>
            <w:tcW w:w="7229" w:type="dxa"/>
          </w:tcPr>
          <w:p w14:paraId="7891566A" w14:textId="088F4376" w:rsidR="00D57B08" w:rsidRPr="00275FBD" w:rsidRDefault="007E671D" w:rsidP="00E0176C">
            <w:pPr>
              <w:spacing w:before="40" w:after="40"/>
              <w:rPr>
                <w:szCs w:val="20"/>
                <w:lang w:val="sl-SI"/>
              </w:rPr>
            </w:pPr>
            <w:r w:rsidRPr="00275FBD">
              <w:rPr>
                <w:lang w:val="sl-SI" w:eastAsia="en-GB"/>
              </w:rPr>
              <w:t xml:space="preserve">Operational Safety </w:t>
            </w:r>
            <w:proofErr w:type="spellStart"/>
            <w:r w:rsidRPr="00275FBD">
              <w:rPr>
                <w:lang w:val="sl-SI" w:eastAsia="en-GB"/>
              </w:rPr>
              <w:t>Feature</w:t>
            </w:r>
            <w:proofErr w:type="spellEnd"/>
            <w:r w:rsidR="00C727FA" w:rsidRPr="00275FBD">
              <w:rPr>
                <w:lang w:val="sl-SI" w:eastAsia="en-GB"/>
              </w:rPr>
              <w:t xml:space="preserve"> (Obratovalna varnostna značilnost)</w:t>
            </w:r>
          </w:p>
        </w:tc>
      </w:tr>
      <w:tr w:rsidR="00E13213" w:rsidRPr="009B3344" w14:paraId="23F09788" w14:textId="77777777" w:rsidTr="00860B26">
        <w:trPr>
          <w:cantSplit/>
          <w:trHeight w:val="200"/>
        </w:trPr>
        <w:tc>
          <w:tcPr>
            <w:tcW w:w="1985" w:type="dxa"/>
          </w:tcPr>
          <w:p w14:paraId="48954611" w14:textId="39E880CB" w:rsidR="002B579A" w:rsidRPr="00275FBD" w:rsidRDefault="002B579A" w:rsidP="00E0176C">
            <w:pPr>
              <w:spacing w:before="40" w:after="40"/>
              <w:rPr>
                <w:szCs w:val="20"/>
                <w:lang w:val="sl-SI"/>
              </w:rPr>
            </w:pPr>
            <w:r w:rsidRPr="00275FBD">
              <w:rPr>
                <w:szCs w:val="20"/>
                <w:lang w:val="sl-SI"/>
              </w:rPr>
              <w:t>PAR</w:t>
            </w:r>
          </w:p>
        </w:tc>
        <w:tc>
          <w:tcPr>
            <w:tcW w:w="7229" w:type="dxa"/>
          </w:tcPr>
          <w:p w14:paraId="21ADCF26" w14:textId="798AA848" w:rsidR="002B579A" w:rsidRPr="00275FBD" w:rsidRDefault="002B579A" w:rsidP="00E0176C">
            <w:pPr>
              <w:spacing w:before="40" w:after="40"/>
              <w:rPr>
                <w:lang w:val="sl-SI" w:eastAsia="en-GB"/>
              </w:rPr>
            </w:pPr>
            <w:r w:rsidRPr="00275FBD">
              <w:rPr>
                <w:lang w:val="sl-SI" w:eastAsia="en-GB"/>
              </w:rPr>
              <w:t xml:space="preserve">Passive </w:t>
            </w:r>
            <w:proofErr w:type="spellStart"/>
            <w:r w:rsidRPr="00275FBD">
              <w:rPr>
                <w:lang w:val="sl-SI" w:eastAsia="en-GB"/>
              </w:rPr>
              <w:t>Auto-catalytic</w:t>
            </w:r>
            <w:proofErr w:type="spellEnd"/>
            <w:r w:rsidRPr="00275FBD">
              <w:rPr>
                <w:lang w:val="sl-SI" w:eastAsia="en-GB"/>
              </w:rPr>
              <w:t xml:space="preserve"> </w:t>
            </w:r>
            <w:proofErr w:type="spellStart"/>
            <w:r w:rsidRPr="00275FBD">
              <w:rPr>
                <w:lang w:val="sl-SI" w:eastAsia="en-GB"/>
              </w:rPr>
              <w:t>Recombiner</w:t>
            </w:r>
            <w:proofErr w:type="spellEnd"/>
            <w:r w:rsidR="00E13213" w:rsidRPr="00275FBD">
              <w:rPr>
                <w:lang w:val="sl-SI" w:eastAsia="en-GB"/>
              </w:rPr>
              <w:t xml:space="preserve"> (</w:t>
            </w:r>
            <w:r w:rsidR="00E13213" w:rsidRPr="00275FBD">
              <w:rPr>
                <w:lang w:val="sl-SI"/>
              </w:rPr>
              <w:t xml:space="preserve">Pasivni </w:t>
            </w:r>
            <w:proofErr w:type="spellStart"/>
            <w:r w:rsidR="00076E21" w:rsidRPr="00076E21">
              <w:rPr>
                <w:lang w:val="sl-SI"/>
              </w:rPr>
              <w:t>avtokatalitični</w:t>
            </w:r>
            <w:proofErr w:type="spellEnd"/>
            <w:r w:rsidR="00076E21" w:rsidRPr="00076E21">
              <w:rPr>
                <w:lang w:val="sl-SI"/>
              </w:rPr>
              <w:t xml:space="preserve"> sistem za vezavo vodika</w:t>
            </w:r>
            <w:r w:rsidR="00E13213" w:rsidRPr="00275FBD">
              <w:rPr>
                <w:lang w:val="sl-SI"/>
              </w:rPr>
              <w:t>)</w:t>
            </w:r>
          </w:p>
        </w:tc>
      </w:tr>
      <w:tr w:rsidR="00E13213" w:rsidRPr="00716249" w14:paraId="50294E17" w14:textId="77777777" w:rsidTr="00860B26">
        <w:trPr>
          <w:cantSplit/>
          <w:trHeight w:val="200"/>
        </w:trPr>
        <w:tc>
          <w:tcPr>
            <w:tcW w:w="1985" w:type="dxa"/>
          </w:tcPr>
          <w:p w14:paraId="758A46EF" w14:textId="1F9CE145" w:rsidR="00036D19" w:rsidRPr="00275FBD" w:rsidRDefault="00036D19" w:rsidP="00E0176C">
            <w:pPr>
              <w:spacing w:before="40" w:after="40"/>
              <w:rPr>
                <w:szCs w:val="20"/>
                <w:lang w:val="sl-SI"/>
              </w:rPr>
            </w:pPr>
            <w:r w:rsidRPr="00275FBD">
              <w:rPr>
                <w:szCs w:val="20"/>
                <w:lang w:val="sl-SI"/>
              </w:rPr>
              <w:t>PCFV</w:t>
            </w:r>
          </w:p>
        </w:tc>
        <w:tc>
          <w:tcPr>
            <w:tcW w:w="7229" w:type="dxa"/>
          </w:tcPr>
          <w:p w14:paraId="54D02507" w14:textId="306F6AD7" w:rsidR="00036D19" w:rsidRPr="00275FBD" w:rsidRDefault="00036D19" w:rsidP="00E0176C">
            <w:pPr>
              <w:spacing w:before="40" w:after="40"/>
              <w:rPr>
                <w:lang w:val="sl-SI" w:eastAsia="en-GB"/>
              </w:rPr>
            </w:pPr>
            <w:r w:rsidRPr="00275FBD">
              <w:rPr>
                <w:lang w:val="sl-SI" w:eastAsia="en-GB"/>
              </w:rPr>
              <w:t xml:space="preserve">Passive </w:t>
            </w:r>
            <w:proofErr w:type="spellStart"/>
            <w:r w:rsidRPr="00275FBD">
              <w:rPr>
                <w:lang w:val="sl-SI" w:eastAsia="en-GB"/>
              </w:rPr>
              <w:t>Containment</w:t>
            </w:r>
            <w:proofErr w:type="spellEnd"/>
            <w:r w:rsidRPr="00275FBD">
              <w:rPr>
                <w:lang w:val="sl-SI" w:eastAsia="en-GB"/>
              </w:rPr>
              <w:t xml:space="preserve"> </w:t>
            </w:r>
            <w:proofErr w:type="spellStart"/>
            <w:r w:rsidRPr="00275FBD">
              <w:rPr>
                <w:lang w:val="sl-SI" w:eastAsia="en-GB"/>
              </w:rPr>
              <w:t>Filtered</w:t>
            </w:r>
            <w:proofErr w:type="spellEnd"/>
            <w:r w:rsidRPr="00275FBD">
              <w:rPr>
                <w:lang w:val="sl-SI" w:eastAsia="en-GB"/>
              </w:rPr>
              <w:t xml:space="preserve"> </w:t>
            </w:r>
            <w:proofErr w:type="spellStart"/>
            <w:r w:rsidRPr="00275FBD">
              <w:rPr>
                <w:lang w:val="sl-SI" w:eastAsia="en-GB"/>
              </w:rPr>
              <w:t>Vent</w:t>
            </w:r>
            <w:proofErr w:type="spellEnd"/>
            <w:r w:rsidR="00E13213" w:rsidRPr="00275FBD">
              <w:rPr>
                <w:lang w:val="sl-SI" w:eastAsia="en-GB"/>
              </w:rPr>
              <w:t xml:space="preserve"> (</w:t>
            </w:r>
            <w:r w:rsidR="00750413" w:rsidRPr="00750413">
              <w:rPr>
                <w:lang w:val="sl-SI" w:eastAsia="en-GB"/>
              </w:rPr>
              <w:t xml:space="preserve">Pasivni filtrski ventilacijski sistem </w:t>
            </w:r>
            <w:r w:rsidR="00E13213" w:rsidRPr="00275FBD">
              <w:rPr>
                <w:lang w:val="sl-SI" w:eastAsia="en-GB"/>
              </w:rPr>
              <w:t>zadrževalnega hrama)</w:t>
            </w:r>
          </w:p>
        </w:tc>
      </w:tr>
      <w:tr w:rsidR="00915CCE" w:rsidRPr="00275FBD" w14:paraId="7208BA32" w14:textId="77777777" w:rsidTr="00860B26">
        <w:trPr>
          <w:cantSplit/>
          <w:trHeight w:val="200"/>
        </w:trPr>
        <w:tc>
          <w:tcPr>
            <w:tcW w:w="1985" w:type="dxa"/>
          </w:tcPr>
          <w:p w14:paraId="78FD9414" w14:textId="2A50ADB8" w:rsidR="00AC770B" w:rsidRPr="00275FBD" w:rsidRDefault="0061337B" w:rsidP="00E0176C">
            <w:pPr>
              <w:spacing w:before="40" w:after="40"/>
              <w:rPr>
                <w:szCs w:val="20"/>
                <w:lang w:val="sl-SI"/>
              </w:rPr>
            </w:pPr>
            <w:r w:rsidRPr="00275FBD">
              <w:rPr>
                <w:szCs w:val="20"/>
                <w:lang w:val="sl-SI"/>
              </w:rPr>
              <w:t>PIER</w:t>
            </w:r>
          </w:p>
        </w:tc>
        <w:tc>
          <w:tcPr>
            <w:tcW w:w="7229" w:type="dxa"/>
          </w:tcPr>
          <w:p w14:paraId="3326C963" w14:textId="5979108A" w:rsidR="00AC770B" w:rsidRPr="00275FBD" w:rsidRDefault="0061337B" w:rsidP="00E0176C">
            <w:pPr>
              <w:spacing w:before="40" w:after="40"/>
              <w:rPr>
                <w:szCs w:val="20"/>
                <w:lang w:val="sl-SI"/>
              </w:rPr>
            </w:pPr>
            <w:proofErr w:type="spellStart"/>
            <w:r w:rsidRPr="00275FBD">
              <w:rPr>
                <w:szCs w:val="20"/>
                <w:lang w:val="sl-SI"/>
              </w:rPr>
              <w:t>Preliminary</w:t>
            </w:r>
            <w:proofErr w:type="spellEnd"/>
            <w:r w:rsidRPr="00275FBD">
              <w:rPr>
                <w:szCs w:val="20"/>
                <w:lang w:val="sl-SI"/>
              </w:rPr>
              <w:t xml:space="preserve"> </w:t>
            </w:r>
            <w:proofErr w:type="spellStart"/>
            <w:r w:rsidRPr="00275FBD">
              <w:rPr>
                <w:szCs w:val="20"/>
                <w:lang w:val="sl-SI"/>
              </w:rPr>
              <w:t>Independent</w:t>
            </w:r>
            <w:proofErr w:type="spellEnd"/>
            <w:r w:rsidRPr="00275FBD">
              <w:rPr>
                <w:szCs w:val="20"/>
                <w:lang w:val="sl-SI"/>
              </w:rPr>
              <w:t xml:space="preserve"> Evaluation Report</w:t>
            </w:r>
            <w:r w:rsidR="00915CCE" w:rsidRPr="00275FBD">
              <w:rPr>
                <w:szCs w:val="20"/>
                <w:lang w:val="sl-SI"/>
              </w:rPr>
              <w:t xml:space="preserve"> (</w:t>
            </w:r>
            <w:r w:rsidR="00455B15">
              <w:rPr>
                <w:szCs w:val="20"/>
                <w:lang w:val="sl-SI"/>
              </w:rPr>
              <w:t>P</w:t>
            </w:r>
            <w:r w:rsidR="00915CCE" w:rsidRPr="00275FBD">
              <w:rPr>
                <w:szCs w:val="20"/>
                <w:lang w:val="sl-SI"/>
              </w:rPr>
              <w:t>reliminarn</w:t>
            </w:r>
            <w:r w:rsidR="00455B15">
              <w:rPr>
                <w:szCs w:val="20"/>
                <w:lang w:val="sl-SI"/>
              </w:rPr>
              <w:t>a</w:t>
            </w:r>
            <w:r w:rsidR="00915CCE" w:rsidRPr="00275FBD">
              <w:rPr>
                <w:szCs w:val="20"/>
                <w:lang w:val="sl-SI"/>
              </w:rPr>
              <w:t xml:space="preserve"> </w:t>
            </w:r>
            <w:r w:rsidR="00455B15">
              <w:rPr>
                <w:szCs w:val="20"/>
                <w:lang w:val="sl-SI"/>
              </w:rPr>
              <w:t>strokovna ocena</w:t>
            </w:r>
            <w:r w:rsidR="00915CCE" w:rsidRPr="00275FBD">
              <w:rPr>
                <w:szCs w:val="20"/>
                <w:lang w:val="sl-SI"/>
              </w:rPr>
              <w:t>)</w:t>
            </w:r>
          </w:p>
        </w:tc>
      </w:tr>
      <w:tr w:rsidR="00650BDC" w:rsidRPr="00275FBD" w14:paraId="45B670EA" w14:textId="77777777" w:rsidTr="00860B26">
        <w:trPr>
          <w:cantSplit/>
          <w:trHeight w:val="200"/>
        </w:trPr>
        <w:tc>
          <w:tcPr>
            <w:tcW w:w="1985" w:type="dxa"/>
          </w:tcPr>
          <w:p w14:paraId="029730DE" w14:textId="1E1AD892" w:rsidR="00E0176C" w:rsidRPr="00275FBD" w:rsidRDefault="00E0176C" w:rsidP="00E0176C">
            <w:pPr>
              <w:spacing w:before="40" w:after="40"/>
              <w:rPr>
                <w:szCs w:val="20"/>
                <w:lang w:val="sl-SI"/>
              </w:rPr>
            </w:pPr>
            <w:r w:rsidRPr="00275FBD">
              <w:rPr>
                <w:szCs w:val="20"/>
                <w:lang w:val="sl-SI"/>
              </w:rPr>
              <w:t>PMM</w:t>
            </w:r>
          </w:p>
        </w:tc>
        <w:tc>
          <w:tcPr>
            <w:tcW w:w="7229" w:type="dxa"/>
          </w:tcPr>
          <w:p w14:paraId="7D3A6EB8" w14:textId="552D281B" w:rsidR="00E0176C" w:rsidRPr="00275FBD" w:rsidRDefault="00E0176C" w:rsidP="00E0176C">
            <w:pPr>
              <w:spacing w:before="40" w:after="40"/>
              <w:rPr>
                <w:szCs w:val="20"/>
                <w:lang w:val="sl-SI"/>
              </w:rPr>
            </w:pPr>
            <w:r w:rsidRPr="00275FBD">
              <w:rPr>
                <w:szCs w:val="20"/>
                <w:lang w:val="sl-SI"/>
              </w:rPr>
              <w:t>Project Management Manual (</w:t>
            </w:r>
            <w:r w:rsidRPr="00275FBD">
              <w:rPr>
                <w:lang w:val="sl-SI"/>
              </w:rPr>
              <w:t>Priročnik za vodenje projekta</w:t>
            </w:r>
            <w:r w:rsidRPr="00275FBD">
              <w:rPr>
                <w:szCs w:val="20"/>
                <w:lang w:val="sl-SI"/>
              </w:rPr>
              <w:t>)</w:t>
            </w:r>
          </w:p>
        </w:tc>
      </w:tr>
      <w:tr w:rsidR="004B359C" w:rsidRPr="00275FBD" w14:paraId="4B670DA5" w14:textId="77777777" w:rsidTr="00860B26">
        <w:trPr>
          <w:cantSplit/>
          <w:trHeight w:val="200"/>
        </w:trPr>
        <w:tc>
          <w:tcPr>
            <w:tcW w:w="1985" w:type="dxa"/>
          </w:tcPr>
          <w:p w14:paraId="543CB235" w14:textId="77777777" w:rsidR="004917FD" w:rsidRPr="00275FBD" w:rsidRDefault="004917FD" w:rsidP="00E0176C">
            <w:pPr>
              <w:spacing w:before="40" w:after="40"/>
              <w:rPr>
                <w:szCs w:val="20"/>
                <w:lang w:val="sl-SI"/>
              </w:rPr>
            </w:pPr>
            <w:r w:rsidRPr="00275FBD">
              <w:rPr>
                <w:szCs w:val="20"/>
                <w:lang w:val="sl-SI"/>
              </w:rPr>
              <w:t>PSR</w:t>
            </w:r>
          </w:p>
        </w:tc>
        <w:tc>
          <w:tcPr>
            <w:tcW w:w="7229" w:type="dxa"/>
          </w:tcPr>
          <w:p w14:paraId="378D8654" w14:textId="1777A8E6" w:rsidR="004917FD" w:rsidRPr="00275FBD" w:rsidRDefault="004917FD" w:rsidP="00E0176C">
            <w:pPr>
              <w:spacing w:before="40" w:after="40"/>
              <w:rPr>
                <w:szCs w:val="20"/>
                <w:lang w:val="sl-SI"/>
              </w:rPr>
            </w:pPr>
            <w:proofErr w:type="spellStart"/>
            <w:r w:rsidRPr="00275FBD">
              <w:rPr>
                <w:szCs w:val="20"/>
                <w:lang w:val="sl-SI"/>
              </w:rPr>
              <w:t>Periodic</w:t>
            </w:r>
            <w:proofErr w:type="spellEnd"/>
            <w:r w:rsidRPr="00275FBD">
              <w:rPr>
                <w:szCs w:val="20"/>
                <w:lang w:val="sl-SI"/>
              </w:rPr>
              <w:t xml:space="preserve"> Safety Review</w:t>
            </w:r>
            <w:r w:rsidR="004B359C" w:rsidRPr="00275FBD">
              <w:rPr>
                <w:szCs w:val="20"/>
                <w:lang w:val="sl-SI"/>
              </w:rPr>
              <w:t xml:space="preserve"> (Občasni varnostni pregled)</w:t>
            </w:r>
          </w:p>
        </w:tc>
      </w:tr>
      <w:tr w:rsidR="00B83475" w:rsidRPr="009B3344" w14:paraId="486F0E29" w14:textId="77777777" w:rsidTr="00860B26">
        <w:trPr>
          <w:cantSplit/>
          <w:trHeight w:val="200"/>
        </w:trPr>
        <w:tc>
          <w:tcPr>
            <w:tcW w:w="1985" w:type="dxa"/>
          </w:tcPr>
          <w:p w14:paraId="4B835792" w14:textId="77777777" w:rsidR="009728FC" w:rsidRPr="00275FBD" w:rsidRDefault="009728FC" w:rsidP="00E0176C">
            <w:pPr>
              <w:spacing w:before="40" w:after="40"/>
              <w:rPr>
                <w:szCs w:val="20"/>
                <w:lang w:val="sl-SI"/>
              </w:rPr>
            </w:pPr>
            <w:r w:rsidRPr="00275FBD">
              <w:rPr>
                <w:szCs w:val="20"/>
                <w:lang w:val="sl-SI"/>
              </w:rPr>
              <w:t>PSA</w:t>
            </w:r>
          </w:p>
        </w:tc>
        <w:tc>
          <w:tcPr>
            <w:tcW w:w="7229" w:type="dxa"/>
          </w:tcPr>
          <w:p w14:paraId="08C353B5" w14:textId="0D735F25" w:rsidR="009728FC" w:rsidRPr="00275FBD" w:rsidRDefault="009728FC" w:rsidP="00E0176C">
            <w:pPr>
              <w:spacing w:before="40" w:after="40"/>
              <w:rPr>
                <w:szCs w:val="20"/>
                <w:lang w:val="sl-SI"/>
              </w:rPr>
            </w:pPr>
            <w:r w:rsidRPr="00275FBD">
              <w:rPr>
                <w:szCs w:val="20"/>
                <w:lang w:val="sl-SI"/>
              </w:rPr>
              <w:t>Probabilistic Safety Analysis</w:t>
            </w:r>
            <w:r w:rsidR="00B83475" w:rsidRPr="00275FBD">
              <w:rPr>
                <w:szCs w:val="20"/>
                <w:lang w:val="sl-SI"/>
              </w:rPr>
              <w:t xml:space="preserve"> (Verjetnostna varnostna analiza)</w:t>
            </w:r>
          </w:p>
        </w:tc>
      </w:tr>
      <w:tr w:rsidR="00D505FF" w:rsidRPr="00275FBD" w14:paraId="24A8C8FC" w14:textId="77777777" w:rsidTr="00860B26">
        <w:trPr>
          <w:cantSplit/>
          <w:trHeight w:val="200"/>
        </w:trPr>
        <w:tc>
          <w:tcPr>
            <w:tcW w:w="1985" w:type="dxa"/>
          </w:tcPr>
          <w:p w14:paraId="1775E8EA" w14:textId="618C719B" w:rsidR="00036D19" w:rsidRPr="00275FBD" w:rsidRDefault="00036D19" w:rsidP="00E0176C">
            <w:pPr>
              <w:spacing w:before="40" w:after="40"/>
              <w:rPr>
                <w:szCs w:val="20"/>
                <w:lang w:val="sl-SI"/>
              </w:rPr>
            </w:pPr>
            <w:r w:rsidRPr="00275FBD">
              <w:rPr>
                <w:szCs w:val="20"/>
                <w:lang w:val="sl-SI"/>
              </w:rPr>
              <w:t>PSHA</w:t>
            </w:r>
          </w:p>
        </w:tc>
        <w:tc>
          <w:tcPr>
            <w:tcW w:w="7229" w:type="dxa"/>
          </w:tcPr>
          <w:p w14:paraId="21751B65" w14:textId="5DE8D7C9" w:rsidR="00036D19" w:rsidRPr="00275FBD" w:rsidRDefault="00036D19" w:rsidP="00E0176C">
            <w:pPr>
              <w:spacing w:before="40" w:after="40"/>
              <w:rPr>
                <w:szCs w:val="20"/>
                <w:lang w:val="sl-SI"/>
              </w:rPr>
            </w:pPr>
            <w:r w:rsidRPr="00275FBD">
              <w:rPr>
                <w:szCs w:val="20"/>
                <w:lang w:val="sl-SI"/>
              </w:rPr>
              <w:t>Probabilistic Seismic Hazard Analysis</w:t>
            </w:r>
            <w:r w:rsidR="00D505FF" w:rsidRPr="00275FBD">
              <w:rPr>
                <w:szCs w:val="20"/>
                <w:lang w:val="sl-SI"/>
              </w:rPr>
              <w:t xml:space="preserve"> (</w:t>
            </w:r>
            <w:r w:rsidR="00D505FF" w:rsidRPr="00275FBD">
              <w:rPr>
                <w:rFonts w:cs="TimesNewRomanPSMT"/>
                <w:szCs w:val="20"/>
                <w:lang w:val="sl-SI" w:eastAsia="en-GB"/>
              </w:rPr>
              <w:t>Verjetnostna analiza potresne nevarnosti)</w:t>
            </w:r>
          </w:p>
        </w:tc>
      </w:tr>
      <w:tr w:rsidR="007D6A89" w:rsidRPr="009B3344" w14:paraId="41A935D8" w14:textId="77777777" w:rsidTr="00860B26">
        <w:trPr>
          <w:cantSplit/>
          <w:trHeight w:val="200"/>
        </w:trPr>
        <w:tc>
          <w:tcPr>
            <w:tcW w:w="1985" w:type="dxa"/>
          </w:tcPr>
          <w:p w14:paraId="61F891BF" w14:textId="77777777" w:rsidR="006F5909" w:rsidRPr="00275FBD" w:rsidRDefault="006F5909" w:rsidP="00E0176C">
            <w:pPr>
              <w:spacing w:before="40" w:after="40"/>
              <w:rPr>
                <w:szCs w:val="20"/>
                <w:lang w:val="sl-SI"/>
              </w:rPr>
            </w:pPr>
            <w:r w:rsidRPr="00275FBD">
              <w:rPr>
                <w:szCs w:val="20"/>
                <w:lang w:val="sl-SI"/>
              </w:rPr>
              <w:t>RCP</w:t>
            </w:r>
          </w:p>
        </w:tc>
        <w:tc>
          <w:tcPr>
            <w:tcW w:w="7229" w:type="dxa"/>
          </w:tcPr>
          <w:p w14:paraId="17FC35D0" w14:textId="5C587196" w:rsidR="006F5909" w:rsidRPr="00275FBD" w:rsidRDefault="002F5F4C" w:rsidP="00E0176C">
            <w:pPr>
              <w:spacing w:before="40" w:after="40"/>
              <w:rPr>
                <w:szCs w:val="20"/>
                <w:lang w:val="sl-SI"/>
              </w:rPr>
            </w:pPr>
            <w:r w:rsidRPr="00275FBD">
              <w:rPr>
                <w:lang w:val="sl-SI"/>
              </w:rPr>
              <w:t xml:space="preserve">(1) </w:t>
            </w:r>
            <w:r w:rsidR="00322E7E" w:rsidRPr="00275FBD">
              <w:rPr>
                <w:lang w:val="sl-SI"/>
              </w:rPr>
              <w:t xml:space="preserve">Regulatory </w:t>
            </w:r>
            <w:proofErr w:type="spellStart"/>
            <w:r w:rsidR="00322E7E" w:rsidRPr="00275FBD">
              <w:rPr>
                <w:lang w:val="sl-SI"/>
              </w:rPr>
              <w:t>Conformance</w:t>
            </w:r>
            <w:proofErr w:type="spellEnd"/>
            <w:r w:rsidR="00322E7E" w:rsidRPr="00275FBD">
              <w:rPr>
                <w:lang w:val="sl-SI"/>
              </w:rPr>
              <w:t xml:space="preserve"> Program</w:t>
            </w:r>
            <w:r w:rsidR="007D6A89" w:rsidRPr="00275FBD">
              <w:rPr>
                <w:lang w:val="sl-SI"/>
              </w:rPr>
              <w:t xml:space="preserve"> (Program </w:t>
            </w:r>
            <w:r w:rsidR="00076E21">
              <w:rPr>
                <w:lang w:val="sl-SI"/>
              </w:rPr>
              <w:t>skladnosti</w:t>
            </w:r>
            <w:r w:rsidR="00076E21" w:rsidRPr="00275FBD">
              <w:rPr>
                <w:lang w:val="sl-SI"/>
              </w:rPr>
              <w:t xml:space="preserve"> </w:t>
            </w:r>
            <w:r w:rsidR="007D6A89" w:rsidRPr="00275FBD">
              <w:rPr>
                <w:lang w:val="sl-SI"/>
              </w:rPr>
              <w:t>z regulativnimi predpisi)</w:t>
            </w:r>
            <w:r w:rsidRPr="00275FBD">
              <w:rPr>
                <w:lang w:val="sl-SI"/>
              </w:rPr>
              <w:t xml:space="preserve">; (2) Reactor </w:t>
            </w:r>
            <w:proofErr w:type="spellStart"/>
            <w:r w:rsidRPr="00275FBD">
              <w:rPr>
                <w:lang w:val="sl-SI"/>
              </w:rPr>
              <w:t>Coolant</w:t>
            </w:r>
            <w:proofErr w:type="spellEnd"/>
            <w:r w:rsidRPr="00275FBD">
              <w:rPr>
                <w:lang w:val="sl-SI"/>
              </w:rPr>
              <w:t xml:space="preserve"> Pump</w:t>
            </w:r>
            <w:r w:rsidR="007D6A89" w:rsidRPr="00275FBD">
              <w:rPr>
                <w:lang w:val="sl-SI"/>
              </w:rPr>
              <w:t xml:space="preserve"> (Reaktorska črpalka)</w:t>
            </w:r>
          </w:p>
        </w:tc>
      </w:tr>
      <w:tr w:rsidR="006C5D3C" w:rsidRPr="009B3344" w14:paraId="52B03506" w14:textId="77777777" w:rsidTr="00860B26">
        <w:trPr>
          <w:cantSplit/>
          <w:trHeight w:val="200"/>
        </w:trPr>
        <w:tc>
          <w:tcPr>
            <w:tcW w:w="1985" w:type="dxa"/>
          </w:tcPr>
          <w:p w14:paraId="6A06C50B" w14:textId="77777777" w:rsidR="00E02454" w:rsidRPr="00275FBD" w:rsidRDefault="00E02454" w:rsidP="00E0176C">
            <w:pPr>
              <w:spacing w:before="40" w:after="40"/>
              <w:rPr>
                <w:szCs w:val="20"/>
                <w:lang w:val="sl-SI"/>
              </w:rPr>
            </w:pPr>
            <w:r w:rsidRPr="00275FBD">
              <w:rPr>
                <w:szCs w:val="20"/>
                <w:lang w:val="sl-SI"/>
              </w:rPr>
              <w:t>RE</w:t>
            </w:r>
          </w:p>
        </w:tc>
        <w:tc>
          <w:tcPr>
            <w:tcW w:w="7229" w:type="dxa"/>
          </w:tcPr>
          <w:p w14:paraId="20C22272" w14:textId="091EECCF" w:rsidR="00E02454" w:rsidRPr="00275FBD" w:rsidRDefault="00E02454" w:rsidP="00E0176C">
            <w:pPr>
              <w:spacing w:before="40" w:after="40"/>
              <w:rPr>
                <w:lang w:val="sl-SI"/>
              </w:rPr>
            </w:pPr>
            <w:r w:rsidRPr="00275FBD">
              <w:rPr>
                <w:lang w:val="sl-SI" w:eastAsia="en-GB"/>
              </w:rPr>
              <w:t>Re-</w:t>
            </w:r>
            <w:proofErr w:type="spellStart"/>
            <w:r w:rsidRPr="00275FBD">
              <w:rPr>
                <w:lang w:val="sl-SI" w:eastAsia="en-GB"/>
              </w:rPr>
              <w:t>evaluation</w:t>
            </w:r>
            <w:proofErr w:type="spellEnd"/>
            <w:r w:rsidRPr="00275FBD">
              <w:rPr>
                <w:lang w:val="sl-SI" w:eastAsia="en-GB"/>
              </w:rPr>
              <w:t xml:space="preserve"> of </w:t>
            </w:r>
            <w:proofErr w:type="spellStart"/>
            <w:r w:rsidRPr="00275FBD">
              <w:rPr>
                <w:lang w:val="sl-SI" w:eastAsia="en-GB"/>
              </w:rPr>
              <w:t>nuclear</w:t>
            </w:r>
            <w:proofErr w:type="spellEnd"/>
            <w:r w:rsidRPr="00275FBD">
              <w:rPr>
                <w:lang w:val="sl-SI" w:eastAsia="en-GB"/>
              </w:rPr>
              <w:t xml:space="preserve"> </w:t>
            </w:r>
            <w:proofErr w:type="spellStart"/>
            <w:r w:rsidRPr="00275FBD">
              <w:rPr>
                <w:lang w:val="sl-SI" w:eastAsia="en-GB"/>
              </w:rPr>
              <w:t>safety</w:t>
            </w:r>
            <w:proofErr w:type="spellEnd"/>
            <w:r w:rsidRPr="00275FBD">
              <w:rPr>
                <w:lang w:val="sl-SI" w:eastAsia="en-GB"/>
              </w:rPr>
              <w:t xml:space="preserve"> </w:t>
            </w:r>
            <w:proofErr w:type="spellStart"/>
            <w:r w:rsidRPr="00275FBD">
              <w:rPr>
                <w:lang w:val="sl-SI" w:eastAsia="en-GB"/>
              </w:rPr>
              <w:t>basis</w:t>
            </w:r>
            <w:proofErr w:type="spellEnd"/>
            <w:r w:rsidRPr="00275FBD">
              <w:rPr>
                <w:lang w:val="sl-SI"/>
              </w:rPr>
              <w:t xml:space="preserve"> (PSR </w:t>
            </w:r>
            <w:proofErr w:type="spellStart"/>
            <w:r w:rsidRPr="00275FBD">
              <w:rPr>
                <w:lang w:val="sl-SI"/>
              </w:rPr>
              <w:t>issue</w:t>
            </w:r>
            <w:proofErr w:type="spellEnd"/>
            <w:r w:rsidRPr="00275FBD">
              <w:rPr>
                <w:lang w:val="sl-SI"/>
              </w:rPr>
              <w:t xml:space="preserve"> </w:t>
            </w:r>
            <w:proofErr w:type="spellStart"/>
            <w:r w:rsidRPr="00275FBD">
              <w:rPr>
                <w:lang w:val="sl-SI"/>
              </w:rPr>
              <w:t>category</w:t>
            </w:r>
            <w:proofErr w:type="spellEnd"/>
            <w:r w:rsidRPr="00275FBD">
              <w:rPr>
                <w:lang w:val="sl-SI"/>
              </w:rPr>
              <w:t>)</w:t>
            </w:r>
            <w:r w:rsidR="006C5D3C" w:rsidRPr="00275FBD">
              <w:rPr>
                <w:lang w:val="sl-SI"/>
              </w:rPr>
              <w:t xml:space="preserve"> (Ponovna ocena osnove za jedrsko varnost (kategorija </w:t>
            </w:r>
            <w:r w:rsidR="00BD5705" w:rsidRPr="00275FBD">
              <w:rPr>
                <w:lang w:val="sl-SI"/>
              </w:rPr>
              <w:t xml:space="preserve">najdb </w:t>
            </w:r>
            <w:r w:rsidR="009006BE" w:rsidRPr="00275FBD">
              <w:rPr>
                <w:lang w:val="sl-SI"/>
              </w:rPr>
              <w:t>pri</w:t>
            </w:r>
            <w:r w:rsidR="006C5D3C" w:rsidRPr="00275FBD">
              <w:rPr>
                <w:lang w:val="sl-SI"/>
              </w:rPr>
              <w:t xml:space="preserve"> PSR)</w:t>
            </w:r>
            <w:r w:rsidR="00F62E7C" w:rsidRPr="00275FBD">
              <w:rPr>
                <w:lang w:val="sl-SI"/>
              </w:rPr>
              <w:t>)</w:t>
            </w:r>
          </w:p>
        </w:tc>
      </w:tr>
      <w:tr w:rsidR="00814729" w:rsidRPr="00275FBD" w14:paraId="42F229C1" w14:textId="77777777" w:rsidTr="00860B26">
        <w:trPr>
          <w:cantSplit/>
          <w:trHeight w:val="200"/>
        </w:trPr>
        <w:tc>
          <w:tcPr>
            <w:tcW w:w="1985" w:type="dxa"/>
          </w:tcPr>
          <w:p w14:paraId="625B4BAB" w14:textId="06F7F437" w:rsidR="00183777" w:rsidRPr="00275FBD" w:rsidRDefault="00183777" w:rsidP="00E0176C">
            <w:pPr>
              <w:spacing w:before="40" w:after="40"/>
              <w:rPr>
                <w:szCs w:val="20"/>
                <w:lang w:val="sl-SI"/>
              </w:rPr>
            </w:pPr>
            <w:r w:rsidRPr="00275FBD">
              <w:rPr>
                <w:szCs w:val="20"/>
                <w:lang w:val="sl-SI"/>
              </w:rPr>
              <w:t>R</w:t>
            </w:r>
            <w:r w:rsidR="00E02454" w:rsidRPr="00275FBD">
              <w:rPr>
                <w:szCs w:val="20"/>
                <w:lang w:val="sl-SI"/>
              </w:rPr>
              <w:t>HR</w:t>
            </w:r>
          </w:p>
        </w:tc>
        <w:tc>
          <w:tcPr>
            <w:tcW w:w="7229" w:type="dxa"/>
          </w:tcPr>
          <w:p w14:paraId="6372B763" w14:textId="588A2865" w:rsidR="00183777" w:rsidRPr="00275FBD" w:rsidRDefault="00E02454" w:rsidP="00E0176C">
            <w:pPr>
              <w:spacing w:before="40" w:after="40"/>
              <w:rPr>
                <w:lang w:val="sl-SI"/>
              </w:rPr>
            </w:pPr>
            <w:r w:rsidRPr="00275FBD">
              <w:rPr>
                <w:lang w:val="sl-SI"/>
              </w:rPr>
              <w:t xml:space="preserve">Residual </w:t>
            </w:r>
            <w:proofErr w:type="spellStart"/>
            <w:r w:rsidRPr="00275FBD">
              <w:rPr>
                <w:lang w:val="sl-SI"/>
              </w:rPr>
              <w:t>Heat</w:t>
            </w:r>
            <w:proofErr w:type="spellEnd"/>
            <w:r w:rsidRPr="00275FBD">
              <w:rPr>
                <w:lang w:val="sl-SI"/>
              </w:rPr>
              <w:t xml:space="preserve"> </w:t>
            </w:r>
            <w:proofErr w:type="spellStart"/>
            <w:r w:rsidRPr="00275FBD">
              <w:rPr>
                <w:lang w:val="sl-SI"/>
              </w:rPr>
              <w:t>Removal</w:t>
            </w:r>
            <w:proofErr w:type="spellEnd"/>
            <w:r w:rsidR="00814729" w:rsidRPr="00275FBD">
              <w:rPr>
                <w:lang w:val="sl-SI"/>
              </w:rPr>
              <w:t xml:space="preserve"> (Odvajanje </w:t>
            </w:r>
            <w:r w:rsidR="00615CCD">
              <w:rPr>
                <w:lang w:val="sl-SI"/>
              </w:rPr>
              <w:t>za</w:t>
            </w:r>
            <w:r w:rsidR="00615CCD" w:rsidRPr="00275FBD">
              <w:rPr>
                <w:lang w:val="sl-SI"/>
              </w:rPr>
              <w:t xml:space="preserve">ostale </w:t>
            </w:r>
            <w:r w:rsidR="00814729" w:rsidRPr="00275FBD">
              <w:rPr>
                <w:lang w:val="sl-SI"/>
              </w:rPr>
              <w:t>toplote)</w:t>
            </w:r>
          </w:p>
        </w:tc>
      </w:tr>
      <w:tr w:rsidR="00D331B7" w:rsidRPr="00275FBD" w14:paraId="3E6F6E90" w14:textId="77777777" w:rsidTr="00860B26">
        <w:trPr>
          <w:cantSplit/>
          <w:trHeight w:val="200"/>
        </w:trPr>
        <w:tc>
          <w:tcPr>
            <w:tcW w:w="1985" w:type="dxa"/>
          </w:tcPr>
          <w:p w14:paraId="2D836151" w14:textId="0D7A70CE" w:rsidR="00183777" w:rsidRPr="00275FBD" w:rsidRDefault="00183777" w:rsidP="00E0176C">
            <w:pPr>
              <w:spacing w:before="40" w:after="40"/>
              <w:rPr>
                <w:szCs w:val="20"/>
                <w:lang w:val="sl-SI"/>
              </w:rPr>
            </w:pPr>
            <w:r w:rsidRPr="00275FBD">
              <w:rPr>
                <w:szCs w:val="20"/>
                <w:lang w:val="sl-SI"/>
              </w:rPr>
              <w:t>SALTO</w:t>
            </w:r>
          </w:p>
        </w:tc>
        <w:tc>
          <w:tcPr>
            <w:tcW w:w="7229" w:type="dxa"/>
          </w:tcPr>
          <w:p w14:paraId="24391F38" w14:textId="3C5E6513" w:rsidR="00183777" w:rsidRPr="00275FBD" w:rsidRDefault="00183777" w:rsidP="00E0176C">
            <w:pPr>
              <w:spacing w:before="40" w:after="40"/>
              <w:rPr>
                <w:szCs w:val="20"/>
                <w:lang w:val="sl-SI"/>
              </w:rPr>
            </w:pPr>
            <w:r w:rsidRPr="00275FBD">
              <w:rPr>
                <w:szCs w:val="20"/>
                <w:lang w:val="sl-SI"/>
              </w:rPr>
              <w:t>Safety Assessment of Long-Term Operation</w:t>
            </w:r>
            <w:r w:rsidR="00D331B7" w:rsidRPr="00275FBD">
              <w:rPr>
                <w:szCs w:val="20"/>
                <w:lang w:val="sl-SI"/>
              </w:rPr>
              <w:t xml:space="preserve"> (Ocena varnosti dolgo</w:t>
            </w:r>
            <w:r w:rsidR="00F433AB" w:rsidRPr="00275FBD">
              <w:rPr>
                <w:szCs w:val="20"/>
                <w:lang w:val="sl-SI"/>
              </w:rPr>
              <w:t>roč</w:t>
            </w:r>
            <w:r w:rsidR="00D331B7" w:rsidRPr="00275FBD">
              <w:rPr>
                <w:szCs w:val="20"/>
                <w:lang w:val="sl-SI"/>
              </w:rPr>
              <w:t>nega obratovanja)</w:t>
            </w:r>
          </w:p>
        </w:tc>
      </w:tr>
      <w:tr w:rsidR="000D42FA" w:rsidRPr="009B3344" w14:paraId="03E58208" w14:textId="77777777" w:rsidTr="00860B26">
        <w:trPr>
          <w:cantSplit/>
          <w:trHeight w:val="200"/>
        </w:trPr>
        <w:tc>
          <w:tcPr>
            <w:tcW w:w="1985" w:type="dxa"/>
          </w:tcPr>
          <w:p w14:paraId="5040BE74" w14:textId="77777777" w:rsidR="00F010D7" w:rsidRPr="00275FBD" w:rsidRDefault="00F010D7" w:rsidP="00E0176C">
            <w:pPr>
              <w:spacing w:before="40" w:after="40"/>
              <w:rPr>
                <w:szCs w:val="20"/>
                <w:lang w:val="sl-SI"/>
              </w:rPr>
            </w:pPr>
            <w:r w:rsidRPr="00275FBD">
              <w:rPr>
                <w:szCs w:val="20"/>
                <w:lang w:val="sl-SI"/>
              </w:rPr>
              <w:t>SF</w:t>
            </w:r>
          </w:p>
        </w:tc>
        <w:tc>
          <w:tcPr>
            <w:tcW w:w="7229" w:type="dxa"/>
          </w:tcPr>
          <w:p w14:paraId="5ED747AC" w14:textId="1B00781D" w:rsidR="00F010D7" w:rsidRPr="00275FBD" w:rsidRDefault="00183777" w:rsidP="00E0176C">
            <w:pPr>
              <w:spacing w:before="40" w:after="40"/>
              <w:rPr>
                <w:szCs w:val="20"/>
                <w:lang w:val="sl-SI"/>
              </w:rPr>
            </w:pPr>
            <w:r w:rsidRPr="00275FBD">
              <w:rPr>
                <w:szCs w:val="20"/>
                <w:lang w:val="sl-SI"/>
              </w:rPr>
              <w:t xml:space="preserve">(1) </w:t>
            </w:r>
            <w:r w:rsidR="00F010D7" w:rsidRPr="00275FBD">
              <w:rPr>
                <w:szCs w:val="20"/>
                <w:lang w:val="sl-SI"/>
              </w:rPr>
              <w:t xml:space="preserve">Safety </w:t>
            </w:r>
            <w:proofErr w:type="spellStart"/>
            <w:r w:rsidR="00F010D7" w:rsidRPr="00275FBD">
              <w:rPr>
                <w:szCs w:val="20"/>
                <w:lang w:val="sl-SI"/>
              </w:rPr>
              <w:t>Factor</w:t>
            </w:r>
            <w:proofErr w:type="spellEnd"/>
            <w:r w:rsidR="000D42FA" w:rsidRPr="00275FBD">
              <w:rPr>
                <w:szCs w:val="20"/>
                <w:lang w:val="sl-SI"/>
              </w:rPr>
              <w:t xml:space="preserve"> (</w:t>
            </w:r>
            <w:r w:rsidR="00486000" w:rsidRPr="00275FBD">
              <w:rPr>
                <w:szCs w:val="20"/>
                <w:lang w:val="sl-SI"/>
              </w:rPr>
              <w:t>Varnostn</w:t>
            </w:r>
            <w:r w:rsidR="00486000">
              <w:rPr>
                <w:szCs w:val="20"/>
                <w:lang w:val="sl-SI"/>
              </w:rPr>
              <w:t>a</w:t>
            </w:r>
            <w:r w:rsidR="00486000" w:rsidRPr="00275FBD">
              <w:rPr>
                <w:szCs w:val="20"/>
                <w:lang w:val="sl-SI"/>
              </w:rPr>
              <w:t xml:space="preserve"> </w:t>
            </w:r>
            <w:r w:rsidR="00486000">
              <w:rPr>
                <w:lang w:val="sl-SI"/>
              </w:rPr>
              <w:t>vsebina</w:t>
            </w:r>
            <w:r w:rsidR="000D42FA" w:rsidRPr="00275FBD">
              <w:rPr>
                <w:szCs w:val="20"/>
                <w:lang w:val="sl-SI"/>
              </w:rPr>
              <w:t>)</w:t>
            </w:r>
            <w:r w:rsidRPr="00275FBD">
              <w:rPr>
                <w:szCs w:val="20"/>
                <w:lang w:val="sl-SI"/>
              </w:rPr>
              <w:t xml:space="preserve">; (2) </w:t>
            </w:r>
            <w:r w:rsidRPr="00275FBD">
              <w:rPr>
                <w:lang w:val="sl-SI" w:eastAsia="en-GB"/>
              </w:rPr>
              <w:t>“</w:t>
            </w:r>
            <w:proofErr w:type="spellStart"/>
            <w:r w:rsidRPr="00275FBD">
              <w:rPr>
                <w:lang w:val="sl-SI" w:eastAsia="en-GB"/>
              </w:rPr>
              <w:t>Soft</w:t>
            </w:r>
            <w:proofErr w:type="spellEnd"/>
            <w:r w:rsidRPr="00275FBD">
              <w:rPr>
                <w:lang w:val="sl-SI" w:eastAsia="en-GB"/>
              </w:rPr>
              <w:t xml:space="preserve"> </w:t>
            </w:r>
            <w:proofErr w:type="spellStart"/>
            <w:r w:rsidRPr="00275FBD">
              <w:rPr>
                <w:lang w:val="sl-SI" w:eastAsia="en-GB"/>
              </w:rPr>
              <w:t>factors</w:t>
            </w:r>
            <w:proofErr w:type="spellEnd"/>
            <w:r w:rsidRPr="00275FBD">
              <w:rPr>
                <w:lang w:val="sl-SI" w:eastAsia="en-GB"/>
              </w:rPr>
              <w:t xml:space="preserve">” or </w:t>
            </w:r>
            <w:proofErr w:type="spellStart"/>
            <w:r w:rsidRPr="00275FBD">
              <w:rPr>
                <w:lang w:val="sl-SI" w:eastAsia="en-GB"/>
              </w:rPr>
              <w:t>other</w:t>
            </w:r>
            <w:proofErr w:type="spellEnd"/>
            <w:r w:rsidRPr="00275FBD">
              <w:rPr>
                <w:lang w:val="sl-SI" w:eastAsia="en-GB"/>
              </w:rPr>
              <w:t xml:space="preserve"> </w:t>
            </w:r>
            <w:proofErr w:type="spellStart"/>
            <w:r w:rsidRPr="00275FBD">
              <w:rPr>
                <w:lang w:val="sl-SI" w:eastAsia="en-GB"/>
              </w:rPr>
              <w:t>areas</w:t>
            </w:r>
            <w:proofErr w:type="spellEnd"/>
            <w:r w:rsidRPr="00275FBD">
              <w:rPr>
                <w:lang w:val="sl-SI" w:eastAsia="en-GB"/>
              </w:rPr>
              <w:t xml:space="preserve"> (PSR </w:t>
            </w:r>
            <w:proofErr w:type="spellStart"/>
            <w:r w:rsidRPr="00275FBD">
              <w:rPr>
                <w:lang w:val="sl-SI" w:eastAsia="en-GB"/>
              </w:rPr>
              <w:t>issue</w:t>
            </w:r>
            <w:proofErr w:type="spellEnd"/>
            <w:r w:rsidRPr="00275FBD">
              <w:rPr>
                <w:lang w:val="sl-SI" w:eastAsia="en-GB"/>
              </w:rPr>
              <w:t xml:space="preserve"> </w:t>
            </w:r>
            <w:proofErr w:type="spellStart"/>
            <w:r w:rsidRPr="00275FBD">
              <w:rPr>
                <w:lang w:val="sl-SI" w:eastAsia="en-GB"/>
              </w:rPr>
              <w:t>category</w:t>
            </w:r>
            <w:proofErr w:type="spellEnd"/>
            <w:r w:rsidRPr="00275FBD">
              <w:rPr>
                <w:lang w:val="sl-SI" w:eastAsia="en-GB"/>
              </w:rPr>
              <w:t>)</w:t>
            </w:r>
            <w:r w:rsidR="000D42FA" w:rsidRPr="00275FBD">
              <w:rPr>
                <w:lang w:val="sl-SI" w:eastAsia="en-GB"/>
              </w:rPr>
              <w:t xml:space="preserve"> (»Mehki dejavniki« ali druga področja (kategorija varnostnih </w:t>
            </w:r>
            <w:r w:rsidR="00BD5705" w:rsidRPr="00275FBD">
              <w:rPr>
                <w:lang w:val="sl-SI" w:eastAsia="en-GB"/>
              </w:rPr>
              <w:t xml:space="preserve">najdb </w:t>
            </w:r>
            <w:r w:rsidR="000D42FA" w:rsidRPr="00275FBD">
              <w:rPr>
                <w:lang w:val="sl-SI" w:eastAsia="en-GB"/>
              </w:rPr>
              <w:t>PSR))</w:t>
            </w:r>
          </w:p>
        </w:tc>
      </w:tr>
      <w:tr w:rsidR="00C46F9C" w:rsidRPr="009B3344" w14:paraId="0A349727" w14:textId="77777777" w:rsidTr="00860B26">
        <w:trPr>
          <w:cantSplit/>
          <w:trHeight w:val="200"/>
        </w:trPr>
        <w:tc>
          <w:tcPr>
            <w:tcW w:w="1985" w:type="dxa"/>
          </w:tcPr>
          <w:p w14:paraId="2A6A1B82" w14:textId="13D1088C" w:rsidR="004237C8" w:rsidRPr="00275FBD" w:rsidRDefault="004237C8" w:rsidP="00E0176C">
            <w:pPr>
              <w:spacing w:before="40" w:after="40"/>
              <w:rPr>
                <w:szCs w:val="20"/>
                <w:lang w:val="sl-SI"/>
              </w:rPr>
            </w:pPr>
            <w:r w:rsidRPr="00275FBD">
              <w:rPr>
                <w:szCs w:val="20"/>
                <w:lang w:val="sl-SI"/>
              </w:rPr>
              <w:t>SFU</w:t>
            </w:r>
            <w:r w:rsidR="00C46F9C" w:rsidRPr="00275FBD">
              <w:rPr>
                <w:szCs w:val="20"/>
                <w:lang w:val="sl-SI"/>
              </w:rPr>
              <w:t>F</w:t>
            </w:r>
          </w:p>
        </w:tc>
        <w:tc>
          <w:tcPr>
            <w:tcW w:w="7229" w:type="dxa"/>
          </w:tcPr>
          <w:p w14:paraId="43AE20FE" w14:textId="36352267" w:rsidR="004237C8" w:rsidRPr="00275FBD" w:rsidRDefault="004237C8" w:rsidP="00E0176C">
            <w:pPr>
              <w:spacing w:before="40" w:after="40"/>
              <w:rPr>
                <w:szCs w:val="20"/>
                <w:lang w:val="sl-SI"/>
              </w:rPr>
            </w:pPr>
            <w:r w:rsidRPr="00275FBD">
              <w:rPr>
                <w:szCs w:val="20"/>
                <w:lang w:val="sl-SI"/>
              </w:rPr>
              <w:t xml:space="preserve">Spent Fuel </w:t>
            </w:r>
            <w:proofErr w:type="spellStart"/>
            <w:r w:rsidRPr="00275FBD">
              <w:rPr>
                <w:szCs w:val="20"/>
                <w:lang w:val="sl-SI"/>
              </w:rPr>
              <w:t>Uncovering</w:t>
            </w:r>
            <w:proofErr w:type="spellEnd"/>
            <w:r w:rsidRPr="00275FBD">
              <w:rPr>
                <w:szCs w:val="20"/>
                <w:lang w:val="sl-SI"/>
              </w:rPr>
              <w:t xml:space="preserve"> </w:t>
            </w:r>
            <w:proofErr w:type="spellStart"/>
            <w:r w:rsidR="00C46F9C" w:rsidRPr="00275FBD">
              <w:rPr>
                <w:szCs w:val="20"/>
                <w:lang w:val="sl-SI"/>
              </w:rPr>
              <w:t>Frequency</w:t>
            </w:r>
            <w:proofErr w:type="spellEnd"/>
            <w:r w:rsidR="00C46F9C" w:rsidRPr="00275FBD">
              <w:rPr>
                <w:szCs w:val="20"/>
                <w:lang w:val="sl-SI"/>
              </w:rPr>
              <w:t xml:space="preserve"> </w:t>
            </w:r>
            <w:r w:rsidRPr="00275FBD">
              <w:rPr>
                <w:szCs w:val="20"/>
                <w:lang w:val="sl-SI"/>
              </w:rPr>
              <w:t>(</w:t>
            </w:r>
            <w:r w:rsidR="00F97381" w:rsidRPr="00275FBD">
              <w:rPr>
                <w:szCs w:val="20"/>
                <w:lang w:val="sl-SI"/>
              </w:rPr>
              <w:t>PSA term)</w:t>
            </w:r>
            <w:r w:rsidR="00C46F9C" w:rsidRPr="00275FBD">
              <w:rPr>
                <w:szCs w:val="20"/>
                <w:lang w:val="sl-SI"/>
              </w:rPr>
              <w:t xml:space="preserve"> (Pogostost o</w:t>
            </w:r>
            <w:r w:rsidR="00BD0706" w:rsidRPr="00275FBD">
              <w:rPr>
                <w:szCs w:val="20"/>
                <w:lang w:val="sl-SI"/>
              </w:rPr>
              <w:t>d</w:t>
            </w:r>
            <w:r w:rsidR="00C46F9C" w:rsidRPr="00275FBD">
              <w:rPr>
                <w:szCs w:val="20"/>
                <w:lang w:val="sl-SI"/>
              </w:rPr>
              <w:t>kritja izrabljenega goriva v bazenu, kot merilo tveganja)</w:t>
            </w:r>
          </w:p>
        </w:tc>
      </w:tr>
      <w:tr w:rsidR="00AC2F57" w:rsidRPr="00275FBD" w14:paraId="3E3B919E" w14:textId="77777777" w:rsidTr="00860B26">
        <w:trPr>
          <w:cantSplit/>
          <w:trHeight w:val="200"/>
        </w:trPr>
        <w:tc>
          <w:tcPr>
            <w:tcW w:w="1985" w:type="dxa"/>
          </w:tcPr>
          <w:p w14:paraId="794F099F" w14:textId="3852CAB9" w:rsidR="000C3347" w:rsidRPr="00275FBD" w:rsidRDefault="000C3347" w:rsidP="00E0176C">
            <w:pPr>
              <w:spacing w:before="40" w:after="40"/>
              <w:rPr>
                <w:szCs w:val="20"/>
                <w:lang w:val="sl-SI"/>
              </w:rPr>
            </w:pPr>
            <w:r w:rsidRPr="00275FBD">
              <w:rPr>
                <w:szCs w:val="20"/>
                <w:lang w:val="sl-SI"/>
              </w:rPr>
              <w:t>SSC</w:t>
            </w:r>
            <w:r w:rsidR="00AC2F57" w:rsidRPr="00275FBD">
              <w:rPr>
                <w:szCs w:val="20"/>
                <w:lang w:val="sl-SI"/>
              </w:rPr>
              <w:t xml:space="preserve"> (SSK)</w:t>
            </w:r>
          </w:p>
        </w:tc>
        <w:tc>
          <w:tcPr>
            <w:tcW w:w="7229" w:type="dxa"/>
          </w:tcPr>
          <w:p w14:paraId="68311690" w14:textId="3C25CEA5" w:rsidR="000C3347" w:rsidRPr="00275FBD" w:rsidRDefault="000C3347" w:rsidP="00E0176C">
            <w:pPr>
              <w:spacing w:before="40" w:after="40"/>
              <w:rPr>
                <w:szCs w:val="20"/>
                <w:lang w:val="sl-SI"/>
              </w:rPr>
            </w:pPr>
            <w:proofErr w:type="spellStart"/>
            <w:r w:rsidRPr="00275FBD">
              <w:rPr>
                <w:szCs w:val="20"/>
                <w:lang w:val="sl-SI"/>
              </w:rPr>
              <w:t>Structures</w:t>
            </w:r>
            <w:proofErr w:type="spellEnd"/>
            <w:r w:rsidRPr="00275FBD">
              <w:rPr>
                <w:szCs w:val="20"/>
                <w:lang w:val="sl-SI"/>
              </w:rPr>
              <w:t xml:space="preserve">, </w:t>
            </w:r>
            <w:proofErr w:type="spellStart"/>
            <w:r w:rsidRPr="00275FBD">
              <w:rPr>
                <w:szCs w:val="20"/>
                <w:lang w:val="sl-SI"/>
              </w:rPr>
              <w:t>Systems</w:t>
            </w:r>
            <w:proofErr w:type="spellEnd"/>
            <w:r w:rsidRPr="00275FBD">
              <w:rPr>
                <w:szCs w:val="20"/>
                <w:lang w:val="sl-SI"/>
              </w:rPr>
              <w:t xml:space="preserve"> and </w:t>
            </w:r>
            <w:proofErr w:type="spellStart"/>
            <w:r w:rsidRPr="00275FBD">
              <w:rPr>
                <w:szCs w:val="20"/>
                <w:lang w:val="sl-SI"/>
              </w:rPr>
              <w:t>Components</w:t>
            </w:r>
            <w:proofErr w:type="spellEnd"/>
            <w:r w:rsidR="00AC2F57" w:rsidRPr="00275FBD">
              <w:rPr>
                <w:szCs w:val="20"/>
                <w:lang w:val="sl-SI"/>
              </w:rPr>
              <w:t xml:space="preserve"> (</w:t>
            </w:r>
            <w:r w:rsidR="006F566A">
              <w:rPr>
                <w:szCs w:val="20"/>
                <w:lang w:val="sl-SI"/>
              </w:rPr>
              <w:t>S</w:t>
            </w:r>
            <w:r w:rsidR="006F566A" w:rsidRPr="006F566A">
              <w:rPr>
                <w:szCs w:val="20"/>
                <w:lang w:val="sl-SI"/>
              </w:rPr>
              <w:t>istem</w:t>
            </w:r>
            <w:r w:rsidR="006F566A">
              <w:rPr>
                <w:szCs w:val="20"/>
                <w:lang w:val="sl-SI"/>
              </w:rPr>
              <w:t>i</w:t>
            </w:r>
            <w:r w:rsidR="006F566A" w:rsidRPr="006F566A">
              <w:rPr>
                <w:szCs w:val="20"/>
                <w:lang w:val="sl-SI"/>
              </w:rPr>
              <w:t>, struktur</w:t>
            </w:r>
            <w:r w:rsidR="006F566A">
              <w:rPr>
                <w:szCs w:val="20"/>
                <w:lang w:val="sl-SI"/>
              </w:rPr>
              <w:t>e</w:t>
            </w:r>
            <w:r w:rsidR="006F566A" w:rsidRPr="006F566A">
              <w:rPr>
                <w:szCs w:val="20"/>
                <w:lang w:val="sl-SI"/>
              </w:rPr>
              <w:t xml:space="preserve"> in komponent</w:t>
            </w:r>
            <w:r w:rsidR="006F566A">
              <w:rPr>
                <w:szCs w:val="20"/>
                <w:lang w:val="sl-SI"/>
              </w:rPr>
              <w:t>e</w:t>
            </w:r>
            <w:r w:rsidR="00AC2F57" w:rsidRPr="00275FBD">
              <w:rPr>
                <w:szCs w:val="20"/>
                <w:lang w:val="sl-SI"/>
              </w:rPr>
              <w:t>)</w:t>
            </w:r>
          </w:p>
        </w:tc>
      </w:tr>
      <w:tr w:rsidR="001A7DAD" w:rsidRPr="009B3344" w14:paraId="776EA092" w14:textId="77777777" w:rsidTr="00860B26">
        <w:trPr>
          <w:cantSplit/>
          <w:trHeight w:val="200"/>
        </w:trPr>
        <w:tc>
          <w:tcPr>
            <w:tcW w:w="1985" w:type="dxa"/>
          </w:tcPr>
          <w:p w14:paraId="37FED03C" w14:textId="550F72A4" w:rsidR="002A2A0B" w:rsidRPr="00275FBD" w:rsidRDefault="002A2A0B" w:rsidP="00E0176C">
            <w:pPr>
              <w:spacing w:before="40" w:after="40"/>
              <w:rPr>
                <w:szCs w:val="20"/>
                <w:lang w:val="sl-SI"/>
              </w:rPr>
            </w:pPr>
            <w:r w:rsidRPr="00275FBD">
              <w:rPr>
                <w:szCs w:val="20"/>
                <w:lang w:val="sl-SI"/>
              </w:rPr>
              <w:t>S</w:t>
            </w:r>
            <w:r w:rsidR="000C3347" w:rsidRPr="00275FBD">
              <w:rPr>
                <w:szCs w:val="20"/>
                <w:lang w:val="sl-SI"/>
              </w:rPr>
              <w:t>UP</w:t>
            </w:r>
          </w:p>
        </w:tc>
        <w:tc>
          <w:tcPr>
            <w:tcW w:w="7229" w:type="dxa"/>
          </w:tcPr>
          <w:p w14:paraId="45876D08" w14:textId="04349A97" w:rsidR="002A2A0B" w:rsidRPr="00275FBD" w:rsidRDefault="000C3347" w:rsidP="00E0176C">
            <w:pPr>
              <w:spacing w:before="40" w:after="40"/>
              <w:rPr>
                <w:szCs w:val="20"/>
                <w:lang w:val="sl-SI"/>
              </w:rPr>
            </w:pPr>
            <w:r w:rsidRPr="00275FBD">
              <w:rPr>
                <w:szCs w:val="20"/>
                <w:lang w:val="sl-SI"/>
              </w:rPr>
              <w:t xml:space="preserve">Safety </w:t>
            </w:r>
            <w:proofErr w:type="spellStart"/>
            <w:r w:rsidRPr="00275FBD">
              <w:rPr>
                <w:szCs w:val="20"/>
                <w:lang w:val="sl-SI"/>
              </w:rPr>
              <w:t>Upgrade</w:t>
            </w:r>
            <w:proofErr w:type="spellEnd"/>
            <w:r w:rsidRPr="00275FBD">
              <w:rPr>
                <w:szCs w:val="20"/>
                <w:lang w:val="sl-SI"/>
              </w:rPr>
              <w:t xml:space="preserve"> Program</w:t>
            </w:r>
            <w:r w:rsidR="001A7DAD" w:rsidRPr="00275FBD">
              <w:rPr>
                <w:szCs w:val="20"/>
                <w:lang w:val="sl-SI"/>
              </w:rPr>
              <w:t xml:space="preserve"> (Program nadgradnje varnosti)</w:t>
            </w:r>
          </w:p>
        </w:tc>
      </w:tr>
      <w:tr w:rsidR="00B02C34" w:rsidRPr="009B3344" w14:paraId="488FE7B2" w14:textId="77777777" w:rsidTr="00860B26">
        <w:trPr>
          <w:cantSplit/>
          <w:trHeight w:val="200"/>
        </w:trPr>
        <w:tc>
          <w:tcPr>
            <w:tcW w:w="1985" w:type="dxa"/>
          </w:tcPr>
          <w:p w14:paraId="0F9AFC65" w14:textId="64807727" w:rsidR="00A27108" w:rsidRPr="00275FBD" w:rsidRDefault="00A27108" w:rsidP="00E0176C">
            <w:pPr>
              <w:spacing w:before="40" w:after="40"/>
              <w:rPr>
                <w:szCs w:val="20"/>
                <w:lang w:val="sl-SI"/>
              </w:rPr>
            </w:pPr>
            <w:r w:rsidRPr="00275FBD">
              <w:rPr>
                <w:szCs w:val="20"/>
                <w:lang w:val="sl-SI"/>
              </w:rPr>
              <w:t>TDP</w:t>
            </w:r>
          </w:p>
        </w:tc>
        <w:tc>
          <w:tcPr>
            <w:tcW w:w="7229" w:type="dxa"/>
          </w:tcPr>
          <w:p w14:paraId="47D16EAE" w14:textId="700F6076" w:rsidR="00A27108" w:rsidRPr="00275FBD" w:rsidRDefault="00A27108" w:rsidP="00E0176C">
            <w:pPr>
              <w:spacing w:before="40" w:after="40"/>
              <w:rPr>
                <w:lang w:val="sl-SI"/>
              </w:rPr>
            </w:pPr>
            <w:r w:rsidRPr="00275FBD">
              <w:rPr>
                <w:lang w:val="sl-SI"/>
              </w:rPr>
              <w:t xml:space="preserve">Turbine </w:t>
            </w:r>
            <w:proofErr w:type="spellStart"/>
            <w:r w:rsidRPr="00275FBD">
              <w:rPr>
                <w:lang w:val="sl-SI"/>
              </w:rPr>
              <w:t>Driven</w:t>
            </w:r>
            <w:proofErr w:type="spellEnd"/>
            <w:r w:rsidRPr="00275FBD">
              <w:rPr>
                <w:lang w:val="sl-SI"/>
              </w:rPr>
              <w:t xml:space="preserve"> Pump</w:t>
            </w:r>
            <w:r w:rsidR="00B02C34" w:rsidRPr="00275FBD">
              <w:rPr>
                <w:lang w:val="sl-SI"/>
              </w:rPr>
              <w:t xml:space="preserve"> (Turbinska črpalka)</w:t>
            </w:r>
          </w:p>
        </w:tc>
      </w:tr>
      <w:tr w:rsidR="00650BDC" w:rsidRPr="00275FBD" w14:paraId="66313BE4" w14:textId="77777777" w:rsidTr="00860B26">
        <w:trPr>
          <w:cantSplit/>
          <w:trHeight w:val="200"/>
        </w:trPr>
        <w:tc>
          <w:tcPr>
            <w:tcW w:w="1985" w:type="dxa"/>
          </w:tcPr>
          <w:p w14:paraId="14B72490" w14:textId="6400D153" w:rsidR="000D42FA" w:rsidRPr="00275FBD" w:rsidRDefault="000D42FA" w:rsidP="00E0176C">
            <w:pPr>
              <w:spacing w:before="40" w:after="40"/>
              <w:rPr>
                <w:szCs w:val="20"/>
                <w:lang w:val="sl-SI"/>
              </w:rPr>
            </w:pPr>
            <w:r w:rsidRPr="00275FBD">
              <w:rPr>
                <w:szCs w:val="20"/>
                <w:lang w:val="sl-SI"/>
              </w:rPr>
              <w:t>URSJV</w:t>
            </w:r>
          </w:p>
        </w:tc>
        <w:tc>
          <w:tcPr>
            <w:tcW w:w="7229" w:type="dxa"/>
          </w:tcPr>
          <w:p w14:paraId="51027437" w14:textId="4D2D738D" w:rsidR="000D42FA" w:rsidRPr="00275FBD" w:rsidRDefault="000D42FA" w:rsidP="00E0176C">
            <w:pPr>
              <w:spacing w:before="40" w:after="40"/>
              <w:rPr>
                <w:szCs w:val="20"/>
                <w:lang w:val="sl-SI"/>
              </w:rPr>
            </w:pPr>
            <w:r w:rsidRPr="00275FBD">
              <w:rPr>
                <w:szCs w:val="20"/>
                <w:lang w:val="sl-SI"/>
              </w:rPr>
              <w:t>Uprava Republike Slovenije za jedrsko varnost</w:t>
            </w:r>
          </w:p>
        </w:tc>
      </w:tr>
      <w:tr w:rsidR="00B83475" w:rsidRPr="00275FBD" w14:paraId="3394A9D0" w14:textId="77777777" w:rsidTr="00860B26">
        <w:trPr>
          <w:cantSplit/>
          <w:trHeight w:val="200"/>
        </w:trPr>
        <w:tc>
          <w:tcPr>
            <w:tcW w:w="1985" w:type="dxa"/>
          </w:tcPr>
          <w:p w14:paraId="2669AC27" w14:textId="77777777" w:rsidR="00C722AD" w:rsidRPr="00275FBD" w:rsidRDefault="00C722AD" w:rsidP="00E0176C">
            <w:pPr>
              <w:spacing w:before="40" w:after="40"/>
              <w:rPr>
                <w:szCs w:val="20"/>
                <w:lang w:val="sl-SI"/>
              </w:rPr>
            </w:pPr>
            <w:r w:rsidRPr="00275FBD">
              <w:rPr>
                <w:szCs w:val="20"/>
                <w:lang w:val="sl-SI"/>
              </w:rPr>
              <w:t>USAR</w:t>
            </w:r>
          </w:p>
        </w:tc>
        <w:tc>
          <w:tcPr>
            <w:tcW w:w="7229" w:type="dxa"/>
          </w:tcPr>
          <w:p w14:paraId="3EFE0F10" w14:textId="727B8832" w:rsidR="00C722AD" w:rsidRPr="00275FBD" w:rsidRDefault="00C722AD" w:rsidP="00E0176C">
            <w:pPr>
              <w:spacing w:before="40" w:after="40"/>
              <w:rPr>
                <w:szCs w:val="20"/>
                <w:lang w:val="sl-SI"/>
              </w:rPr>
            </w:pPr>
            <w:r w:rsidRPr="00275FBD">
              <w:rPr>
                <w:szCs w:val="20"/>
                <w:lang w:val="sl-SI"/>
              </w:rPr>
              <w:t>Updated Safety Analysis Report</w:t>
            </w:r>
            <w:r w:rsidR="00B83475" w:rsidRPr="00275FBD">
              <w:rPr>
                <w:szCs w:val="20"/>
                <w:lang w:val="sl-SI"/>
              </w:rPr>
              <w:t xml:space="preserve"> (Posodobljeno </w:t>
            </w:r>
            <w:r w:rsidR="00615CCD">
              <w:rPr>
                <w:szCs w:val="20"/>
                <w:lang w:val="sl-SI"/>
              </w:rPr>
              <w:t xml:space="preserve">varnostno </w:t>
            </w:r>
            <w:r w:rsidR="00B83475" w:rsidRPr="00275FBD">
              <w:rPr>
                <w:szCs w:val="20"/>
                <w:lang w:val="sl-SI"/>
              </w:rPr>
              <w:t>poročilo</w:t>
            </w:r>
            <w:r w:rsidR="00BD0706" w:rsidRPr="00275FBD">
              <w:rPr>
                <w:szCs w:val="20"/>
                <w:lang w:val="sl-SI"/>
              </w:rPr>
              <w:t>)</w:t>
            </w:r>
          </w:p>
        </w:tc>
      </w:tr>
      <w:tr w:rsidR="007843E6" w:rsidRPr="00275FBD" w14:paraId="121F38F0" w14:textId="77777777" w:rsidTr="00860B26">
        <w:trPr>
          <w:cantSplit/>
          <w:trHeight w:val="200"/>
        </w:trPr>
        <w:tc>
          <w:tcPr>
            <w:tcW w:w="1985" w:type="dxa"/>
          </w:tcPr>
          <w:p w14:paraId="69435199" w14:textId="77777777" w:rsidR="00D968FD" w:rsidRPr="00275FBD" w:rsidRDefault="00D968FD" w:rsidP="00E0176C">
            <w:pPr>
              <w:spacing w:before="40" w:after="40"/>
              <w:rPr>
                <w:szCs w:val="20"/>
                <w:lang w:val="sl-SI"/>
              </w:rPr>
            </w:pPr>
            <w:r w:rsidRPr="00275FBD">
              <w:rPr>
                <w:szCs w:val="20"/>
                <w:lang w:val="sl-SI"/>
              </w:rPr>
              <w:t>U.S. NRC</w:t>
            </w:r>
          </w:p>
        </w:tc>
        <w:tc>
          <w:tcPr>
            <w:tcW w:w="7229" w:type="dxa"/>
          </w:tcPr>
          <w:p w14:paraId="569E4DE5" w14:textId="77777777" w:rsidR="00D968FD" w:rsidRPr="00275FBD" w:rsidRDefault="00D968FD" w:rsidP="00E0176C">
            <w:pPr>
              <w:spacing w:before="40" w:after="40"/>
              <w:rPr>
                <w:szCs w:val="20"/>
                <w:lang w:val="sl-SI"/>
              </w:rPr>
            </w:pPr>
            <w:proofErr w:type="spellStart"/>
            <w:r w:rsidRPr="00275FBD">
              <w:rPr>
                <w:szCs w:val="20"/>
                <w:lang w:val="sl-SI"/>
              </w:rPr>
              <w:t>United</w:t>
            </w:r>
            <w:proofErr w:type="spellEnd"/>
            <w:r w:rsidRPr="00275FBD">
              <w:rPr>
                <w:szCs w:val="20"/>
                <w:lang w:val="sl-SI"/>
              </w:rPr>
              <w:t xml:space="preserve"> </w:t>
            </w:r>
            <w:proofErr w:type="spellStart"/>
            <w:r w:rsidRPr="00275FBD">
              <w:rPr>
                <w:szCs w:val="20"/>
                <w:lang w:val="sl-SI"/>
              </w:rPr>
              <w:t>States</w:t>
            </w:r>
            <w:proofErr w:type="spellEnd"/>
            <w:r w:rsidRPr="00275FBD">
              <w:rPr>
                <w:szCs w:val="20"/>
                <w:lang w:val="sl-SI"/>
              </w:rPr>
              <w:t xml:space="preserve"> Nuclear Regulatory Commission</w:t>
            </w:r>
          </w:p>
        </w:tc>
      </w:tr>
      <w:tr w:rsidR="004B6F03" w:rsidRPr="00275FBD" w14:paraId="79E97831" w14:textId="77777777" w:rsidTr="00860B26">
        <w:trPr>
          <w:cantSplit/>
          <w:trHeight w:val="200"/>
        </w:trPr>
        <w:tc>
          <w:tcPr>
            <w:tcW w:w="1985" w:type="dxa"/>
          </w:tcPr>
          <w:p w14:paraId="718AA92D" w14:textId="77777777" w:rsidR="001B008F" w:rsidRPr="00275FBD" w:rsidRDefault="001B008F" w:rsidP="00E0176C">
            <w:pPr>
              <w:spacing w:before="40" w:after="40"/>
              <w:rPr>
                <w:szCs w:val="20"/>
                <w:lang w:val="sl-SI"/>
              </w:rPr>
            </w:pPr>
            <w:r w:rsidRPr="00275FBD">
              <w:rPr>
                <w:szCs w:val="20"/>
                <w:lang w:val="sl-SI"/>
              </w:rPr>
              <w:t>WENRA</w:t>
            </w:r>
          </w:p>
        </w:tc>
        <w:tc>
          <w:tcPr>
            <w:tcW w:w="7229" w:type="dxa"/>
          </w:tcPr>
          <w:p w14:paraId="6F891B4E" w14:textId="77777777" w:rsidR="001B008F" w:rsidRPr="00275FBD" w:rsidRDefault="001B008F" w:rsidP="00E0176C">
            <w:pPr>
              <w:spacing w:before="40" w:after="40"/>
              <w:rPr>
                <w:lang w:val="sl-SI"/>
              </w:rPr>
            </w:pPr>
            <w:r w:rsidRPr="00275FBD">
              <w:rPr>
                <w:szCs w:val="20"/>
                <w:lang w:val="sl-SI"/>
              </w:rPr>
              <w:t>Western European Nuclear Regulators Association</w:t>
            </w:r>
          </w:p>
        </w:tc>
      </w:tr>
    </w:tbl>
    <w:p w14:paraId="1BF9381D" w14:textId="77777777" w:rsidR="00292E8F" w:rsidRPr="00275FBD" w:rsidRDefault="00292E8F" w:rsidP="00951CD2">
      <w:pPr>
        <w:rPr>
          <w:lang w:val="sl-SI"/>
        </w:rPr>
      </w:pPr>
    </w:p>
    <w:p w14:paraId="42EA64AF" w14:textId="2A2DAF65" w:rsidR="0090007D" w:rsidRPr="00275FBD" w:rsidRDefault="00F31137" w:rsidP="00EB4666">
      <w:pPr>
        <w:pStyle w:val="Naslov"/>
        <w:rPr>
          <w:lang w:val="sl-SI"/>
        </w:rPr>
      </w:pPr>
      <w:r w:rsidRPr="00275FBD">
        <w:rPr>
          <w:lang w:val="sl-SI"/>
        </w:rPr>
        <w:br w:type="page"/>
      </w:r>
      <w:bookmarkStart w:id="11" w:name="_Toc163197411"/>
      <w:r w:rsidR="00860B26" w:rsidRPr="00275FBD">
        <w:rPr>
          <w:lang w:val="sl-SI"/>
        </w:rPr>
        <w:lastRenderedPageBreak/>
        <w:t>SEZNAM TABEL</w:t>
      </w:r>
      <w:bookmarkEnd w:id="11"/>
    </w:p>
    <w:p w14:paraId="6F4D803A" w14:textId="5490BC21" w:rsidR="00FA1922" w:rsidRPr="00275FBD" w:rsidRDefault="00FA1922" w:rsidP="0063161C">
      <w:pPr>
        <w:tabs>
          <w:tab w:val="left" w:pos="1134"/>
          <w:tab w:val="right" w:leader="dot" w:pos="9072"/>
          <w:tab w:val="right" w:leader="dot" w:pos="9120"/>
        </w:tabs>
        <w:ind w:left="1134" w:right="992" w:hanging="1134"/>
        <w:jc w:val="left"/>
        <w:rPr>
          <w:szCs w:val="20"/>
          <w:lang w:val="sl-SI"/>
        </w:rPr>
      </w:pPr>
    </w:p>
    <w:p w14:paraId="56D8D434" w14:textId="48FC9F7C" w:rsidR="00AB2085" w:rsidRDefault="0070075F">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r w:rsidRPr="00275FBD">
        <w:rPr>
          <w:szCs w:val="20"/>
          <w:lang w:val="sl-SI"/>
        </w:rPr>
        <w:fldChar w:fldCharType="begin"/>
      </w:r>
      <w:r w:rsidRPr="00275FBD">
        <w:rPr>
          <w:szCs w:val="20"/>
          <w:lang w:val="sl-SI"/>
        </w:rPr>
        <w:instrText xml:space="preserve"> TOC \h \z \c "Tabela" </w:instrText>
      </w:r>
      <w:r w:rsidRPr="00275FBD">
        <w:rPr>
          <w:szCs w:val="20"/>
          <w:lang w:val="sl-SI"/>
        </w:rPr>
        <w:fldChar w:fldCharType="separate"/>
      </w:r>
      <w:hyperlink w:anchor="_Toc163197436" w:history="1">
        <w:r w:rsidR="00AB2085" w:rsidRPr="00316894">
          <w:rPr>
            <w:rStyle w:val="Hiperpovezava"/>
            <w:noProof/>
            <w:lang w:val="sl-SI"/>
          </w:rPr>
          <w:t>Tabela 1</w:t>
        </w:r>
        <w:r w:rsidR="00AB2085" w:rsidRPr="00316894">
          <w:rPr>
            <w:rStyle w:val="Hiperpovezava"/>
            <w:noProof/>
            <w:lang w:val="sl-SI"/>
          </w:rPr>
          <w:noBreakHyphen/>
          <w:t>1: Pregled poročil iz faze pregledovanja varnostnih vsebin v NEK PSR3</w:t>
        </w:r>
        <w:r w:rsidR="00AB2085">
          <w:rPr>
            <w:noProof/>
            <w:webHidden/>
          </w:rPr>
          <w:tab/>
        </w:r>
        <w:r w:rsidR="00AB2085">
          <w:rPr>
            <w:noProof/>
            <w:webHidden/>
          </w:rPr>
          <w:fldChar w:fldCharType="begin"/>
        </w:r>
        <w:r w:rsidR="00AB2085">
          <w:rPr>
            <w:noProof/>
            <w:webHidden/>
          </w:rPr>
          <w:instrText xml:space="preserve"> PAGEREF _Toc163197436 \h </w:instrText>
        </w:r>
        <w:r w:rsidR="00AB2085">
          <w:rPr>
            <w:noProof/>
            <w:webHidden/>
          </w:rPr>
        </w:r>
        <w:r w:rsidR="00AB2085">
          <w:rPr>
            <w:noProof/>
            <w:webHidden/>
          </w:rPr>
          <w:fldChar w:fldCharType="separate"/>
        </w:r>
        <w:r w:rsidR="00BA25CD">
          <w:rPr>
            <w:noProof/>
            <w:webHidden/>
          </w:rPr>
          <w:t>15</w:t>
        </w:r>
        <w:r w:rsidR="00AB2085">
          <w:rPr>
            <w:noProof/>
            <w:webHidden/>
          </w:rPr>
          <w:fldChar w:fldCharType="end"/>
        </w:r>
      </w:hyperlink>
    </w:p>
    <w:p w14:paraId="5751AF52" w14:textId="0E39DF34" w:rsidR="00AB2085" w:rsidRDefault="00360BE3">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hyperlink w:anchor="_Toc163197437" w:history="1">
        <w:r w:rsidR="00AB2085" w:rsidRPr="00316894">
          <w:rPr>
            <w:rStyle w:val="Hiperpovezava"/>
            <w:noProof/>
            <w:lang w:val="sl-SI"/>
          </w:rPr>
          <w:t>Tabela 1</w:t>
        </w:r>
        <w:r w:rsidR="00AB2085" w:rsidRPr="00316894">
          <w:rPr>
            <w:rStyle w:val="Hiperpovezava"/>
            <w:noProof/>
            <w:lang w:val="sl-SI"/>
          </w:rPr>
          <w:noBreakHyphen/>
          <w:t>2: Pregled poročil iz faze razvrščanja najdb po pomembnosti, s celovito oceno varnosti elektrarne</w:t>
        </w:r>
        <w:r w:rsidR="00AB2085">
          <w:rPr>
            <w:noProof/>
            <w:webHidden/>
          </w:rPr>
          <w:tab/>
        </w:r>
        <w:r w:rsidR="00AB2085">
          <w:rPr>
            <w:noProof/>
            <w:webHidden/>
          </w:rPr>
          <w:fldChar w:fldCharType="begin"/>
        </w:r>
        <w:r w:rsidR="00AB2085">
          <w:rPr>
            <w:noProof/>
            <w:webHidden/>
          </w:rPr>
          <w:instrText xml:space="preserve"> PAGEREF _Toc163197437 \h </w:instrText>
        </w:r>
        <w:r w:rsidR="00AB2085">
          <w:rPr>
            <w:noProof/>
            <w:webHidden/>
          </w:rPr>
        </w:r>
        <w:r w:rsidR="00AB2085">
          <w:rPr>
            <w:noProof/>
            <w:webHidden/>
          </w:rPr>
          <w:fldChar w:fldCharType="separate"/>
        </w:r>
        <w:r w:rsidR="00BA25CD">
          <w:rPr>
            <w:noProof/>
            <w:webHidden/>
          </w:rPr>
          <w:t>16</w:t>
        </w:r>
        <w:r w:rsidR="00AB2085">
          <w:rPr>
            <w:noProof/>
            <w:webHidden/>
          </w:rPr>
          <w:fldChar w:fldCharType="end"/>
        </w:r>
      </w:hyperlink>
    </w:p>
    <w:p w14:paraId="73BFD439" w14:textId="440B9109" w:rsidR="00AB2085" w:rsidRDefault="00360BE3">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hyperlink w:anchor="_Toc163197438" w:history="1">
        <w:r w:rsidR="00AB2085" w:rsidRPr="00316894">
          <w:rPr>
            <w:rStyle w:val="Hiperpovezava"/>
            <w:noProof/>
            <w:lang w:val="sl-SI"/>
          </w:rPr>
          <w:t>Tabela 3</w:t>
        </w:r>
        <w:r w:rsidR="00AB2085" w:rsidRPr="00316894">
          <w:rPr>
            <w:rStyle w:val="Hiperpovezava"/>
            <w:noProof/>
            <w:lang w:val="sl-SI"/>
          </w:rPr>
          <w:noBreakHyphen/>
          <w:t>1: Povzetek faze pregleda</w:t>
        </w:r>
        <w:r w:rsidR="00AB2085">
          <w:rPr>
            <w:noProof/>
            <w:webHidden/>
          </w:rPr>
          <w:tab/>
        </w:r>
        <w:r w:rsidR="00AB2085">
          <w:rPr>
            <w:noProof/>
            <w:webHidden/>
          </w:rPr>
          <w:fldChar w:fldCharType="begin"/>
        </w:r>
        <w:r w:rsidR="00AB2085">
          <w:rPr>
            <w:noProof/>
            <w:webHidden/>
          </w:rPr>
          <w:instrText xml:space="preserve"> PAGEREF _Toc163197438 \h </w:instrText>
        </w:r>
        <w:r w:rsidR="00AB2085">
          <w:rPr>
            <w:noProof/>
            <w:webHidden/>
          </w:rPr>
        </w:r>
        <w:r w:rsidR="00AB2085">
          <w:rPr>
            <w:noProof/>
            <w:webHidden/>
          </w:rPr>
          <w:fldChar w:fldCharType="separate"/>
        </w:r>
        <w:r w:rsidR="00BA25CD">
          <w:rPr>
            <w:noProof/>
            <w:webHidden/>
          </w:rPr>
          <w:t>28</w:t>
        </w:r>
        <w:r w:rsidR="00AB2085">
          <w:rPr>
            <w:noProof/>
            <w:webHidden/>
          </w:rPr>
          <w:fldChar w:fldCharType="end"/>
        </w:r>
      </w:hyperlink>
    </w:p>
    <w:p w14:paraId="213D7D14" w14:textId="2E5B2176" w:rsidR="00AB2085" w:rsidRDefault="00360BE3">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hyperlink w:anchor="_Toc163197439" w:history="1">
        <w:r w:rsidR="00AB2085" w:rsidRPr="00316894">
          <w:rPr>
            <w:rStyle w:val="Hiperpovezava"/>
            <w:noProof/>
            <w:lang w:val="sl-SI" w:eastAsia="en-GB"/>
          </w:rPr>
          <w:t>Tabela 4</w:t>
        </w:r>
        <w:r w:rsidR="00AB2085" w:rsidRPr="00316894">
          <w:rPr>
            <w:rStyle w:val="Hiperpovezava"/>
            <w:noProof/>
            <w:lang w:val="sl-SI" w:eastAsia="en-GB"/>
          </w:rPr>
          <w:noBreakHyphen/>
          <w:t>1: Število najdb z možnimi povezavami z drugimi varnostnimi vsebinami</w:t>
        </w:r>
        <w:r w:rsidR="00AB2085">
          <w:rPr>
            <w:noProof/>
            <w:webHidden/>
          </w:rPr>
          <w:tab/>
        </w:r>
        <w:r w:rsidR="00AB2085">
          <w:rPr>
            <w:noProof/>
            <w:webHidden/>
          </w:rPr>
          <w:fldChar w:fldCharType="begin"/>
        </w:r>
        <w:r w:rsidR="00AB2085">
          <w:rPr>
            <w:noProof/>
            <w:webHidden/>
          </w:rPr>
          <w:instrText xml:space="preserve"> PAGEREF _Toc163197439 \h </w:instrText>
        </w:r>
        <w:r w:rsidR="00AB2085">
          <w:rPr>
            <w:noProof/>
            <w:webHidden/>
          </w:rPr>
        </w:r>
        <w:r w:rsidR="00AB2085">
          <w:rPr>
            <w:noProof/>
            <w:webHidden/>
          </w:rPr>
          <w:fldChar w:fldCharType="separate"/>
        </w:r>
        <w:r w:rsidR="00BA25CD">
          <w:rPr>
            <w:noProof/>
            <w:webHidden/>
          </w:rPr>
          <w:t>30</w:t>
        </w:r>
        <w:r w:rsidR="00AB2085">
          <w:rPr>
            <w:noProof/>
            <w:webHidden/>
          </w:rPr>
          <w:fldChar w:fldCharType="end"/>
        </w:r>
      </w:hyperlink>
    </w:p>
    <w:p w14:paraId="4EF4312C" w14:textId="46FABDB7" w:rsidR="00AB2085" w:rsidRDefault="00360BE3">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hyperlink w:anchor="_Toc163197440" w:history="1">
        <w:r w:rsidR="00AB2085" w:rsidRPr="00316894">
          <w:rPr>
            <w:rStyle w:val="Hiperpovezava"/>
            <w:noProof/>
            <w:lang w:val="sl-SI" w:eastAsia="en-GB"/>
          </w:rPr>
          <w:t>Tabela 5</w:t>
        </w:r>
        <w:r w:rsidR="00AB2085" w:rsidRPr="00316894">
          <w:rPr>
            <w:rStyle w:val="Hiperpovezava"/>
            <w:noProof/>
            <w:lang w:val="sl-SI" w:eastAsia="en-GB"/>
          </w:rPr>
          <w:noBreakHyphen/>
          <w:t>1: Povzetek tveganja zaradi SFU (SFP) za vse kategorije začetnih dogodkov</w:t>
        </w:r>
        <w:r w:rsidR="00AB2085">
          <w:rPr>
            <w:noProof/>
            <w:webHidden/>
          </w:rPr>
          <w:tab/>
        </w:r>
        <w:r w:rsidR="00AB2085">
          <w:rPr>
            <w:noProof/>
            <w:webHidden/>
          </w:rPr>
          <w:fldChar w:fldCharType="begin"/>
        </w:r>
        <w:r w:rsidR="00AB2085">
          <w:rPr>
            <w:noProof/>
            <w:webHidden/>
          </w:rPr>
          <w:instrText xml:space="preserve"> PAGEREF _Toc163197440 \h </w:instrText>
        </w:r>
        <w:r w:rsidR="00AB2085">
          <w:rPr>
            <w:noProof/>
            <w:webHidden/>
          </w:rPr>
        </w:r>
        <w:r w:rsidR="00AB2085">
          <w:rPr>
            <w:noProof/>
            <w:webHidden/>
          </w:rPr>
          <w:fldChar w:fldCharType="separate"/>
        </w:r>
        <w:r w:rsidR="00BA25CD">
          <w:rPr>
            <w:noProof/>
            <w:webHidden/>
          </w:rPr>
          <w:t>40</w:t>
        </w:r>
        <w:r w:rsidR="00AB2085">
          <w:rPr>
            <w:noProof/>
            <w:webHidden/>
          </w:rPr>
          <w:fldChar w:fldCharType="end"/>
        </w:r>
      </w:hyperlink>
    </w:p>
    <w:p w14:paraId="090F34B6" w14:textId="4C8C0539" w:rsidR="00AB2085" w:rsidRDefault="00360BE3">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hyperlink w:anchor="_Toc163197441" w:history="1">
        <w:r w:rsidR="00AB2085" w:rsidRPr="00316894">
          <w:rPr>
            <w:rStyle w:val="Hiperpovezava"/>
            <w:noProof/>
            <w:lang w:val="sl-SI" w:eastAsia="en-GB"/>
          </w:rPr>
          <w:t>Tabela 5</w:t>
        </w:r>
        <w:r w:rsidR="00AB2085" w:rsidRPr="00316894">
          <w:rPr>
            <w:rStyle w:val="Hiperpovezava"/>
            <w:noProof/>
            <w:lang w:val="sl-SI" w:eastAsia="en-GB"/>
          </w:rPr>
          <w:noBreakHyphen/>
          <w:t>2: Povzetek razvrstitve vseh najdb zbranih iz tematskih poročil v kategorije primarnih atributov</w:t>
        </w:r>
        <w:r w:rsidR="00AB2085">
          <w:rPr>
            <w:noProof/>
            <w:webHidden/>
          </w:rPr>
          <w:tab/>
        </w:r>
        <w:r w:rsidR="00AB2085">
          <w:rPr>
            <w:noProof/>
            <w:webHidden/>
          </w:rPr>
          <w:fldChar w:fldCharType="begin"/>
        </w:r>
        <w:r w:rsidR="00AB2085">
          <w:rPr>
            <w:noProof/>
            <w:webHidden/>
          </w:rPr>
          <w:instrText xml:space="preserve"> PAGEREF _Toc163197441 \h </w:instrText>
        </w:r>
        <w:r w:rsidR="00AB2085">
          <w:rPr>
            <w:noProof/>
            <w:webHidden/>
          </w:rPr>
        </w:r>
        <w:r w:rsidR="00AB2085">
          <w:rPr>
            <w:noProof/>
            <w:webHidden/>
          </w:rPr>
          <w:fldChar w:fldCharType="separate"/>
        </w:r>
        <w:r w:rsidR="00BA25CD">
          <w:rPr>
            <w:noProof/>
            <w:webHidden/>
          </w:rPr>
          <w:t>41</w:t>
        </w:r>
        <w:r w:rsidR="00AB2085">
          <w:rPr>
            <w:noProof/>
            <w:webHidden/>
          </w:rPr>
          <w:fldChar w:fldCharType="end"/>
        </w:r>
      </w:hyperlink>
    </w:p>
    <w:p w14:paraId="2765E7C9" w14:textId="52C4D484" w:rsidR="00AB2085" w:rsidRDefault="00360BE3">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hyperlink w:anchor="_Toc163197442" w:history="1">
        <w:r w:rsidR="00AB2085" w:rsidRPr="00316894">
          <w:rPr>
            <w:rStyle w:val="Hiperpovezava"/>
            <w:noProof/>
            <w:lang w:val="sl-SI" w:eastAsia="en-GB"/>
          </w:rPr>
          <w:t>Tabela 5</w:t>
        </w:r>
        <w:r w:rsidR="00AB2085" w:rsidRPr="00316894">
          <w:rPr>
            <w:rStyle w:val="Hiperpovezava"/>
            <w:noProof/>
            <w:lang w:val="sl-SI" w:eastAsia="en-GB"/>
          </w:rPr>
          <w:noBreakHyphen/>
          <w:t>3: Profil rangiranih najdb glede na kategorije primarnih atributov</w:t>
        </w:r>
        <w:r w:rsidR="00AB2085">
          <w:rPr>
            <w:noProof/>
            <w:webHidden/>
          </w:rPr>
          <w:tab/>
        </w:r>
        <w:r w:rsidR="00AB2085">
          <w:rPr>
            <w:noProof/>
            <w:webHidden/>
          </w:rPr>
          <w:fldChar w:fldCharType="begin"/>
        </w:r>
        <w:r w:rsidR="00AB2085">
          <w:rPr>
            <w:noProof/>
            <w:webHidden/>
          </w:rPr>
          <w:instrText xml:space="preserve"> PAGEREF _Toc163197442 \h </w:instrText>
        </w:r>
        <w:r w:rsidR="00AB2085">
          <w:rPr>
            <w:noProof/>
            <w:webHidden/>
          </w:rPr>
        </w:r>
        <w:r w:rsidR="00AB2085">
          <w:rPr>
            <w:noProof/>
            <w:webHidden/>
          </w:rPr>
          <w:fldChar w:fldCharType="separate"/>
        </w:r>
        <w:r w:rsidR="00BA25CD">
          <w:rPr>
            <w:noProof/>
            <w:webHidden/>
          </w:rPr>
          <w:t>42</w:t>
        </w:r>
        <w:r w:rsidR="00AB2085">
          <w:rPr>
            <w:noProof/>
            <w:webHidden/>
          </w:rPr>
          <w:fldChar w:fldCharType="end"/>
        </w:r>
      </w:hyperlink>
    </w:p>
    <w:p w14:paraId="0B79D04E" w14:textId="45C3BC63" w:rsidR="00AB2085" w:rsidRDefault="00360BE3">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hyperlink w:anchor="_Toc163197443" w:history="1">
        <w:r w:rsidR="00AB2085" w:rsidRPr="00316894">
          <w:rPr>
            <w:rStyle w:val="Hiperpovezava"/>
            <w:noProof/>
            <w:lang w:val="sl-SI"/>
          </w:rPr>
          <w:t>Tabela 5</w:t>
        </w:r>
        <w:r w:rsidR="00AB2085" w:rsidRPr="00316894">
          <w:rPr>
            <w:rStyle w:val="Hiperpovezava"/>
            <w:noProof/>
            <w:lang w:val="sl-SI"/>
          </w:rPr>
          <w:noBreakHyphen/>
          <w:t>4: Statistika najdb določenih v PSR3 glede na načrt izvedbe ukrepov PSR3</w:t>
        </w:r>
        <w:r w:rsidR="00AB2085">
          <w:rPr>
            <w:noProof/>
            <w:webHidden/>
          </w:rPr>
          <w:tab/>
        </w:r>
        <w:r w:rsidR="00AB2085">
          <w:rPr>
            <w:noProof/>
            <w:webHidden/>
          </w:rPr>
          <w:fldChar w:fldCharType="begin"/>
        </w:r>
        <w:r w:rsidR="00AB2085">
          <w:rPr>
            <w:noProof/>
            <w:webHidden/>
          </w:rPr>
          <w:instrText xml:space="preserve"> PAGEREF _Toc163197443 \h </w:instrText>
        </w:r>
        <w:r w:rsidR="00AB2085">
          <w:rPr>
            <w:noProof/>
            <w:webHidden/>
          </w:rPr>
        </w:r>
        <w:r w:rsidR="00AB2085">
          <w:rPr>
            <w:noProof/>
            <w:webHidden/>
          </w:rPr>
          <w:fldChar w:fldCharType="separate"/>
        </w:r>
        <w:r w:rsidR="00BA25CD">
          <w:rPr>
            <w:noProof/>
            <w:webHidden/>
          </w:rPr>
          <w:t>47</w:t>
        </w:r>
        <w:r w:rsidR="00AB2085">
          <w:rPr>
            <w:noProof/>
            <w:webHidden/>
          </w:rPr>
          <w:fldChar w:fldCharType="end"/>
        </w:r>
      </w:hyperlink>
    </w:p>
    <w:p w14:paraId="5B390259" w14:textId="1A533AAB" w:rsidR="00AB2085" w:rsidRDefault="00360BE3">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hyperlink w:anchor="_Toc163197444" w:history="1">
        <w:r w:rsidR="00AB2085" w:rsidRPr="00316894">
          <w:rPr>
            <w:rStyle w:val="Hiperpovezava"/>
            <w:noProof/>
            <w:lang w:val="sl-SI"/>
          </w:rPr>
          <w:t>Tabela 5</w:t>
        </w:r>
        <w:r w:rsidR="00AB2085" w:rsidRPr="00316894">
          <w:rPr>
            <w:rStyle w:val="Hiperpovezava"/>
            <w:noProof/>
            <w:lang w:val="sl-SI"/>
          </w:rPr>
          <w:noBreakHyphen/>
          <w:t>5: Razporeditev najdb (korektivnih ukrepov) vključenih v IAP / CAP glede na časovni okvir za izvedbo</w:t>
        </w:r>
        <w:r w:rsidR="00AB2085">
          <w:rPr>
            <w:noProof/>
            <w:webHidden/>
          </w:rPr>
          <w:tab/>
        </w:r>
        <w:r w:rsidR="00AB2085">
          <w:rPr>
            <w:noProof/>
            <w:webHidden/>
          </w:rPr>
          <w:fldChar w:fldCharType="begin"/>
        </w:r>
        <w:r w:rsidR="00AB2085">
          <w:rPr>
            <w:noProof/>
            <w:webHidden/>
          </w:rPr>
          <w:instrText xml:space="preserve"> PAGEREF _Toc163197444 \h </w:instrText>
        </w:r>
        <w:r w:rsidR="00AB2085">
          <w:rPr>
            <w:noProof/>
            <w:webHidden/>
          </w:rPr>
        </w:r>
        <w:r w:rsidR="00AB2085">
          <w:rPr>
            <w:noProof/>
            <w:webHidden/>
          </w:rPr>
          <w:fldChar w:fldCharType="separate"/>
        </w:r>
        <w:r w:rsidR="00BA25CD">
          <w:rPr>
            <w:noProof/>
            <w:webHidden/>
          </w:rPr>
          <w:t>47</w:t>
        </w:r>
        <w:r w:rsidR="00AB2085">
          <w:rPr>
            <w:noProof/>
            <w:webHidden/>
          </w:rPr>
          <w:fldChar w:fldCharType="end"/>
        </w:r>
      </w:hyperlink>
    </w:p>
    <w:p w14:paraId="43EE62F6" w14:textId="351BEB25" w:rsidR="0070075F" w:rsidRPr="00275FBD" w:rsidRDefault="0070075F" w:rsidP="0063161C">
      <w:pPr>
        <w:tabs>
          <w:tab w:val="left" w:pos="1134"/>
          <w:tab w:val="right" w:leader="dot" w:pos="9072"/>
          <w:tab w:val="right" w:leader="dot" w:pos="9120"/>
        </w:tabs>
        <w:ind w:left="1134" w:right="992" w:hanging="1134"/>
        <w:jc w:val="left"/>
        <w:rPr>
          <w:szCs w:val="20"/>
          <w:lang w:val="sl-SI"/>
        </w:rPr>
      </w:pPr>
      <w:r w:rsidRPr="00275FBD">
        <w:rPr>
          <w:szCs w:val="20"/>
          <w:lang w:val="sl-SI"/>
        </w:rPr>
        <w:fldChar w:fldCharType="end"/>
      </w:r>
    </w:p>
    <w:p w14:paraId="05DD4253" w14:textId="0EB1578C" w:rsidR="00AB2085" w:rsidRDefault="00F47ACD">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r w:rsidRPr="00275FBD">
        <w:rPr>
          <w:szCs w:val="20"/>
          <w:lang w:val="sl-SI"/>
        </w:rPr>
        <w:fldChar w:fldCharType="begin"/>
      </w:r>
      <w:r w:rsidRPr="00275FBD">
        <w:rPr>
          <w:szCs w:val="20"/>
          <w:lang w:val="sl-SI"/>
        </w:rPr>
        <w:instrText xml:space="preserve"> TOC \h \z \c "Tabela A-" </w:instrText>
      </w:r>
      <w:r w:rsidRPr="00275FBD">
        <w:rPr>
          <w:szCs w:val="20"/>
          <w:lang w:val="sl-SI"/>
        </w:rPr>
        <w:fldChar w:fldCharType="separate"/>
      </w:r>
      <w:hyperlink w:anchor="_Toc163197445" w:history="1">
        <w:r w:rsidR="00AB2085" w:rsidRPr="00836D1A">
          <w:rPr>
            <w:rStyle w:val="Hiperpovezava"/>
            <w:noProof/>
            <w:lang w:val="sl-SI"/>
          </w:rPr>
          <w:t>Tabela A-1: Načrt izvedbe ukrepov z direktnim vnosom v CAP (Rang &gt; 3)</w:t>
        </w:r>
        <w:r w:rsidR="00AB2085">
          <w:rPr>
            <w:noProof/>
            <w:webHidden/>
          </w:rPr>
          <w:tab/>
        </w:r>
        <w:r w:rsidR="00AB2085">
          <w:rPr>
            <w:noProof/>
            <w:webHidden/>
          </w:rPr>
          <w:fldChar w:fldCharType="begin"/>
        </w:r>
        <w:r w:rsidR="00AB2085">
          <w:rPr>
            <w:noProof/>
            <w:webHidden/>
          </w:rPr>
          <w:instrText xml:space="preserve"> PAGEREF _Toc163197445 \h </w:instrText>
        </w:r>
        <w:r w:rsidR="00AB2085">
          <w:rPr>
            <w:noProof/>
            <w:webHidden/>
          </w:rPr>
        </w:r>
        <w:r w:rsidR="00AB2085">
          <w:rPr>
            <w:noProof/>
            <w:webHidden/>
          </w:rPr>
          <w:fldChar w:fldCharType="separate"/>
        </w:r>
        <w:r w:rsidR="00BA25CD">
          <w:rPr>
            <w:noProof/>
            <w:webHidden/>
          </w:rPr>
          <w:t>57</w:t>
        </w:r>
        <w:r w:rsidR="00AB2085">
          <w:rPr>
            <w:noProof/>
            <w:webHidden/>
          </w:rPr>
          <w:fldChar w:fldCharType="end"/>
        </w:r>
      </w:hyperlink>
    </w:p>
    <w:p w14:paraId="14461949" w14:textId="574FF694" w:rsidR="00AB2085" w:rsidRDefault="00360BE3">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hyperlink w:anchor="_Toc163197446" w:history="1">
        <w:r w:rsidR="00AB2085" w:rsidRPr="00836D1A">
          <w:rPr>
            <w:rStyle w:val="Hiperpovezava"/>
            <w:noProof/>
            <w:lang w:val="sl-SI"/>
          </w:rPr>
          <w:t>Tabela A-2: Seznam najdb z direktno zahtevano rešitvijo in direktnim vnosom v CAP</w:t>
        </w:r>
        <w:r w:rsidR="00AB2085">
          <w:rPr>
            <w:noProof/>
            <w:webHidden/>
          </w:rPr>
          <w:tab/>
        </w:r>
        <w:r w:rsidR="00AB2085">
          <w:rPr>
            <w:noProof/>
            <w:webHidden/>
          </w:rPr>
          <w:fldChar w:fldCharType="begin"/>
        </w:r>
        <w:r w:rsidR="00AB2085">
          <w:rPr>
            <w:noProof/>
            <w:webHidden/>
          </w:rPr>
          <w:instrText xml:space="preserve"> PAGEREF _Toc163197446 \h </w:instrText>
        </w:r>
        <w:r w:rsidR="00AB2085">
          <w:rPr>
            <w:noProof/>
            <w:webHidden/>
          </w:rPr>
        </w:r>
        <w:r w:rsidR="00AB2085">
          <w:rPr>
            <w:noProof/>
            <w:webHidden/>
          </w:rPr>
          <w:fldChar w:fldCharType="separate"/>
        </w:r>
        <w:r w:rsidR="00BA25CD">
          <w:rPr>
            <w:noProof/>
            <w:webHidden/>
          </w:rPr>
          <w:t>65</w:t>
        </w:r>
        <w:r w:rsidR="00AB2085">
          <w:rPr>
            <w:noProof/>
            <w:webHidden/>
          </w:rPr>
          <w:fldChar w:fldCharType="end"/>
        </w:r>
      </w:hyperlink>
    </w:p>
    <w:p w14:paraId="6044C2A9" w14:textId="4CC340A8" w:rsidR="00AB2085" w:rsidRDefault="00360BE3">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hyperlink w:anchor="_Toc163197447" w:history="1">
        <w:r w:rsidR="00AB2085" w:rsidRPr="00836D1A">
          <w:rPr>
            <w:rStyle w:val="Hiperpovezava"/>
            <w:noProof/>
            <w:lang w:val="sl-SI"/>
          </w:rPr>
          <w:t>Tabela A-3: Seznam najdb, ki so izvedljive z majhnim naporom - direkten vnos v CAP</w:t>
        </w:r>
        <w:r w:rsidR="00AB2085">
          <w:rPr>
            <w:noProof/>
            <w:webHidden/>
          </w:rPr>
          <w:tab/>
        </w:r>
        <w:r w:rsidR="00AB2085">
          <w:rPr>
            <w:noProof/>
            <w:webHidden/>
          </w:rPr>
          <w:fldChar w:fldCharType="begin"/>
        </w:r>
        <w:r w:rsidR="00AB2085">
          <w:rPr>
            <w:noProof/>
            <w:webHidden/>
          </w:rPr>
          <w:instrText xml:space="preserve"> PAGEREF _Toc163197447 \h </w:instrText>
        </w:r>
        <w:r w:rsidR="00AB2085">
          <w:rPr>
            <w:noProof/>
            <w:webHidden/>
          </w:rPr>
        </w:r>
        <w:r w:rsidR="00AB2085">
          <w:rPr>
            <w:noProof/>
            <w:webHidden/>
          </w:rPr>
          <w:fldChar w:fldCharType="separate"/>
        </w:r>
        <w:r w:rsidR="00BA25CD">
          <w:rPr>
            <w:noProof/>
            <w:webHidden/>
          </w:rPr>
          <w:t>67</w:t>
        </w:r>
        <w:r w:rsidR="00AB2085">
          <w:rPr>
            <w:noProof/>
            <w:webHidden/>
          </w:rPr>
          <w:fldChar w:fldCharType="end"/>
        </w:r>
      </w:hyperlink>
    </w:p>
    <w:p w14:paraId="48ECAFA0" w14:textId="4B18EC08" w:rsidR="00AB2085" w:rsidRDefault="00360BE3">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hyperlink w:anchor="_Toc163197448" w:history="1">
        <w:r w:rsidR="00AB2085" w:rsidRPr="00836D1A">
          <w:rPr>
            <w:rStyle w:val="Hiperpovezava"/>
            <w:noProof/>
            <w:lang w:val="sl-SI"/>
          </w:rPr>
          <w:t>Tabela A-4: Seznam najdb za vključitev v IAP / CAP na podlagi praktičnih argumentov - URSJV</w:t>
        </w:r>
        <w:r w:rsidR="00AB2085">
          <w:rPr>
            <w:noProof/>
            <w:webHidden/>
          </w:rPr>
          <w:tab/>
        </w:r>
        <w:r w:rsidR="00AB2085">
          <w:rPr>
            <w:noProof/>
            <w:webHidden/>
          </w:rPr>
          <w:fldChar w:fldCharType="begin"/>
        </w:r>
        <w:r w:rsidR="00AB2085">
          <w:rPr>
            <w:noProof/>
            <w:webHidden/>
          </w:rPr>
          <w:instrText xml:space="preserve"> PAGEREF _Toc163197448 \h </w:instrText>
        </w:r>
        <w:r w:rsidR="00AB2085">
          <w:rPr>
            <w:noProof/>
            <w:webHidden/>
          </w:rPr>
        </w:r>
        <w:r w:rsidR="00AB2085">
          <w:rPr>
            <w:noProof/>
            <w:webHidden/>
          </w:rPr>
          <w:fldChar w:fldCharType="separate"/>
        </w:r>
        <w:r w:rsidR="00BA25CD">
          <w:rPr>
            <w:noProof/>
            <w:webHidden/>
          </w:rPr>
          <w:t>71</w:t>
        </w:r>
        <w:r w:rsidR="00AB2085">
          <w:rPr>
            <w:noProof/>
            <w:webHidden/>
          </w:rPr>
          <w:fldChar w:fldCharType="end"/>
        </w:r>
      </w:hyperlink>
    </w:p>
    <w:p w14:paraId="3B1A6BFC" w14:textId="78E6F5E1" w:rsidR="00AB2085" w:rsidRDefault="00360BE3">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hyperlink w:anchor="_Toc163197449" w:history="1">
        <w:r w:rsidR="00AB2085" w:rsidRPr="00836D1A">
          <w:rPr>
            <w:rStyle w:val="Hiperpovezava"/>
            <w:noProof/>
            <w:lang w:val="sl-SI"/>
          </w:rPr>
          <w:t>Tabela A-5: Seznam najdb za vključitev v IAP / CAP na podlagi praktičnih argumentov – pooblaščena organizacija (AI)</w:t>
        </w:r>
        <w:r w:rsidR="00AB2085">
          <w:rPr>
            <w:noProof/>
            <w:webHidden/>
          </w:rPr>
          <w:tab/>
        </w:r>
        <w:r w:rsidR="00AB2085">
          <w:rPr>
            <w:noProof/>
            <w:webHidden/>
          </w:rPr>
          <w:fldChar w:fldCharType="begin"/>
        </w:r>
        <w:r w:rsidR="00AB2085">
          <w:rPr>
            <w:noProof/>
            <w:webHidden/>
          </w:rPr>
          <w:instrText xml:space="preserve"> PAGEREF _Toc163197449 \h </w:instrText>
        </w:r>
        <w:r w:rsidR="00AB2085">
          <w:rPr>
            <w:noProof/>
            <w:webHidden/>
          </w:rPr>
        </w:r>
        <w:r w:rsidR="00AB2085">
          <w:rPr>
            <w:noProof/>
            <w:webHidden/>
          </w:rPr>
          <w:fldChar w:fldCharType="separate"/>
        </w:r>
        <w:r w:rsidR="00BA25CD">
          <w:rPr>
            <w:noProof/>
            <w:webHidden/>
          </w:rPr>
          <w:t>86</w:t>
        </w:r>
        <w:r w:rsidR="00AB2085">
          <w:rPr>
            <w:noProof/>
            <w:webHidden/>
          </w:rPr>
          <w:fldChar w:fldCharType="end"/>
        </w:r>
      </w:hyperlink>
    </w:p>
    <w:p w14:paraId="4F65F4D7" w14:textId="7FAD7ABC" w:rsidR="0070075F" w:rsidRPr="00275FBD" w:rsidRDefault="00F47ACD" w:rsidP="0063161C">
      <w:pPr>
        <w:tabs>
          <w:tab w:val="left" w:pos="1134"/>
          <w:tab w:val="right" w:leader="dot" w:pos="9072"/>
          <w:tab w:val="right" w:leader="dot" w:pos="9120"/>
        </w:tabs>
        <w:ind w:left="1134" w:right="992" w:hanging="1134"/>
        <w:jc w:val="left"/>
        <w:rPr>
          <w:szCs w:val="20"/>
          <w:lang w:val="sl-SI"/>
        </w:rPr>
      </w:pPr>
      <w:r w:rsidRPr="00275FBD">
        <w:rPr>
          <w:szCs w:val="20"/>
          <w:lang w:val="sl-SI"/>
        </w:rPr>
        <w:fldChar w:fldCharType="end"/>
      </w:r>
    </w:p>
    <w:p w14:paraId="1C641B97" w14:textId="5886C024" w:rsidR="00B20165" w:rsidRPr="00275FBD" w:rsidRDefault="00B20165">
      <w:pPr>
        <w:spacing w:before="0" w:after="0"/>
        <w:jc w:val="left"/>
        <w:rPr>
          <w:szCs w:val="20"/>
          <w:lang w:val="sl-SI"/>
        </w:rPr>
      </w:pPr>
      <w:r w:rsidRPr="00275FBD">
        <w:rPr>
          <w:szCs w:val="20"/>
          <w:lang w:val="sl-SI"/>
        </w:rPr>
        <w:br w:type="page"/>
      </w:r>
    </w:p>
    <w:p w14:paraId="0B3D1421" w14:textId="5508610D" w:rsidR="0090007D" w:rsidRPr="00275FBD" w:rsidRDefault="00860B26" w:rsidP="00EB4666">
      <w:pPr>
        <w:pStyle w:val="Naslov"/>
        <w:rPr>
          <w:lang w:val="sl-SI"/>
        </w:rPr>
      </w:pPr>
      <w:bookmarkStart w:id="12" w:name="_Toc163197412"/>
      <w:r w:rsidRPr="00275FBD">
        <w:rPr>
          <w:lang w:val="sl-SI"/>
        </w:rPr>
        <w:lastRenderedPageBreak/>
        <w:t>SEZNAM SLIK</w:t>
      </w:r>
      <w:bookmarkEnd w:id="12"/>
    </w:p>
    <w:p w14:paraId="6CD221DA" w14:textId="656B99B4" w:rsidR="0090007D" w:rsidRPr="00275FBD" w:rsidRDefault="0090007D" w:rsidP="0063161C">
      <w:pPr>
        <w:pStyle w:val="Kazaloslik"/>
        <w:tabs>
          <w:tab w:val="right" w:leader="dot" w:pos="9072"/>
        </w:tabs>
        <w:ind w:left="1418" w:right="1134" w:hanging="1418"/>
        <w:rPr>
          <w:szCs w:val="20"/>
          <w:lang w:val="sl-SI"/>
        </w:rPr>
      </w:pPr>
    </w:p>
    <w:p w14:paraId="1D043872" w14:textId="2437968F" w:rsidR="00AB2085" w:rsidRDefault="0070075F">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r w:rsidRPr="00275FBD">
        <w:rPr>
          <w:lang w:val="sl-SI"/>
        </w:rPr>
        <w:fldChar w:fldCharType="begin"/>
      </w:r>
      <w:r w:rsidRPr="00275FBD">
        <w:rPr>
          <w:lang w:val="sl-SI"/>
        </w:rPr>
        <w:instrText xml:space="preserve"> TOC \h \z \c "Slika" </w:instrText>
      </w:r>
      <w:r w:rsidRPr="00275FBD">
        <w:rPr>
          <w:lang w:val="sl-SI"/>
        </w:rPr>
        <w:fldChar w:fldCharType="separate"/>
      </w:r>
      <w:hyperlink w:anchor="_Toc163197450" w:history="1">
        <w:r w:rsidR="00AB2085" w:rsidRPr="0030041B">
          <w:rPr>
            <w:rStyle w:val="Hiperpovezava"/>
            <w:noProof/>
            <w:lang w:val="sl-SI"/>
          </w:rPr>
          <w:t>Slika 2</w:t>
        </w:r>
        <w:r w:rsidR="00AB2085" w:rsidRPr="0030041B">
          <w:rPr>
            <w:rStyle w:val="Hiperpovezava"/>
            <w:noProof/>
            <w:lang w:val="sl-SI"/>
          </w:rPr>
          <w:noBreakHyphen/>
          <w:t>1: Postopek ocenjevanja posamezne varnostne vsebine</w:t>
        </w:r>
        <w:r w:rsidR="00AB2085">
          <w:rPr>
            <w:noProof/>
            <w:webHidden/>
          </w:rPr>
          <w:tab/>
        </w:r>
        <w:r w:rsidR="00AB2085">
          <w:rPr>
            <w:noProof/>
            <w:webHidden/>
          </w:rPr>
          <w:fldChar w:fldCharType="begin"/>
        </w:r>
        <w:r w:rsidR="00AB2085">
          <w:rPr>
            <w:noProof/>
            <w:webHidden/>
          </w:rPr>
          <w:instrText xml:space="preserve"> PAGEREF _Toc163197450 \h </w:instrText>
        </w:r>
        <w:r w:rsidR="00AB2085">
          <w:rPr>
            <w:noProof/>
            <w:webHidden/>
          </w:rPr>
        </w:r>
        <w:r w:rsidR="00AB2085">
          <w:rPr>
            <w:noProof/>
            <w:webHidden/>
          </w:rPr>
          <w:fldChar w:fldCharType="separate"/>
        </w:r>
        <w:r w:rsidR="00BA25CD">
          <w:rPr>
            <w:noProof/>
            <w:webHidden/>
          </w:rPr>
          <w:t>19</w:t>
        </w:r>
        <w:r w:rsidR="00AB2085">
          <w:rPr>
            <w:noProof/>
            <w:webHidden/>
          </w:rPr>
          <w:fldChar w:fldCharType="end"/>
        </w:r>
      </w:hyperlink>
    </w:p>
    <w:p w14:paraId="45F62490" w14:textId="6FA89245" w:rsidR="00AB2085" w:rsidRDefault="00360BE3">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hyperlink w:anchor="_Toc163197451" w:history="1">
        <w:r w:rsidR="00AB2085" w:rsidRPr="0030041B">
          <w:rPr>
            <w:rStyle w:val="Hiperpovezava"/>
            <w:noProof/>
            <w:lang w:val="sl-SI"/>
          </w:rPr>
          <w:t>Slika 2</w:t>
        </w:r>
        <w:r w:rsidR="00AB2085" w:rsidRPr="0030041B">
          <w:rPr>
            <w:rStyle w:val="Hiperpovezava"/>
            <w:noProof/>
            <w:lang w:val="sl-SI"/>
          </w:rPr>
          <w:noBreakHyphen/>
          <w:t>2: Splošni diagram procesa, prvi del – razvrstitev najdb</w:t>
        </w:r>
        <w:r w:rsidR="00AB2085">
          <w:rPr>
            <w:noProof/>
            <w:webHidden/>
          </w:rPr>
          <w:tab/>
        </w:r>
        <w:r w:rsidR="00AB2085">
          <w:rPr>
            <w:noProof/>
            <w:webHidden/>
          </w:rPr>
          <w:fldChar w:fldCharType="begin"/>
        </w:r>
        <w:r w:rsidR="00AB2085">
          <w:rPr>
            <w:noProof/>
            <w:webHidden/>
          </w:rPr>
          <w:instrText xml:space="preserve"> PAGEREF _Toc163197451 \h </w:instrText>
        </w:r>
        <w:r w:rsidR="00AB2085">
          <w:rPr>
            <w:noProof/>
            <w:webHidden/>
          </w:rPr>
        </w:r>
        <w:r w:rsidR="00AB2085">
          <w:rPr>
            <w:noProof/>
            <w:webHidden/>
          </w:rPr>
          <w:fldChar w:fldCharType="separate"/>
        </w:r>
        <w:r w:rsidR="00BA25CD">
          <w:rPr>
            <w:noProof/>
            <w:webHidden/>
          </w:rPr>
          <w:t>23</w:t>
        </w:r>
        <w:r w:rsidR="00AB2085">
          <w:rPr>
            <w:noProof/>
            <w:webHidden/>
          </w:rPr>
          <w:fldChar w:fldCharType="end"/>
        </w:r>
      </w:hyperlink>
    </w:p>
    <w:p w14:paraId="0EE5762B" w14:textId="739B28AD" w:rsidR="00AB2085" w:rsidRDefault="00360BE3">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hyperlink w:anchor="_Toc163197452" w:history="1">
        <w:r w:rsidR="00AB2085" w:rsidRPr="0030041B">
          <w:rPr>
            <w:rStyle w:val="Hiperpovezava"/>
            <w:noProof/>
            <w:lang w:val="sl-SI"/>
          </w:rPr>
          <w:t>Slika 2</w:t>
        </w:r>
        <w:r w:rsidR="00AB2085" w:rsidRPr="0030041B">
          <w:rPr>
            <w:rStyle w:val="Hiperpovezava"/>
            <w:noProof/>
            <w:lang w:val="sl-SI"/>
          </w:rPr>
          <w:noBreakHyphen/>
          <w:t>3: Splošni diagram procesa, drugi del – določanje prednostnih korektivnih ukrepov</w:t>
        </w:r>
        <w:r w:rsidR="00AB2085">
          <w:rPr>
            <w:noProof/>
            <w:webHidden/>
          </w:rPr>
          <w:tab/>
        </w:r>
        <w:r w:rsidR="00AB2085">
          <w:rPr>
            <w:noProof/>
            <w:webHidden/>
          </w:rPr>
          <w:fldChar w:fldCharType="begin"/>
        </w:r>
        <w:r w:rsidR="00AB2085">
          <w:rPr>
            <w:noProof/>
            <w:webHidden/>
          </w:rPr>
          <w:instrText xml:space="preserve"> PAGEREF _Toc163197452 \h </w:instrText>
        </w:r>
        <w:r w:rsidR="00AB2085">
          <w:rPr>
            <w:noProof/>
            <w:webHidden/>
          </w:rPr>
        </w:r>
        <w:r w:rsidR="00AB2085">
          <w:rPr>
            <w:noProof/>
            <w:webHidden/>
          </w:rPr>
          <w:fldChar w:fldCharType="separate"/>
        </w:r>
        <w:r w:rsidR="00BA25CD">
          <w:rPr>
            <w:noProof/>
            <w:webHidden/>
          </w:rPr>
          <w:t>24</w:t>
        </w:r>
        <w:r w:rsidR="00AB2085">
          <w:rPr>
            <w:noProof/>
            <w:webHidden/>
          </w:rPr>
          <w:fldChar w:fldCharType="end"/>
        </w:r>
      </w:hyperlink>
    </w:p>
    <w:p w14:paraId="13F2F889" w14:textId="64689755" w:rsidR="00AB2085" w:rsidRDefault="00360BE3">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hyperlink w:anchor="_Toc163197453" w:history="1">
        <w:r w:rsidR="00AB2085" w:rsidRPr="0030041B">
          <w:rPr>
            <w:rStyle w:val="Hiperpovezava"/>
            <w:noProof/>
            <w:lang w:val="sl-SI" w:eastAsia="en-GB"/>
          </w:rPr>
          <w:t>Slika 2</w:t>
        </w:r>
        <w:r w:rsidR="00AB2085" w:rsidRPr="0030041B">
          <w:rPr>
            <w:rStyle w:val="Hiperpovezava"/>
            <w:noProof/>
            <w:lang w:val="sl-SI" w:eastAsia="en-GB"/>
          </w:rPr>
          <w:noBreakHyphen/>
          <w:t>4: Proces ocene rezultatov faze pregleda v kontekstu glavnih korakov PSR3</w:t>
        </w:r>
        <w:r w:rsidR="00AB2085">
          <w:rPr>
            <w:noProof/>
            <w:webHidden/>
          </w:rPr>
          <w:tab/>
        </w:r>
        <w:r w:rsidR="00AB2085">
          <w:rPr>
            <w:noProof/>
            <w:webHidden/>
          </w:rPr>
          <w:fldChar w:fldCharType="begin"/>
        </w:r>
        <w:r w:rsidR="00AB2085">
          <w:rPr>
            <w:noProof/>
            <w:webHidden/>
          </w:rPr>
          <w:instrText xml:space="preserve"> PAGEREF _Toc163197453 \h </w:instrText>
        </w:r>
        <w:r w:rsidR="00AB2085">
          <w:rPr>
            <w:noProof/>
            <w:webHidden/>
          </w:rPr>
        </w:r>
        <w:r w:rsidR="00AB2085">
          <w:rPr>
            <w:noProof/>
            <w:webHidden/>
          </w:rPr>
          <w:fldChar w:fldCharType="separate"/>
        </w:r>
        <w:r w:rsidR="00BA25CD">
          <w:rPr>
            <w:noProof/>
            <w:webHidden/>
          </w:rPr>
          <w:t>26</w:t>
        </w:r>
        <w:r w:rsidR="00AB2085">
          <w:rPr>
            <w:noProof/>
            <w:webHidden/>
          </w:rPr>
          <w:fldChar w:fldCharType="end"/>
        </w:r>
      </w:hyperlink>
    </w:p>
    <w:p w14:paraId="6B3559FD" w14:textId="7A64E291" w:rsidR="00AB2085" w:rsidRDefault="00360BE3">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hyperlink w:anchor="_Toc163197454" w:history="1">
        <w:r w:rsidR="00AB2085" w:rsidRPr="0030041B">
          <w:rPr>
            <w:rStyle w:val="Hiperpovezava"/>
            <w:noProof/>
            <w:lang w:val="sl-SI"/>
          </w:rPr>
          <w:t>Slika 5</w:t>
        </w:r>
        <w:r w:rsidR="00AB2085" w:rsidRPr="0030041B">
          <w:rPr>
            <w:rStyle w:val="Hiperpovezava"/>
            <w:noProof/>
            <w:lang w:val="sl-SI"/>
          </w:rPr>
          <w:noBreakHyphen/>
          <w:t>1: Koncept štetja obrambnih linij</w:t>
        </w:r>
        <w:r w:rsidR="00AB2085">
          <w:rPr>
            <w:noProof/>
            <w:webHidden/>
          </w:rPr>
          <w:tab/>
        </w:r>
        <w:r w:rsidR="00AB2085">
          <w:rPr>
            <w:noProof/>
            <w:webHidden/>
          </w:rPr>
          <w:fldChar w:fldCharType="begin"/>
        </w:r>
        <w:r w:rsidR="00AB2085">
          <w:rPr>
            <w:noProof/>
            <w:webHidden/>
          </w:rPr>
          <w:instrText xml:space="preserve"> PAGEREF _Toc163197454 \h </w:instrText>
        </w:r>
        <w:r w:rsidR="00AB2085">
          <w:rPr>
            <w:noProof/>
            <w:webHidden/>
          </w:rPr>
        </w:r>
        <w:r w:rsidR="00AB2085">
          <w:rPr>
            <w:noProof/>
            <w:webHidden/>
          </w:rPr>
          <w:fldChar w:fldCharType="separate"/>
        </w:r>
        <w:r w:rsidR="00BA25CD">
          <w:rPr>
            <w:noProof/>
            <w:webHidden/>
          </w:rPr>
          <w:t>34</w:t>
        </w:r>
        <w:r w:rsidR="00AB2085">
          <w:rPr>
            <w:noProof/>
            <w:webHidden/>
          </w:rPr>
          <w:fldChar w:fldCharType="end"/>
        </w:r>
      </w:hyperlink>
    </w:p>
    <w:p w14:paraId="78CA1DEB" w14:textId="506EEDCC" w:rsidR="00AB2085" w:rsidRDefault="00360BE3">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hyperlink w:anchor="_Toc163197455" w:history="1">
        <w:r w:rsidR="00AB2085" w:rsidRPr="0030041B">
          <w:rPr>
            <w:rStyle w:val="Hiperpovezava"/>
            <w:noProof/>
            <w:lang w:val="sl-SI"/>
          </w:rPr>
          <w:t>Slika 5</w:t>
        </w:r>
        <w:r w:rsidR="00AB2085" w:rsidRPr="0030041B">
          <w:rPr>
            <w:rStyle w:val="Hiperpovezava"/>
            <w:noProof/>
            <w:lang w:val="sl-SI"/>
          </w:rPr>
          <w:noBreakHyphen/>
          <w:t>2: Skupno nominalno stanje globine obrambe</w:t>
        </w:r>
        <w:r w:rsidR="00AB2085">
          <w:rPr>
            <w:noProof/>
            <w:webHidden/>
          </w:rPr>
          <w:tab/>
        </w:r>
        <w:r w:rsidR="00AB2085">
          <w:rPr>
            <w:noProof/>
            <w:webHidden/>
          </w:rPr>
          <w:fldChar w:fldCharType="begin"/>
        </w:r>
        <w:r w:rsidR="00AB2085">
          <w:rPr>
            <w:noProof/>
            <w:webHidden/>
          </w:rPr>
          <w:instrText xml:space="preserve"> PAGEREF _Toc163197455 \h </w:instrText>
        </w:r>
        <w:r w:rsidR="00AB2085">
          <w:rPr>
            <w:noProof/>
            <w:webHidden/>
          </w:rPr>
        </w:r>
        <w:r w:rsidR="00AB2085">
          <w:rPr>
            <w:noProof/>
            <w:webHidden/>
          </w:rPr>
          <w:fldChar w:fldCharType="separate"/>
        </w:r>
        <w:r w:rsidR="00BA25CD">
          <w:rPr>
            <w:noProof/>
            <w:webHidden/>
          </w:rPr>
          <w:t>36</w:t>
        </w:r>
        <w:r w:rsidR="00AB2085">
          <w:rPr>
            <w:noProof/>
            <w:webHidden/>
          </w:rPr>
          <w:fldChar w:fldCharType="end"/>
        </w:r>
      </w:hyperlink>
    </w:p>
    <w:p w14:paraId="7CEAA67F" w14:textId="4CB33B63" w:rsidR="00AB2085" w:rsidRDefault="00360BE3">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hyperlink w:anchor="_Toc163197456" w:history="1">
        <w:r w:rsidR="00AB2085" w:rsidRPr="0030041B">
          <w:rPr>
            <w:rStyle w:val="Hiperpovezava"/>
            <w:rFonts w:cs="TimesNewRomanPSMT"/>
            <w:noProof/>
            <w:lang w:val="sl-SI" w:eastAsia="en-GB"/>
          </w:rPr>
          <w:t>Slika 5</w:t>
        </w:r>
        <w:r w:rsidR="00AB2085" w:rsidRPr="0030041B">
          <w:rPr>
            <w:rStyle w:val="Hiperpovezava"/>
            <w:rFonts w:cs="TimesNewRomanPSMT"/>
            <w:noProof/>
            <w:lang w:val="sl-SI" w:eastAsia="en-GB"/>
          </w:rPr>
          <w:noBreakHyphen/>
          <w:t>3: Skupni CDF (na leto) – PSR3 v primerjavi s PSR2 (vsi načini obratovanja)</w:t>
        </w:r>
        <w:r w:rsidR="00AB2085">
          <w:rPr>
            <w:noProof/>
            <w:webHidden/>
          </w:rPr>
          <w:tab/>
        </w:r>
        <w:r w:rsidR="00AB2085">
          <w:rPr>
            <w:noProof/>
            <w:webHidden/>
          </w:rPr>
          <w:fldChar w:fldCharType="begin"/>
        </w:r>
        <w:r w:rsidR="00AB2085">
          <w:rPr>
            <w:noProof/>
            <w:webHidden/>
          </w:rPr>
          <w:instrText xml:space="preserve"> PAGEREF _Toc163197456 \h </w:instrText>
        </w:r>
        <w:r w:rsidR="00AB2085">
          <w:rPr>
            <w:noProof/>
            <w:webHidden/>
          </w:rPr>
        </w:r>
        <w:r w:rsidR="00AB2085">
          <w:rPr>
            <w:noProof/>
            <w:webHidden/>
          </w:rPr>
          <w:fldChar w:fldCharType="separate"/>
        </w:r>
        <w:r w:rsidR="00BA25CD">
          <w:rPr>
            <w:noProof/>
            <w:webHidden/>
          </w:rPr>
          <w:t>38</w:t>
        </w:r>
        <w:r w:rsidR="00AB2085">
          <w:rPr>
            <w:noProof/>
            <w:webHidden/>
          </w:rPr>
          <w:fldChar w:fldCharType="end"/>
        </w:r>
      </w:hyperlink>
    </w:p>
    <w:p w14:paraId="51024627" w14:textId="1FF57C97" w:rsidR="00AB2085" w:rsidRDefault="00360BE3">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hyperlink w:anchor="_Toc163197457" w:history="1">
        <w:r w:rsidR="00AB2085" w:rsidRPr="0030041B">
          <w:rPr>
            <w:rStyle w:val="Hiperpovezava"/>
            <w:rFonts w:cs="TimesNewRomanPSMT"/>
            <w:noProof/>
            <w:lang w:val="sl-SI" w:eastAsia="en-GB"/>
          </w:rPr>
          <w:t>Slika 5</w:t>
        </w:r>
        <w:r w:rsidR="00AB2085" w:rsidRPr="0030041B">
          <w:rPr>
            <w:rStyle w:val="Hiperpovezava"/>
            <w:rFonts w:cs="TimesNewRomanPSMT"/>
            <w:noProof/>
            <w:lang w:val="sl-SI" w:eastAsia="en-GB"/>
          </w:rPr>
          <w:noBreakHyphen/>
          <w:t>4: Skupni LERF (na leto) – PSR3 v primerjavi s PSR2 (vsi načini obratovanja)</w:t>
        </w:r>
        <w:r w:rsidR="00AB2085">
          <w:rPr>
            <w:noProof/>
            <w:webHidden/>
          </w:rPr>
          <w:tab/>
        </w:r>
        <w:r w:rsidR="00AB2085">
          <w:rPr>
            <w:noProof/>
            <w:webHidden/>
          </w:rPr>
          <w:fldChar w:fldCharType="begin"/>
        </w:r>
        <w:r w:rsidR="00AB2085">
          <w:rPr>
            <w:noProof/>
            <w:webHidden/>
          </w:rPr>
          <w:instrText xml:space="preserve"> PAGEREF _Toc163197457 \h </w:instrText>
        </w:r>
        <w:r w:rsidR="00AB2085">
          <w:rPr>
            <w:noProof/>
            <w:webHidden/>
          </w:rPr>
        </w:r>
        <w:r w:rsidR="00AB2085">
          <w:rPr>
            <w:noProof/>
            <w:webHidden/>
          </w:rPr>
          <w:fldChar w:fldCharType="separate"/>
        </w:r>
        <w:r w:rsidR="00BA25CD">
          <w:rPr>
            <w:noProof/>
            <w:webHidden/>
          </w:rPr>
          <w:t>39</w:t>
        </w:r>
        <w:r w:rsidR="00AB2085">
          <w:rPr>
            <w:noProof/>
            <w:webHidden/>
          </w:rPr>
          <w:fldChar w:fldCharType="end"/>
        </w:r>
      </w:hyperlink>
    </w:p>
    <w:p w14:paraId="5F4A3549" w14:textId="0DE80C19" w:rsidR="00AB2085" w:rsidRDefault="00360BE3">
      <w:pPr>
        <w:pStyle w:val="Kazaloslik"/>
        <w:tabs>
          <w:tab w:val="right" w:leader="dot" w:pos="9062"/>
        </w:tabs>
        <w:rPr>
          <w:rFonts w:asciiTheme="minorHAnsi" w:eastAsiaTheme="minorEastAsia" w:hAnsiTheme="minorHAnsi" w:cstheme="minorBidi"/>
          <w:noProof/>
          <w:kern w:val="2"/>
          <w:sz w:val="22"/>
          <w:szCs w:val="22"/>
          <w:lang w:eastAsia="en-GB"/>
          <w14:ligatures w14:val="standardContextual"/>
        </w:rPr>
      </w:pPr>
      <w:hyperlink w:anchor="_Toc163197458" w:history="1">
        <w:r w:rsidR="00AB2085" w:rsidRPr="0030041B">
          <w:rPr>
            <w:rStyle w:val="Hiperpovezava"/>
            <w:rFonts w:cs="TimesNewRomanPSMT"/>
            <w:noProof/>
            <w:lang w:val="sl-SI" w:eastAsia="en-GB"/>
          </w:rPr>
          <w:t>Slika 5</w:t>
        </w:r>
        <w:r w:rsidR="00AB2085" w:rsidRPr="0030041B">
          <w:rPr>
            <w:rStyle w:val="Hiperpovezava"/>
            <w:rFonts w:cs="TimesNewRomanPSMT"/>
            <w:noProof/>
            <w:lang w:val="sl-SI" w:eastAsia="en-GB"/>
          </w:rPr>
          <w:noBreakHyphen/>
          <w:t>5: Profil CDF na moči (na leto) glede na glavne kategorije izpustov radioaktivnosti – PSR3 v primerjavi s PSR2</w:t>
        </w:r>
        <w:r w:rsidR="00AB2085">
          <w:rPr>
            <w:noProof/>
            <w:webHidden/>
          </w:rPr>
          <w:tab/>
        </w:r>
        <w:r w:rsidR="00AB2085">
          <w:rPr>
            <w:noProof/>
            <w:webHidden/>
          </w:rPr>
          <w:fldChar w:fldCharType="begin"/>
        </w:r>
        <w:r w:rsidR="00AB2085">
          <w:rPr>
            <w:noProof/>
            <w:webHidden/>
          </w:rPr>
          <w:instrText xml:space="preserve"> PAGEREF _Toc163197458 \h </w:instrText>
        </w:r>
        <w:r w:rsidR="00AB2085">
          <w:rPr>
            <w:noProof/>
            <w:webHidden/>
          </w:rPr>
        </w:r>
        <w:r w:rsidR="00AB2085">
          <w:rPr>
            <w:noProof/>
            <w:webHidden/>
          </w:rPr>
          <w:fldChar w:fldCharType="separate"/>
        </w:r>
        <w:r w:rsidR="00BA25CD">
          <w:rPr>
            <w:noProof/>
            <w:webHidden/>
          </w:rPr>
          <w:t>39</w:t>
        </w:r>
        <w:r w:rsidR="00AB2085">
          <w:rPr>
            <w:noProof/>
            <w:webHidden/>
          </w:rPr>
          <w:fldChar w:fldCharType="end"/>
        </w:r>
      </w:hyperlink>
    </w:p>
    <w:p w14:paraId="0F46B820" w14:textId="3CEB19AC" w:rsidR="0070075F" w:rsidRPr="00275FBD" w:rsidRDefault="0070075F" w:rsidP="0070075F">
      <w:pPr>
        <w:rPr>
          <w:lang w:val="sl-SI"/>
        </w:rPr>
      </w:pPr>
      <w:r w:rsidRPr="00275FBD">
        <w:rPr>
          <w:lang w:val="sl-SI"/>
        </w:rPr>
        <w:fldChar w:fldCharType="end"/>
      </w:r>
    </w:p>
    <w:p w14:paraId="0761DE13" w14:textId="77777777" w:rsidR="0070075F" w:rsidRPr="00275FBD" w:rsidRDefault="0070075F" w:rsidP="0070075F">
      <w:pPr>
        <w:rPr>
          <w:lang w:val="sl-SI"/>
        </w:rPr>
      </w:pPr>
    </w:p>
    <w:p w14:paraId="6F37CE89" w14:textId="77777777" w:rsidR="0070075F" w:rsidRPr="00275FBD" w:rsidRDefault="0070075F" w:rsidP="0070075F">
      <w:pPr>
        <w:rPr>
          <w:lang w:val="sl-SI"/>
        </w:rPr>
      </w:pPr>
    </w:p>
    <w:p w14:paraId="5469A374" w14:textId="77777777" w:rsidR="0090007D" w:rsidRPr="00275FBD" w:rsidRDefault="00BF5371" w:rsidP="00722103">
      <w:pPr>
        <w:spacing w:before="0" w:after="0"/>
        <w:jc w:val="left"/>
        <w:rPr>
          <w:sz w:val="2"/>
          <w:szCs w:val="2"/>
          <w:lang w:val="sl-SI"/>
        </w:rPr>
      </w:pPr>
      <w:r w:rsidRPr="00275FBD">
        <w:rPr>
          <w:szCs w:val="20"/>
          <w:lang w:val="sl-SI"/>
        </w:rPr>
        <w:br w:type="page"/>
      </w:r>
    </w:p>
    <w:p w14:paraId="73B06B56" w14:textId="5A79F4C3" w:rsidR="001134E1" w:rsidRPr="00275FBD" w:rsidRDefault="00302466" w:rsidP="004C29DD">
      <w:pPr>
        <w:pStyle w:val="Naslov1"/>
        <w:rPr>
          <w:caps w:val="0"/>
          <w:lang w:val="sl-SI"/>
        </w:rPr>
      </w:pPr>
      <w:bookmarkStart w:id="13" w:name="_Toc163197413"/>
      <w:bookmarkEnd w:id="5"/>
      <w:bookmarkEnd w:id="6"/>
      <w:bookmarkEnd w:id="7"/>
      <w:bookmarkEnd w:id="8"/>
      <w:bookmarkEnd w:id="9"/>
      <w:bookmarkEnd w:id="10"/>
      <w:r w:rsidRPr="00275FBD">
        <w:rPr>
          <w:caps w:val="0"/>
          <w:lang w:val="sl-SI"/>
        </w:rPr>
        <w:lastRenderedPageBreak/>
        <w:t>Uvod</w:t>
      </w:r>
      <w:bookmarkEnd w:id="13"/>
    </w:p>
    <w:p w14:paraId="67C13213" w14:textId="1E8C0337" w:rsidR="00302466" w:rsidRPr="00275FBD" w:rsidRDefault="00302466" w:rsidP="00C933AE">
      <w:pPr>
        <w:rPr>
          <w:color w:val="000000" w:themeColor="text1"/>
          <w:lang w:val="sl-SI"/>
        </w:rPr>
      </w:pPr>
      <w:r w:rsidRPr="00275FBD">
        <w:rPr>
          <w:color w:val="000000" w:themeColor="text1"/>
          <w:lang w:val="sl-SI"/>
        </w:rPr>
        <w:t xml:space="preserve">Poročilo podaja povzetek opravljenega dela v okviru izvedbe tretjega občasnega varnostnega pregleda NEK in celovite presoje stanja elektrarne, kot je </w:t>
      </w:r>
      <w:r w:rsidR="00576961">
        <w:rPr>
          <w:color w:val="000000" w:themeColor="text1"/>
          <w:lang w:val="sl-SI"/>
        </w:rPr>
        <w:t>določ</w:t>
      </w:r>
      <w:r w:rsidR="00576961" w:rsidRPr="00275FBD">
        <w:rPr>
          <w:color w:val="000000" w:themeColor="text1"/>
          <w:lang w:val="sl-SI"/>
        </w:rPr>
        <w:t xml:space="preserve">eno </w:t>
      </w:r>
      <w:r w:rsidRPr="00275FBD">
        <w:rPr>
          <w:color w:val="000000" w:themeColor="text1"/>
          <w:lang w:val="sl-SI"/>
        </w:rPr>
        <w:t xml:space="preserve">v </w:t>
      </w:r>
      <w:r w:rsidR="00866965" w:rsidRPr="00275FBD">
        <w:rPr>
          <w:color w:val="000000" w:themeColor="text1"/>
          <w:lang w:val="sl-SI"/>
        </w:rPr>
        <w:t>P</w:t>
      </w:r>
      <w:r w:rsidRPr="00275FBD">
        <w:rPr>
          <w:color w:val="000000" w:themeColor="text1"/>
          <w:lang w:val="sl-SI"/>
        </w:rPr>
        <w:t xml:space="preserve">rogramu NEK PSR3 </w:t>
      </w:r>
      <w:r w:rsidRPr="00275FBD">
        <w:rPr>
          <w:color w:val="000000" w:themeColor="text1"/>
          <w:lang w:val="sl-SI"/>
        </w:rPr>
        <w:fldChar w:fldCharType="begin"/>
      </w:r>
      <w:r w:rsidRPr="00275FBD">
        <w:rPr>
          <w:color w:val="000000" w:themeColor="text1"/>
          <w:lang w:val="sl-SI"/>
        </w:rPr>
        <w:instrText xml:space="preserve"> REF _Ref133222751 \r \h </w:instrText>
      </w:r>
      <w:r w:rsidRPr="00275FBD">
        <w:rPr>
          <w:color w:val="000000" w:themeColor="text1"/>
          <w:lang w:val="sl-SI"/>
        </w:rPr>
      </w:r>
      <w:r w:rsidRPr="00275FBD">
        <w:rPr>
          <w:color w:val="000000" w:themeColor="text1"/>
          <w:lang w:val="sl-SI"/>
        </w:rPr>
        <w:fldChar w:fldCharType="separate"/>
      </w:r>
      <w:r w:rsidR="00BA25CD">
        <w:rPr>
          <w:color w:val="000000" w:themeColor="text1"/>
          <w:lang w:val="sl-SI"/>
        </w:rPr>
        <w:t>[1]</w:t>
      </w:r>
      <w:r w:rsidRPr="00275FBD">
        <w:rPr>
          <w:color w:val="000000" w:themeColor="text1"/>
          <w:lang w:val="sl-SI"/>
        </w:rPr>
        <w:fldChar w:fldCharType="end"/>
      </w:r>
      <w:r w:rsidRPr="00275FBD">
        <w:rPr>
          <w:color w:val="000000" w:themeColor="text1"/>
          <w:lang w:val="sl-SI"/>
        </w:rPr>
        <w:t xml:space="preserve"> </w:t>
      </w:r>
      <w:r w:rsidR="001546B6" w:rsidRPr="00275FBD">
        <w:rPr>
          <w:color w:val="000000" w:themeColor="text1"/>
          <w:lang w:val="sl-SI"/>
        </w:rPr>
        <w:t>in</w:t>
      </w:r>
      <w:r w:rsidRPr="00275FBD">
        <w:rPr>
          <w:color w:val="000000" w:themeColor="text1"/>
          <w:lang w:val="sl-SI"/>
        </w:rPr>
        <w:t xml:space="preserve"> NEK SP-ES-1404 </w:t>
      </w:r>
      <w:r w:rsidRPr="00275FBD">
        <w:rPr>
          <w:color w:val="000000" w:themeColor="text1"/>
          <w:lang w:val="sl-SI"/>
        </w:rPr>
        <w:fldChar w:fldCharType="begin"/>
      </w:r>
      <w:r w:rsidRPr="00275FBD">
        <w:rPr>
          <w:color w:val="000000" w:themeColor="text1"/>
          <w:lang w:val="sl-SI"/>
        </w:rPr>
        <w:instrText xml:space="preserve"> REF _Ref133224983 \r \h </w:instrText>
      </w:r>
      <w:r w:rsidRPr="00275FBD">
        <w:rPr>
          <w:color w:val="000000" w:themeColor="text1"/>
          <w:lang w:val="sl-SI"/>
        </w:rPr>
      </w:r>
      <w:r w:rsidRPr="00275FBD">
        <w:rPr>
          <w:color w:val="000000" w:themeColor="text1"/>
          <w:lang w:val="sl-SI"/>
        </w:rPr>
        <w:fldChar w:fldCharType="separate"/>
      </w:r>
      <w:r w:rsidR="00BA25CD">
        <w:rPr>
          <w:color w:val="000000" w:themeColor="text1"/>
          <w:lang w:val="sl-SI"/>
        </w:rPr>
        <w:t>[3]</w:t>
      </w:r>
      <w:r w:rsidRPr="00275FBD">
        <w:rPr>
          <w:color w:val="000000" w:themeColor="text1"/>
          <w:lang w:val="sl-SI"/>
        </w:rPr>
        <w:fldChar w:fldCharType="end"/>
      </w:r>
      <w:r w:rsidRPr="00275FBD">
        <w:rPr>
          <w:color w:val="000000" w:themeColor="text1"/>
          <w:lang w:val="sl-SI"/>
        </w:rPr>
        <w:t>. Poročilo je pripravljeno z namenom, da se predstavi bistvo same izvedbe pregledovalnega procesa in rezultat</w:t>
      </w:r>
      <w:r w:rsidR="008A39A3">
        <w:rPr>
          <w:color w:val="000000" w:themeColor="text1"/>
          <w:lang w:val="sl-SI"/>
        </w:rPr>
        <w:t>e</w:t>
      </w:r>
      <w:r w:rsidRPr="00275FBD">
        <w:rPr>
          <w:color w:val="000000" w:themeColor="text1"/>
          <w:lang w:val="sl-SI"/>
        </w:rPr>
        <w:t xml:space="preserve"> </w:t>
      </w:r>
      <w:r w:rsidR="001546B6" w:rsidRPr="00275FBD">
        <w:rPr>
          <w:color w:val="000000" w:themeColor="text1"/>
          <w:lang w:val="sl-SI"/>
        </w:rPr>
        <w:t>tretjega</w:t>
      </w:r>
      <w:r w:rsidRPr="00275FBD">
        <w:rPr>
          <w:color w:val="000000" w:themeColor="text1"/>
          <w:lang w:val="sl-SI"/>
        </w:rPr>
        <w:t xml:space="preserve"> občasnega varnostnega pregleda NEK ter vpliv</w:t>
      </w:r>
      <w:r w:rsidR="008A39A3">
        <w:rPr>
          <w:color w:val="000000" w:themeColor="text1"/>
          <w:lang w:val="sl-SI"/>
        </w:rPr>
        <w:t>e</w:t>
      </w:r>
      <w:r w:rsidRPr="00275FBD">
        <w:rPr>
          <w:color w:val="000000" w:themeColor="text1"/>
          <w:lang w:val="sl-SI"/>
        </w:rPr>
        <w:t xml:space="preserve"> predlaganih ukrepov na sevalno in jedrsko varnost objekta.</w:t>
      </w:r>
    </w:p>
    <w:p w14:paraId="2E0AF25B" w14:textId="77777777" w:rsidR="00302466" w:rsidRPr="00275FBD" w:rsidRDefault="00302466" w:rsidP="00C933AE">
      <w:pPr>
        <w:rPr>
          <w:lang w:val="sl-SI"/>
        </w:rPr>
      </w:pPr>
    </w:p>
    <w:p w14:paraId="3078F21A" w14:textId="09466809" w:rsidR="00573FD8" w:rsidRPr="00275FBD" w:rsidRDefault="00302466" w:rsidP="00573FD8">
      <w:pPr>
        <w:pStyle w:val="Naslov2"/>
        <w:rPr>
          <w:lang w:val="sl-SI"/>
        </w:rPr>
      </w:pPr>
      <w:bookmarkStart w:id="14" w:name="_Toc163197414"/>
      <w:r w:rsidRPr="00275FBD">
        <w:rPr>
          <w:lang w:val="sl-SI"/>
        </w:rPr>
        <w:t>Ozadje</w:t>
      </w:r>
      <w:bookmarkEnd w:id="14"/>
    </w:p>
    <w:p w14:paraId="3A8DE854" w14:textId="1F73A5BF" w:rsidR="00302466" w:rsidRPr="00275FBD" w:rsidRDefault="00302466" w:rsidP="00EA2B78">
      <w:pPr>
        <w:rPr>
          <w:lang w:val="sl-SI"/>
        </w:rPr>
      </w:pPr>
      <w:r w:rsidRPr="00275FBD">
        <w:rPr>
          <w:lang w:val="sl-SI"/>
        </w:rPr>
        <w:t xml:space="preserve">Občasni varnostni pregled je sistematična ponovna ocena varnosti elektrarne, ki je mednarodno prepoznana kot primarni način za pridobitev ocene kumulativnih učinkov staranja elektrarne, sprememb na objektu, vpliva obratovalnih izkušenj, tehničnega razvoja, vidika umeščanja v prostor in vseh drugih možnih vplivov na sevalno in jedrsko varnost. V trenutni, mednarodno sprejeti varnostni filozofiji je občasni varnostni pregled (PSR) obsežen pregled, </w:t>
      </w:r>
      <w:r w:rsidR="008A39A3">
        <w:rPr>
          <w:lang w:val="sl-SI"/>
        </w:rPr>
        <w:t>katerega</w:t>
      </w:r>
      <w:r w:rsidRPr="00275FBD">
        <w:rPr>
          <w:lang w:val="sl-SI"/>
        </w:rPr>
        <w:t xml:space="preserve"> cilj je preveritev varnosti obratovanja elektrarne glede na sedanje varnostne zahteve in prakso, ter preverjanje obstoja primernih načrtov za vzdrževanje sprejemljivega nivoja varnosti. Tovrsten pregled je dopolnilno orodje k stalnemu preverjanju varnosti.</w:t>
      </w:r>
    </w:p>
    <w:p w14:paraId="6A07EDEE" w14:textId="7A32116D" w:rsidR="00DD51A6" w:rsidRPr="00275FBD" w:rsidRDefault="00627285" w:rsidP="00EA2B78">
      <w:pPr>
        <w:rPr>
          <w:szCs w:val="20"/>
          <w:lang w:val="sl-SI" w:eastAsia="en-GB"/>
        </w:rPr>
      </w:pPr>
      <w:r>
        <w:rPr>
          <w:szCs w:val="20"/>
          <w:lang w:val="sl-SI" w:eastAsia="en-GB"/>
        </w:rPr>
        <w:t>NEK je izvedla</w:t>
      </w:r>
      <w:r w:rsidR="00DD51A6" w:rsidRPr="00275FBD">
        <w:rPr>
          <w:szCs w:val="20"/>
          <w:lang w:val="sl-SI" w:eastAsia="en-GB"/>
        </w:rPr>
        <w:t xml:space="preserve"> prvi PSR po približno dvajsetih letih obratovanja elektrarne, </w:t>
      </w:r>
      <w:r>
        <w:rPr>
          <w:szCs w:val="20"/>
          <w:lang w:val="sl-SI" w:eastAsia="en-GB"/>
        </w:rPr>
        <w:t>od</w:t>
      </w:r>
      <w:r w:rsidR="00DD51A6" w:rsidRPr="00275FBD">
        <w:rPr>
          <w:szCs w:val="20"/>
          <w:lang w:val="sl-SI" w:eastAsia="en-GB"/>
        </w:rPr>
        <w:t xml:space="preserve"> leta 2001</w:t>
      </w:r>
      <w:r>
        <w:rPr>
          <w:szCs w:val="20"/>
          <w:lang w:val="sl-SI" w:eastAsia="en-GB"/>
        </w:rPr>
        <w:t xml:space="preserve"> do leta 2005, ko je poročilo o PSR odobril URSJV</w:t>
      </w:r>
      <w:r w:rsidR="00DD51A6" w:rsidRPr="00275FBD">
        <w:rPr>
          <w:szCs w:val="20"/>
          <w:lang w:val="sl-SI" w:eastAsia="en-GB"/>
        </w:rPr>
        <w:t xml:space="preserve">. Drugi PSR je bil </w:t>
      </w:r>
      <w:r w:rsidR="001546B6" w:rsidRPr="00275FBD">
        <w:rPr>
          <w:szCs w:val="20"/>
          <w:lang w:val="sl-SI" w:eastAsia="en-GB"/>
        </w:rPr>
        <w:t xml:space="preserve">izveden 10 let pozneje in potrjen </w:t>
      </w:r>
      <w:r w:rsidR="00DD51A6" w:rsidRPr="00275FBD">
        <w:rPr>
          <w:szCs w:val="20"/>
          <w:lang w:val="sl-SI" w:eastAsia="en-GB"/>
        </w:rPr>
        <w:t xml:space="preserve">v </w:t>
      </w:r>
      <w:r w:rsidR="001546B6" w:rsidRPr="00275FBD">
        <w:rPr>
          <w:szCs w:val="20"/>
          <w:lang w:val="sl-SI" w:eastAsia="en-GB"/>
        </w:rPr>
        <w:t xml:space="preserve">letu </w:t>
      </w:r>
      <w:r w:rsidR="00DD51A6" w:rsidRPr="00275FBD">
        <w:rPr>
          <w:szCs w:val="20"/>
          <w:lang w:val="sl-SI" w:eastAsia="en-GB"/>
        </w:rPr>
        <w:t>2014</w:t>
      </w:r>
      <w:r>
        <w:rPr>
          <w:szCs w:val="20"/>
          <w:lang w:val="sl-SI" w:eastAsia="en-GB"/>
        </w:rPr>
        <w:t xml:space="preserve"> z odločbo URSJV</w:t>
      </w:r>
      <w:r w:rsidR="00DD51A6" w:rsidRPr="00275FBD">
        <w:rPr>
          <w:szCs w:val="20"/>
          <w:lang w:val="sl-SI" w:eastAsia="en-GB"/>
        </w:rPr>
        <w:t>. V okvir</w:t>
      </w:r>
      <w:r w:rsidR="001C64F8">
        <w:rPr>
          <w:szCs w:val="20"/>
          <w:lang w:val="sl-SI" w:eastAsia="en-GB"/>
        </w:rPr>
        <w:t>u</w:t>
      </w:r>
      <w:r w:rsidR="00DD51A6" w:rsidRPr="00275FBD">
        <w:rPr>
          <w:szCs w:val="20"/>
          <w:lang w:val="sl-SI" w:eastAsia="en-GB"/>
        </w:rPr>
        <w:t xml:space="preserve"> prvega in drugega PSR NEK je bil narejen izčrpen in dokumentiran pregled stanja elektrarne s stališča obratovanja in projekta.</w:t>
      </w:r>
    </w:p>
    <w:p w14:paraId="2049B59B" w14:textId="10301763" w:rsidR="00DD51A6" w:rsidRPr="00275FBD" w:rsidRDefault="00DD51A6" w:rsidP="00EA2B78">
      <w:pPr>
        <w:rPr>
          <w:szCs w:val="20"/>
          <w:lang w:val="sl-SI" w:eastAsia="en-GB"/>
        </w:rPr>
      </w:pPr>
      <w:r w:rsidRPr="00275FBD">
        <w:rPr>
          <w:szCs w:val="20"/>
          <w:lang w:val="sl-SI" w:eastAsia="en-GB"/>
        </w:rPr>
        <w:t xml:space="preserve">Pregled </w:t>
      </w:r>
      <w:r w:rsidR="00627285">
        <w:rPr>
          <w:szCs w:val="20"/>
          <w:lang w:val="sl-SI" w:eastAsia="en-GB"/>
        </w:rPr>
        <w:t xml:space="preserve">v tretjem PSR </w:t>
      </w:r>
      <w:r w:rsidRPr="00275FBD">
        <w:rPr>
          <w:szCs w:val="20"/>
          <w:lang w:val="sl-SI" w:eastAsia="en-GB"/>
        </w:rPr>
        <w:t>je potrdil, da je elektrarna tako varna</w:t>
      </w:r>
      <w:r w:rsidR="000D177A">
        <w:rPr>
          <w:szCs w:val="20"/>
          <w:lang w:val="sl-SI" w:eastAsia="en-GB"/>
        </w:rPr>
        <w:t>,</w:t>
      </w:r>
      <w:r w:rsidRPr="00275FBD">
        <w:rPr>
          <w:szCs w:val="20"/>
          <w:lang w:val="sl-SI" w:eastAsia="en-GB"/>
        </w:rPr>
        <w:t xml:space="preserve"> kot je bilo prvotno predvideno</w:t>
      </w:r>
      <w:r w:rsidR="000D177A">
        <w:rPr>
          <w:szCs w:val="20"/>
          <w:lang w:val="sl-SI" w:eastAsia="en-GB"/>
        </w:rPr>
        <w:t>,</w:t>
      </w:r>
      <w:r w:rsidRPr="00275FBD">
        <w:rPr>
          <w:szCs w:val="20"/>
          <w:lang w:val="sl-SI" w:eastAsia="en-GB"/>
        </w:rPr>
        <w:t xml:space="preserve"> in ni</w:t>
      </w:r>
      <w:r w:rsidR="001546B6" w:rsidRPr="00275FBD">
        <w:rPr>
          <w:szCs w:val="20"/>
          <w:lang w:val="sl-SI" w:eastAsia="en-GB"/>
        </w:rPr>
        <w:t>so</w:t>
      </w:r>
      <w:r w:rsidRPr="00275FBD">
        <w:rPr>
          <w:szCs w:val="20"/>
          <w:lang w:val="sl-SI" w:eastAsia="en-GB"/>
        </w:rPr>
        <w:t xml:space="preserve"> bil</w:t>
      </w:r>
      <w:r w:rsidR="001546B6" w:rsidRPr="00275FBD">
        <w:rPr>
          <w:szCs w:val="20"/>
          <w:lang w:val="sl-SI" w:eastAsia="en-GB"/>
        </w:rPr>
        <w:t>e</w:t>
      </w:r>
      <w:r w:rsidRPr="00275FBD">
        <w:rPr>
          <w:szCs w:val="20"/>
          <w:lang w:val="sl-SI" w:eastAsia="en-GB"/>
        </w:rPr>
        <w:t xml:space="preserve"> najden</w:t>
      </w:r>
      <w:r w:rsidR="001546B6" w:rsidRPr="00275FBD">
        <w:rPr>
          <w:szCs w:val="20"/>
          <w:lang w:val="sl-SI" w:eastAsia="en-GB"/>
        </w:rPr>
        <w:t>e</w:t>
      </w:r>
      <w:r w:rsidRPr="00275FBD">
        <w:rPr>
          <w:szCs w:val="20"/>
          <w:lang w:val="sl-SI" w:eastAsia="en-GB"/>
        </w:rPr>
        <w:t xml:space="preserve"> nobene strukture, sistem</w:t>
      </w:r>
      <w:r w:rsidR="001546B6" w:rsidRPr="00275FBD">
        <w:rPr>
          <w:szCs w:val="20"/>
          <w:lang w:val="sl-SI" w:eastAsia="en-GB"/>
        </w:rPr>
        <w:t>i</w:t>
      </w:r>
      <w:r w:rsidRPr="00275FBD">
        <w:rPr>
          <w:szCs w:val="20"/>
          <w:lang w:val="sl-SI" w:eastAsia="en-GB"/>
        </w:rPr>
        <w:t>, človeške dejavnosti ali administrativni proces</w:t>
      </w:r>
      <w:r w:rsidR="001546B6" w:rsidRPr="00275FBD">
        <w:rPr>
          <w:szCs w:val="20"/>
          <w:lang w:val="sl-SI" w:eastAsia="en-GB"/>
        </w:rPr>
        <w:t>i</w:t>
      </w:r>
      <w:r w:rsidRPr="00275FBD">
        <w:rPr>
          <w:szCs w:val="20"/>
          <w:lang w:val="sl-SI" w:eastAsia="en-GB"/>
        </w:rPr>
        <w:t xml:space="preserve">, ki bi </w:t>
      </w:r>
      <w:r w:rsidR="001546B6" w:rsidRPr="00275FBD">
        <w:rPr>
          <w:szCs w:val="20"/>
          <w:lang w:val="sl-SI" w:eastAsia="en-GB"/>
        </w:rPr>
        <w:t>negativno vplivali na</w:t>
      </w:r>
      <w:r w:rsidRPr="00275FBD">
        <w:rPr>
          <w:szCs w:val="20"/>
          <w:lang w:val="sl-SI" w:eastAsia="en-GB"/>
        </w:rPr>
        <w:t xml:space="preserve"> obratovalno dobo elektrarne v bližnji prihodnosti. Ta pregled </w:t>
      </w:r>
      <w:r w:rsidR="00645F6B" w:rsidRPr="00275FBD">
        <w:rPr>
          <w:szCs w:val="20"/>
          <w:lang w:val="sl-SI" w:eastAsia="en-GB"/>
        </w:rPr>
        <w:t>n</w:t>
      </w:r>
      <w:r w:rsidRPr="00275FBD">
        <w:rPr>
          <w:szCs w:val="20"/>
          <w:lang w:val="sl-SI" w:eastAsia="en-GB"/>
        </w:rPr>
        <w:t xml:space="preserve">i odkril nobenih večjih varnostnih tveganj. Kot rezultat tega dela je bil narejen načrt </w:t>
      </w:r>
      <w:r w:rsidR="00627285">
        <w:rPr>
          <w:szCs w:val="20"/>
          <w:lang w:val="sl-SI" w:eastAsia="en-GB"/>
        </w:rPr>
        <w:t>izvedbe</w:t>
      </w:r>
      <w:r w:rsidR="00627285" w:rsidRPr="00275FBD">
        <w:rPr>
          <w:szCs w:val="20"/>
          <w:lang w:val="sl-SI" w:eastAsia="en-GB"/>
        </w:rPr>
        <w:t xml:space="preserve"> </w:t>
      </w:r>
      <w:r w:rsidRPr="00275FBD">
        <w:rPr>
          <w:szCs w:val="20"/>
          <w:lang w:val="sl-SI" w:eastAsia="en-GB"/>
        </w:rPr>
        <w:t>ukrepov za najdbe</w:t>
      </w:r>
      <w:r w:rsidR="000D177A">
        <w:rPr>
          <w:szCs w:val="20"/>
          <w:lang w:val="sl-SI" w:eastAsia="en-GB"/>
        </w:rPr>
        <w:t>,</w:t>
      </w:r>
      <w:r w:rsidRPr="00275FBD">
        <w:rPr>
          <w:szCs w:val="20"/>
          <w:lang w:val="sl-SI" w:eastAsia="en-GB"/>
        </w:rPr>
        <w:t xml:space="preserve"> </w:t>
      </w:r>
      <w:r w:rsidR="00627285">
        <w:rPr>
          <w:szCs w:val="20"/>
          <w:lang w:val="sl-SI" w:eastAsia="en-GB"/>
        </w:rPr>
        <w:t>določe</w:t>
      </w:r>
      <w:r w:rsidR="00627285" w:rsidRPr="00275FBD">
        <w:rPr>
          <w:szCs w:val="20"/>
          <w:lang w:val="sl-SI" w:eastAsia="en-GB"/>
        </w:rPr>
        <w:t xml:space="preserve">ne </w:t>
      </w:r>
      <w:r w:rsidRPr="00275FBD">
        <w:rPr>
          <w:szCs w:val="20"/>
          <w:lang w:val="sl-SI" w:eastAsia="en-GB"/>
        </w:rPr>
        <w:t>pri pregledu</w:t>
      </w:r>
      <w:r w:rsidR="00627285">
        <w:rPr>
          <w:szCs w:val="20"/>
          <w:lang w:val="sl-SI" w:eastAsia="en-GB"/>
        </w:rPr>
        <w:t xml:space="preserve">. S celovito oceno varnosti </w:t>
      </w:r>
      <w:r w:rsidRPr="00275FBD">
        <w:rPr>
          <w:szCs w:val="20"/>
          <w:lang w:val="sl-SI" w:eastAsia="en-GB"/>
        </w:rPr>
        <w:t xml:space="preserve">je bilo </w:t>
      </w:r>
      <w:r w:rsidR="00627285">
        <w:rPr>
          <w:szCs w:val="20"/>
          <w:lang w:val="sl-SI" w:eastAsia="en-GB"/>
        </w:rPr>
        <w:t>potr</w:t>
      </w:r>
      <w:r w:rsidR="00627285" w:rsidRPr="00275FBD">
        <w:rPr>
          <w:szCs w:val="20"/>
          <w:lang w:val="sl-SI" w:eastAsia="en-GB"/>
        </w:rPr>
        <w:t>jeno</w:t>
      </w:r>
      <w:r w:rsidRPr="00275FBD">
        <w:rPr>
          <w:szCs w:val="20"/>
          <w:lang w:val="sl-SI" w:eastAsia="en-GB"/>
        </w:rPr>
        <w:t>, da lahko NEK varno obratuje najmanj do končanega naslednjega</w:t>
      </w:r>
      <w:r w:rsidR="00645F6B" w:rsidRPr="00275FBD">
        <w:rPr>
          <w:szCs w:val="20"/>
          <w:lang w:val="sl-SI" w:eastAsia="en-GB"/>
        </w:rPr>
        <w:t>, četrtega</w:t>
      </w:r>
      <w:r w:rsidRPr="00275FBD">
        <w:rPr>
          <w:szCs w:val="20"/>
          <w:lang w:val="sl-SI" w:eastAsia="en-GB"/>
        </w:rPr>
        <w:t xml:space="preserve"> občasnega varnostnega pregleda.</w:t>
      </w:r>
    </w:p>
    <w:p w14:paraId="07CDB772" w14:textId="6DE39958" w:rsidR="00BB2DFC" w:rsidRPr="00275FBD" w:rsidRDefault="00BB2DFC" w:rsidP="00BB2DFC">
      <w:pPr>
        <w:rPr>
          <w:lang w:val="sl-SI"/>
        </w:rPr>
      </w:pPr>
      <w:r w:rsidRPr="00275FBD">
        <w:rPr>
          <w:lang w:val="sl-SI"/>
        </w:rPr>
        <w:t xml:space="preserve">Tretji PSR je </w:t>
      </w:r>
      <w:r w:rsidR="00452B81">
        <w:rPr>
          <w:lang w:val="sl-SI"/>
        </w:rPr>
        <w:t>potekal v skladu z</w:t>
      </w:r>
      <w:r w:rsidRPr="00275FBD">
        <w:rPr>
          <w:lang w:val="sl-SI"/>
        </w:rPr>
        <w:t xml:space="preserve"> </w:t>
      </w:r>
      <w:r w:rsidR="00452B81" w:rsidRPr="00275FBD">
        <w:rPr>
          <w:lang w:val="sl-SI"/>
        </w:rPr>
        <w:t>Zakon</w:t>
      </w:r>
      <w:r w:rsidR="00452B81">
        <w:rPr>
          <w:lang w:val="sl-SI"/>
        </w:rPr>
        <w:t>om</w:t>
      </w:r>
      <w:r w:rsidR="00452B81" w:rsidRPr="00275FBD">
        <w:rPr>
          <w:lang w:val="sl-SI"/>
        </w:rPr>
        <w:t xml:space="preserve"> </w:t>
      </w:r>
      <w:r w:rsidRPr="00275FBD">
        <w:rPr>
          <w:lang w:val="sl-SI"/>
        </w:rPr>
        <w:t xml:space="preserve">o varstvu pred ionizirajočimi sevanji in jedrski varnosti </w:t>
      </w:r>
      <w:r w:rsidRPr="00275FBD">
        <w:rPr>
          <w:lang w:val="sl-SI"/>
        </w:rPr>
        <w:fldChar w:fldCharType="begin"/>
      </w:r>
      <w:r w:rsidRPr="00275FBD">
        <w:rPr>
          <w:lang w:val="sl-SI"/>
        </w:rPr>
        <w:instrText xml:space="preserve"> REF _Ref368398842 \r \h </w:instrText>
      </w:r>
      <w:r w:rsidRPr="00275FBD">
        <w:rPr>
          <w:lang w:val="sl-SI"/>
        </w:rPr>
      </w:r>
      <w:r w:rsidRPr="00275FBD">
        <w:rPr>
          <w:lang w:val="sl-SI"/>
        </w:rPr>
        <w:fldChar w:fldCharType="separate"/>
      </w:r>
      <w:r w:rsidR="00BA25CD">
        <w:rPr>
          <w:lang w:val="sl-SI"/>
        </w:rPr>
        <w:t>[5]</w:t>
      </w:r>
      <w:r w:rsidRPr="00275FBD">
        <w:rPr>
          <w:lang w:val="sl-SI"/>
        </w:rPr>
        <w:fldChar w:fldCharType="end"/>
      </w:r>
      <w:r w:rsidRPr="00275FBD">
        <w:rPr>
          <w:lang w:val="sl-SI"/>
        </w:rPr>
        <w:t xml:space="preserve">, </w:t>
      </w:r>
      <w:r w:rsidR="00627285">
        <w:rPr>
          <w:lang w:val="sl-SI"/>
        </w:rPr>
        <w:t>postopek PSR je določen v</w:t>
      </w:r>
      <w:r w:rsidRPr="00275FBD">
        <w:rPr>
          <w:lang w:val="sl-SI"/>
        </w:rPr>
        <w:t xml:space="preserve"> zahtev</w:t>
      </w:r>
      <w:r w:rsidR="00627285">
        <w:rPr>
          <w:lang w:val="sl-SI"/>
        </w:rPr>
        <w:t>ah</w:t>
      </w:r>
      <w:r w:rsidRPr="00275FBD">
        <w:rPr>
          <w:lang w:val="sl-SI"/>
        </w:rPr>
        <w:t xml:space="preserve"> pravilnika JV9 </w:t>
      </w:r>
      <w:r w:rsidRPr="00275FBD">
        <w:rPr>
          <w:lang w:val="sl-SI"/>
        </w:rPr>
        <w:fldChar w:fldCharType="begin"/>
      </w:r>
      <w:r w:rsidRPr="00275FBD">
        <w:rPr>
          <w:lang w:val="sl-SI"/>
        </w:rPr>
        <w:instrText xml:space="preserve"> REF _Ref129601022 \r \h </w:instrText>
      </w:r>
      <w:r w:rsidRPr="00275FBD">
        <w:rPr>
          <w:lang w:val="sl-SI"/>
        </w:rPr>
      </w:r>
      <w:r w:rsidRPr="00275FBD">
        <w:rPr>
          <w:lang w:val="sl-SI"/>
        </w:rPr>
        <w:fldChar w:fldCharType="separate"/>
      </w:r>
      <w:r w:rsidR="00BA25CD">
        <w:rPr>
          <w:lang w:val="sl-SI"/>
        </w:rPr>
        <w:t>[6]</w:t>
      </w:r>
      <w:r w:rsidRPr="00275FBD">
        <w:rPr>
          <w:lang w:val="sl-SI"/>
        </w:rPr>
        <w:fldChar w:fldCharType="end"/>
      </w:r>
      <w:r w:rsidRPr="00275FBD">
        <w:rPr>
          <w:lang w:val="sl-SI"/>
        </w:rPr>
        <w:t xml:space="preserve">, </w:t>
      </w:r>
      <w:r w:rsidR="00627285">
        <w:rPr>
          <w:lang w:val="sl-SI"/>
        </w:rPr>
        <w:t xml:space="preserve">podrobneje pa je obseg PSR določen v </w:t>
      </w:r>
      <w:r w:rsidRPr="00275FBD">
        <w:rPr>
          <w:lang w:val="sl-SI"/>
        </w:rPr>
        <w:t>praktičn</w:t>
      </w:r>
      <w:r w:rsidR="00627285">
        <w:rPr>
          <w:lang w:val="sl-SI"/>
        </w:rPr>
        <w:t>ih</w:t>
      </w:r>
      <w:r w:rsidRPr="00275FBD">
        <w:rPr>
          <w:lang w:val="sl-SI"/>
        </w:rPr>
        <w:t xml:space="preserve"> </w:t>
      </w:r>
      <w:r w:rsidR="00627285" w:rsidRPr="00275FBD">
        <w:rPr>
          <w:lang w:val="sl-SI"/>
        </w:rPr>
        <w:t>smernic</w:t>
      </w:r>
      <w:r w:rsidR="00627285">
        <w:rPr>
          <w:lang w:val="sl-SI"/>
        </w:rPr>
        <w:t xml:space="preserve">ah </w:t>
      </w:r>
      <w:r w:rsidRPr="00275FBD">
        <w:rPr>
          <w:lang w:val="sl-SI"/>
        </w:rPr>
        <w:t>Uprav</w:t>
      </w:r>
      <w:r w:rsidR="00627285">
        <w:rPr>
          <w:lang w:val="sl-SI"/>
        </w:rPr>
        <w:t>e</w:t>
      </w:r>
      <w:r w:rsidRPr="00275FBD">
        <w:rPr>
          <w:lang w:val="sl-SI"/>
        </w:rPr>
        <w:t xml:space="preserve"> </w:t>
      </w:r>
      <w:r w:rsidR="00452B81">
        <w:rPr>
          <w:lang w:val="sl-SI"/>
        </w:rPr>
        <w:t>R</w:t>
      </w:r>
      <w:r w:rsidR="00452B81" w:rsidRPr="00275FBD">
        <w:rPr>
          <w:lang w:val="sl-SI"/>
        </w:rPr>
        <w:t>epublike Slovenij</w:t>
      </w:r>
      <w:r w:rsidR="00452B81">
        <w:rPr>
          <w:lang w:val="sl-SI"/>
        </w:rPr>
        <w:t>e</w:t>
      </w:r>
      <w:r w:rsidR="00452B81" w:rsidRPr="00275FBD">
        <w:rPr>
          <w:lang w:val="sl-SI"/>
        </w:rPr>
        <w:t xml:space="preserve"> </w:t>
      </w:r>
      <w:r w:rsidRPr="00275FBD">
        <w:rPr>
          <w:lang w:val="sl-SI"/>
        </w:rPr>
        <w:t xml:space="preserve">za jedrsko varnost (URSJV) </w:t>
      </w:r>
      <w:r w:rsidRPr="00275FBD">
        <w:rPr>
          <w:lang w:val="sl-SI"/>
        </w:rPr>
        <w:fldChar w:fldCharType="begin"/>
      </w:r>
      <w:r w:rsidRPr="00275FBD">
        <w:rPr>
          <w:lang w:val="sl-SI"/>
        </w:rPr>
        <w:instrText xml:space="preserve"> REF _Ref138229213 \r \h </w:instrText>
      </w:r>
      <w:r w:rsidRPr="00275FBD">
        <w:rPr>
          <w:lang w:val="sl-SI"/>
        </w:rPr>
      </w:r>
      <w:r w:rsidRPr="00275FBD">
        <w:rPr>
          <w:lang w:val="sl-SI"/>
        </w:rPr>
        <w:fldChar w:fldCharType="separate"/>
      </w:r>
      <w:r w:rsidR="00BA25CD">
        <w:rPr>
          <w:lang w:val="sl-SI"/>
        </w:rPr>
        <w:t>[7]</w:t>
      </w:r>
      <w:r w:rsidRPr="00275FBD">
        <w:rPr>
          <w:lang w:val="sl-SI"/>
        </w:rPr>
        <w:fldChar w:fldCharType="end"/>
      </w:r>
      <w:r w:rsidRPr="00275FBD">
        <w:rPr>
          <w:lang w:val="sl-SI"/>
        </w:rPr>
        <w:t>.</w:t>
      </w:r>
    </w:p>
    <w:p w14:paraId="1F915F5A" w14:textId="79EC4087" w:rsidR="00DD51A6" w:rsidRPr="00275FBD" w:rsidRDefault="00645F6B" w:rsidP="00BB2DFC">
      <w:pPr>
        <w:rPr>
          <w:lang w:val="sl-SI"/>
        </w:rPr>
      </w:pPr>
      <w:r w:rsidRPr="00275FBD">
        <w:rPr>
          <w:lang w:val="sl-SI"/>
        </w:rPr>
        <w:t>Vsebina, obseg, časovni načrt in m</w:t>
      </w:r>
      <w:r w:rsidR="00BB2DFC" w:rsidRPr="00275FBD">
        <w:rPr>
          <w:lang w:val="sl-SI"/>
        </w:rPr>
        <w:t xml:space="preserve">etodologija, </w:t>
      </w:r>
      <w:r w:rsidRPr="00275FBD">
        <w:rPr>
          <w:lang w:val="sl-SI"/>
        </w:rPr>
        <w:t xml:space="preserve">uporabljena pri tretjem </w:t>
      </w:r>
      <w:r w:rsidR="00627285">
        <w:rPr>
          <w:lang w:val="sl-SI"/>
        </w:rPr>
        <w:t>PSR, so</w:t>
      </w:r>
      <w:r w:rsidR="00627285" w:rsidRPr="00275FBD">
        <w:rPr>
          <w:lang w:val="sl-SI"/>
        </w:rPr>
        <w:t xml:space="preserve"> bil</w:t>
      </w:r>
      <w:r w:rsidR="00627285">
        <w:rPr>
          <w:lang w:val="sl-SI"/>
        </w:rPr>
        <w:t>i</w:t>
      </w:r>
      <w:r w:rsidR="00627285" w:rsidRPr="00275FBD">
        <w:rPr>
          <w:lang w:val="sl-SI"/>
        </w:rPr>
        <w:t xml:space="preserve"> </w:t>
      </w:r>
      <w:r w:rsidR="00627285">
        <w:rPr>
          <w:lang w:val="sl-SI"/>
        </w:rPr>
        <w:t>določeni</w:t>
      </w:r>
      <w:r w:rsidR="00627285" w:rsidRPr="00275FBD">
        <w:rPr>
          <w:lang w:val="sl-SI"/>
        </w:rPr>
        <w:t xml:space="preserve"> </w:t>
      </w:r>
      <w:r w:rsidR="00BB2DFC" w:rsidRPr="00275FBD">
        <w:rPr>
          <w:lang w:val="sl-SI"/>
        </w:rPr>
        <w:t xml:space="preserve">v Programu PSR3, </w:t>
      </w:r>
      <w:r w:rsidRPr="00275FBD">
        <w:rPr>
          <w:color w:val="000000" w:themeColor="text1"/>
          <w:lang w:val="sl-SI"/>
        </w:rPr>
        <w:t xml:space="preserve">NEK ESD-TR-03/20 </w:t>
      </w:r>
      <w:r w:rsidRPr="00275FBD">
        <w:rPr>
          <w:color w:val="000000" w:themeColor="text1"/>
          <w:lang w:val="sl-SI"/>
        </w:rPr>
        <w:fldChar w:fldCharType="begin"/>
      </w:r>
      <w:r w:rsidRPr="00275FBD">
        <w:rPr>
          <w:color w:val="000000" w:themeColor="text1"/>
          <w:lang w:val="sl-SI"/>
        </w:rPr>
        <w:instrText xml:space="preserve"> REF _Ref133222751 \r \h </w:instrText>
      </w:r>
      <w:r w:rsidRPr="00275FBD">
        <w:rPr>
          <w:color w:val="000000" w:themeColor="text1"/>
          <w:lang w:val="sl-SI"/>
        </w:rPr>
      </w:r>
      <w:r w:rsidRPr="00275FBD">
        <w:rPr>
          <w:color w:val="000000" w:themeColor="text1"/>
          <w:lang w:val="sl-SI"/>
        </w:rPr>
        <w:fldChar w:fldCharType="separate"/>
      </w:r>
      <w:r w:rsidR="00BA25CD">
        <w:rPr>
          <w:color w:val="000000" w:themeColor="text1"/>
          <w:lang w:val="sl-SI"/>
        </w:rPr>
        <w:t>[1]</w:t>
      </w:r>
      <w:r w:rsidRPr="00275FBD">
        <w:rPr>
          <w:color w:val="000000" w:themeColor="text1"/>
          <w:lang w:val="sl-SI"/>
        </w:rPr>
        <w:fldChar w:fldCharType="end"/>
      </w:r>
      <w:r w:rsidR="000D177A">
        <w:rPr>
          <w:color w:val="000000" w:themeColor="text1"/>
          <w:lang w:val="sl-SI"/>
        </w:rPr>
        <w:t>,</w:t>
      </w:r>
      <w:r w:rsidR="00BB2DFC" w:rsidRPr="00275FBD">
        <w:rPr>
          <w:lang w:val="sl-SI"/>
        </w:rPr>
        <w:t xml:space="preserve"> </w:t>
      </w:r>
      <w:r w:rsidR="00627285">
        <w:rPr>
          <w:lang w:val="sl-SI"/>
        </w:rPr>
        <w:t>izdelanem</w:t>
      </w:r>
      <w:r w:rsidR="00627285" w:rsidRPr="00275FBD">
        <w:rPr>
          <w:lang w:val="sl-SI"/>
        </w:rPr>
        <w:t xml:space="preserve"> </w:t>
      </w:r>
      <w:r w:rsidR="00BB2DFC" w:rsidRPr="00275FBD">
        <w:rPr>
          <w:lang w:val="sl-SI"/>
        </w:rPr>
        <w:t xml:space="preserve">na </w:t>
      </w:r>
      <w:r w:rsidR="00627285">
        <w:rPr>
          <w:lang w:val="sl-SI"/>
        </w:rPr>
        <w:t xml:space="preserve">podlagi </w:t>
      </w:r>
      <w:r w:rsidR="00463518">
        <w:rPr>
          <w:lang w:val="sl-SI"/>
        </w:rPr>
        <w:t>smernic</w:t>
      </w:r>
      <w:r w:rsidR="00627285">
        <w:rPr>
          <w:lang w:val="sl-SI"/>
        </w:rPr>
        <w:t>e</w:t>
      </w:r>
      <w:r w:rsidR="00463518" w:rsidRPr="00275FBD">
        <w:rPr>
          <w:lang w:val="sl-SI"/>
        </w:rPr>
        <w:t xml:space="preserve"> </w:t>
      </w:r>
      <w:r w:rsidR="00BB2DFC" w:rsidRPr="00275FBD">
        <w:rPr>
          <w:lang w:val="sl-SI"/>
        </w:rPr>
        <w:t>IAEA</w:t>
      </w:r>
      <w:r w:rsidR="00627285">
        <w:rPr>
          <w:lang w:val="sl-SI"/>
        </w:rPr>
        <w:t xml:space="preserve"> </w:t>
      </w:r>
      <w:r w:rsidR="00BB2DFC" w:rsidRPr="00275FBD">
        <w:rPr>
          <w:lang w:val="sl-SI"/>
        </w:rPr>
        <w:fldChar w:fldCharType="begin"/>
      </w:r>
      <w:r w:rsidR="00BB2DFC" w:rsidRPr="00275FBD">
        <w:rPr>
          <w:lang w:val="sl-SI"/>
        </w:rPr>
        <w:instrText xml:space="preserve"> REF _Ref129855843 \r \h </w:instrText>
      </w:r>
      <w:r w:rsidR="00BB2DFC" w:rsidRPr="00275FBD">
        <w:rPr>
          <w:lang w:val="sl-SI"/>
        </w:rPr>
      </w:r>
      <w:r w:rsidR="00BB2DFC" w:rsidRPr="00275FBD">
        <w:rPr>
          <w:lang w:val="sl-SI"/>
        </w:rPr>
        <w:fldChar w:fldCharType="separate"/>
      </w:r>
      <w:r w:rsidR="00BA25CD">
        <w:rPr>
          <w:lang w:val="sl-SI"/>
        </w:rPr>
        <w:t>[8]</w:t>
      </w:r>
      <w:r w:rsidR="00BB2DFC" w:rsidRPr="00275FBD">
        <w:rPr>
          <w:lang w:val="sl-SI"/>
        </w:rPr>
        <w:fldChar w:fldCharType="end"/>
      </w:r>
      <w:r w:rsidR="00BB2DFC" w:rsidRPr="00275FBD">
        <w:rPr>
          <w:lang w:val="sl-SI"/>
        </w:rPr>
        <w:t xml:space="preserve"> ter na pravilniku</w:t>
      </w:r>
      <w:r w:rsidR="00582D4B" w:rsidRPr="00275FBD">
        <w:rPr>
          <w:lang w:val="sl-SI"/>
        </w:rPr>
        <w:t xml:space="preserve"> JV9 in praktičnih smernicah URSJV</w:t>
      </w:r>
      <w:r w:rsidR="00BB2DFC" w:rsidRPr="00275FBD">
        <w:rPr>
          <w:lang w:val="sl-SI"/>
        </w:rPr>
        <w:t xml:space="preserve">. </w:t>
      </w:r>
      <w:r w:rsidR="00582D4B" w:rsidRPr="00275FBD">
        <w:rPr>
          <w:lang w:val="sl-SI"/>
        </w:rPr>
        <w:t>Program je d</w:t>
      </w:r>
      <w:r w:rsidR="00BB2DFC" w:rsidRPr="00275FBD">
        <w:rPr>
          <w:lang w:val="sl-SI"/>
        </w:rPr>
        <w:t>oloči</w:t>
      </w:r>
      <w:r w:rsidR="00582D4B" w:rsidRPr="00275FBD">
        <w:rPr>
          <w:lang w:val="sl-SI"/>
        </w:rPr>
        <w:t>l</w:t>
      </w:r>
      <w:r w:rsidR="00BB2DFC" w:rsidRPr="00275FBD">
        <w:rPr>
          <w:lang w:val="sl-SI"/>
        </w:rPr>
        <w:t xml:space="preserve"> vse ustrezn</w:t>
      </w:r>
      <w:r w:rsidR="00582D4B" w:rsidRPr="00275FBD">
        <w:rPr>
          <w:lang w:val="sl-SI"/>
        </w:rPr>
        <w:t>e</w:t>
      </w:r>
      <w:r w:rsidR="00BB2DFC" w:rsidRPr="00275FBD">
        <w:rPr>
          <w:lang w:val="sl-SI"/>
        </w:rPr>
        <w:t xml:space="preserve"> element</w:t>
      </w:r>
      <w:r w:rsidR="00582D4B" w:rsidRPr="00275FBD">
        <w:rPr>
          <w:lang w:val="sl-SI"/>
        </w:rPr>
        <w:t>e</w:t>
      </w:r>
      <w:r w:rsidR="00BB2DFC" w:rsidRPr="00275FBD">
        <w:rPr>
          <w:lang w:val="sl-SI"/>
        </w:rPr>
        <w:t xml:space="preserve"> </w:t>
      </w:r>
      <w:r w:rsidR="00582D4B" w:rsidRPr="00275FBD">
        <w:rPr>
          <w:lang w:val="sl-SI"/>
        </w:rPr>
        <w:t>tretjega</w:t>
      </w:r>
      <w:r w:rsidR="00BB2DFC" w:rsidRPr="00275FBD">
        <w:rPr>
          <w:lang w:val="sl-SI"/>
        </w:rPr>
        <w:t xml:space="preserve"> </w:t>
      </w:r>
      <w:r w:rsidR="00582D4B" w:rsidRPr="00275FBD">
        <w:rPr>
          <w:lang w:val="sl-SI"/>
        </w:rPr>
        <w:t>občasnega varnostnega</w:t>
      </w:r>
      <w:r w:rsidR="00BB2DFC" w:rsidRPr="00275FBD">
        <w:rPr>
          <w:lang w:val="sl-SI"/>
        </w:rPr>
        <w:t xml:space="preserve"> pregleda, ki so bili dogovorjeni </w:t>
      </w:r>
      <w:r w:rsidR="00582D4B" w:rsidRPr="00275FBD">
        <w:rPr>
          <w:lang w:val="sl-SI"/>
        </w:rPr>
        <w:t xml:space="preserve">in potrjeni </w:t>
      </w:r>
      <w:r w:rsidR="00BB2DFC" w:rsidRPr="00275FBD">
        <w:rPr>
          <w:lang w:val="sl-SI"/>
        </w:rPr>
        <w:t xml:space="preserve">s strani URSJV. </w:t>
      </w:r>
      <w:r w:rsidR="00582D4B" w:rsidRPr="00275FBD">
        <w:rPr>
          <w:lang w:val="sl-SI"/>
        </w:rPr>
        <w:t>Tretji</w:t>
      </w:r>
      <w:r w:rsidR="00BB2DFC" w:rsidRPr="00275FBD">
        <w:rPr>
          <w:lang w:val="sl-SI"/>
        </w:rPr>
        <w:t xml:space="preserve"> </w:t>
      </w:r>
      <w:r w:rsidR="00582D4B" w:rsidRPr="00275FBD">
        <w:rPr>
          <w:lang w:val="sl-SI"/>
        </w:rPr>
        <w:t xml:space="preserve">PSR </w:t>
      </w:r>
      <w:r w:rsidR="00BB2DFC" w:rsidRPr="00275FBD">
        <w:rPr>
          <w:lang w:val="sl-SI"/>
        </w:rPr>
        <w:t xml:space="preserve">za </w:t>
      </w:r>
      <w:r w:rsidR="00452B81">
        <w:rPr>
          <w:lang w:val="sl-SI"/>
        </w:rPr>
        <w:t>NEK</w:t>
      </w:r>
      <w:r w:rsidR="00BB2DFC" w:rsidRPr="00275FBD">
        <w:rPr>
          <w:lang w:val="sl-SI"/>
        </w:rPr>
        <w:t xml:space="preserve"> je pokril vse spremembe iz trenutnih </w:t>
      </w:r>
      <w:r w:rsidR="0099642B">
        <w:rPr>
          <w:lang w:val="sl-SI"/>
        </w:rPr>
        <w:t>slovensk</w:t>
      </w:r>
      <w:r w:rsidR="0099642B" w:rsidRPr="00275FBD">
        <w:rPr>
          <w:lang w:val="sl-SI"/>
        </w:rPr>
        <w:t xml:space="preserve">ih </w:t>
      </w:r>
      <w:r w:rsidR="00BB2DFC" w:rsidRPr="00275FBD">
        <w:rPr>
          <w:lang w:val="sl-SI"/>
        </w:rPr>
        <w:t xml:space="preserve">in </w:t>
      </w:r>
      <w:r w:rsidR="00BB2DFC" w:rsidRPr="00CD63FA">
        <w:rPr>
          <w:lang w:val="sl-SI"/>
        </w:rPr>
        <w:t>mednarodnih varnostnih standardov</w:t>
      </w:r>
      <w:r w:rsidR="00582D4B" w:rsidRPr="00CD63FA">
        <w:rPr>
          <w:lang w:val="sl-SI"/>
        </w:rPr>
        <w:t xml:space="preserve"> </w:t>
      </w:r>
      <w:r w:rsidR="00BB2DFC" w:rsidRPr="00CD63FA">
        <w:rPr>
          <w:lang w:val="sl-SI"/>
        </w:rPr>
        <w:t>/</w:t>
      </w:r>
      <w:r w:rsidR="00582D4B" w:rsidRPr="00CD63FA">
        <w:rPr>
          <w:lang w:val="sl-SI"/>
        </w:rPr>
        <w:t xml:space="preserve"> </w:t>
      </w:r>
      <w:r w:rsidR="00BB2DFC" w:rsidRPr="00CD63FA">
        <w:rPr>
          <w:lang w:val="sl-SI"/>
        </w:rPr>
        <w:t xml:space="preserve">postopkov, </w:t>
      </w:r>
      <w:r w:rsidR="00582D4B" w:rsidRPr="00CD63FA">
        <w:rPr>
          <w:lang w:val="sl-SI"/>
        </w:rPr>
        <w:t>projekta elektrarne</w:t>
      </w:r>
      <w:r w:rsidR="00BB2DFC" w:rsidRPr="00CD63FA">
        <w:rPr>
          <w:lang w:val="sl-SI"/>
        </w:rPr>
        <w:t xml:space="preserve">, operativne ureditve in </w:t>
      </w:r>
      <w:r w:rsidR="00582D4B" w:rsidRPr="00CD63FA">
        <w:rPr>
          <w:lang w:val="sl-SI"/>
        </w:rPr>
        <w:t xml:space="preserve">obratovalne </w:t>
      </w:r>
      <w:r w:rsidR="00BB2DFC" w:rsidRPr="00CD63FA">
        <w:rPr>
          <w:lang w:val="sl-SI"/>
        </w:rPr>
        <w:t xml:space="preserve">zgodovine od </w:t>
      </w:r>
      <w:r w:rsidR="00582D4B" w:rsidRPr="00CD63FA">
        <w:rPr>
          <w:lang w:val="sl-SI"/>
        </w:rPr>
        <w:t>drugega PSR do</w:t>
      </w:r>
      <w:r w:rsidR="00BB2DFC" w:rsidRPr="00CD63FA">
        <w:rPr>
          <w:lang w:val="sl-SI"/>
        </w:rPr>
        <w:t xml:space="preserve"> </w:t>
      </w:r>
      <w:r w:rsidR="00463518">
        <w:rPr>
          <w:lang w:val="sl-SI"/>
        </w:rPr>
        <w:t>preseč</w:t>
      </w:r>
      <w:r w:rsidR="00BB2DFC" w:rsidRPr="00CD63FA">
        <w:rPr>
          <w:lang w:val="sl-SI"/>
        </w:rPr>
        <w:t xml:space="preserve">nega </w:t>
      </w:r>
      <w:r w:rsidR="00582D4B" w:rsidRPr="00CD63FA">
        <w:rPr>
          <w:lang w:val="sl-SI"/>
        </w:rPr>
        <w:t xml:space="preserve">datuma </w:t>
      </w:r>
      <w:r w:rsidR="00BB2DFC" w:rsidRPr="00CD63FA">
        <w:rPr>
          <w:lang w:val="sl-SI"/>
        </w:rPr>
        <w:t>31</w:t>
      </w:r>
      <w:r w:rsidR="00BB2DFC" w:rsidRPr="00275FBD">
        <w:rPr>
          <w:lang w:val="sl-SI"/>
        </w:rPr>
        <w:t xml:space="preserve">. </w:t>
      </w:r>
      <w:r w:rsidR="00463518">
        <w:rPr>
          <w:lang w:val="sl-SI"/>
        </w:rPr>
        <w:t>d</w:t>
      </w:r>
      <w:r w:rsidR="00463518" w:rsidRPr="00275FBD">
        <w:rPr>
          <w:lang w:val="sl-SI"/>
        </w:rPr>
        <w:t xml:space="preserve">ecembra </w:t>
      </w:r>
      <w:r w:rsidR="00BB2DFC" w:rsidRPr="00275FBD">
        <w:rPr>
          <w:lang w:val="sl-SI"/>
        </w:rPr>
        <w:t>20</w:t>
      </w:r>
      <w:r w:rsidR="00582D4B" w:rsidRPr="00275FBD">
        <w:rPr>
          <w:lang w:val="sl-SI"/>
        </w:rPr>
        <w:t>2</w:t>
      </w:r>
      <w:r w:rsidR="00BB2DFC" w:rsidRPr="00275FBD">
        <w:rPr>
          <w:lang w:val="sl-SI"/>
        </w:rPr>
        <w:t>0.</w:t>
      </w:r>
    </w:p>
    <w:p w14:paraId="13262AD8" w14:textId="1B7358B8" w:rsidR="00573FD8" w:rsidRPr="00275FBD" w:rsidRDefault="00EA6206" w:rsidP="00573FD8">
      <w:pPr>
        <w:pStyle w:val="Naslov2"/>
        <w:rPr>
          <w:lang w:val="sl-SI"/>
        </w:rPr>
      </w:pPr>
      <w:bookmarkStart w:id="15" w:name="_Ref138276729"/>
      <w:bookmarkStart w:id="16" w:name="_Toc163197415"/>
      <w:r w:rsidRPr="00275FBD">
        <w:rPr>
          <w:lang w:val="sl-SI"/>
        </w:rPr>
        <w:t>Obseg in omejitve</w:t>
      </w:r>
      <w:bookmarkEnd w:id="15"/>
      <w:bookmarkEnd w:id="16"/>
    </w:p>
    <w:p w14:paraId="1D7922CC" w14:textId="4855EC54" w:rsidR="00EA6206" w:rsidRPr="00275FBD" w:rsidRDefault="00EA6206" w:rsidP="00EA6206">
      <w:pPr>
        <w:rPr>
          <w:lang w:val="sl-SI"/>
        </w:rPr>
      </w:pPr>
      <w:r w:rsidRPr="00275FBD">
        <w:rPr>
          <w:lang w:val="sl-SI"/>
        </w:rPr>
        <w:t xml:space="preserve">Obseg NEK PSR3 je bil </w:t>
      </w:r>
      <w:r w:rsidR="00DC549D">
        <w:rPr>
          <w:lang w:val="sl-SI"/>
        </w:rPr>
        <w:t>določ</w:t>
      </w:r>
      <w:r w:rsidR="00DC549D" w:rsidRPr="00275FBD">
        <w:rPr>
          <w:lang w:val="sl-SI"/>
        </w:rPr>
        <w:t xml:space="preserve">en </w:t>
      </w:r>
      <w:r w:rsidRPr="00275FBD">
        <w:rPr>
          <w:lang w:val="sl-SI"/>
        </w:rPr>
        <w:t xml:space="preserve">v programu </w:t>
      </w:r>
      <w:r w:rsidR="00645F6B" w:rsidRPr="00275FBD">
        <w:rPr>
          <w:color w:val="000000" w:themeColor="text1"/>
          <w:lang w:val="sl-SI"/>
        </w:rPr>
        <w:t xml:space="preserve">NEK </w:t>
      </w:r>
      <w:r w:rsidR="00E6433D">
        <w:rPr>
          <w:color w:val="000000" w:themeColor="text1"/>
          <w:lang w:val="sl-SI"/>
        </w:rPr>
        <w:t xml:space="preserve">PSR3 z </w:t>
      </w:r>
      <w:r w:rsidRPr="00275FBD">
        <w:rPr>
          <w:lang w:val="sl-SI"/>
        </w:rPr>
        <w:t>varnostni</w:t>
      </w:r>
      <w:r w:rsidR="00E6433D">
        <w:rPr>
          <w:lang w:val="sl-SI"/>
        </w:rPr>
        <w:t>mi</w:t>
      </w:r>
      <w:r w:rsidRPr="00275FBD">
        <w:rPr>
          <w:lang w:val="sl-SI"/>
        </w:rPr>
        <w:t xml:space="preserve"> </w:t>
      </w:r>
      <w:r w:rsidR="00D00871">
        <w:rPr>
          <w:lang w:val="sl-SI"/>
        </w:rPr>
        <w:t>vsebin</w:t>
      </w:r>
      <w:r w:rsidR="00E6433D">
        <w:rPr>
          <w:lang w:val="sl-SI"/>
        </w:rPr>
        <w:t>ami</w:t>
      </w:r>
      <w:r w:rsidRPr="00275FBD">
        <w:rPr>
          <w:lang w:val="sl-SI"/>
        </w:rPr>
        <w:t>.</w:t>
      </w:r>
      <w:r w:rsidR="005F3C36" w:rsidRPr="00275FBD">
        <w:rPr>
          <w:lang w:val="sl-SI"/>
        </w:rPr>
        <w:t xml:space="preserve"> </w:t>
      </w:r>
      <w:r w:rsidR="00486000">
        <w:rPr>
          <w:lang w:val="sl-SI"/>
        </w:rPr>
        <w:t>Smernica</w:t>
      </w:r>
      <w:r w:rsidR="00486000" w:rsidRPr="00275FBD">
        <w:rPr>
          <w:lang w:val="sl-SI"/>
        </w:rPr>
        <w:t xml:space="preserve"> </w:t>
      </w:r>
      <w:r w:rsidR="005F3C36" w:rsidRPr="00275FBD">
        <w:rPr>
          <w:lang w:val="sl-SI"/>
        </w:rPr>
        <w:t xml:space="preserve">IAEA SSG-25 v splošnem </w:t>
      </w:r>
      <w:r w:rsidR="00486000" w:rsidRPr="00275FBD">
        <w:rPr>
          <w:lang w:val="sl-SI"/>
        </w:rPr>
        <w:t>d</w:t>
      </w:r>
      <w:r w:rsidR="00486000">
        <w:rPr>
          <w:lang w:val="sl-SI"/>
        </w:rPr>
        <w:t>oloč</w:t>
      </w:r>
      <w:r w:rsidR="00486000" w:rsidRPr="00275FBD">
        <w:rPr>
          <w:lang w:val="sl-SI"/>
        </w:rPr>
        <w:t xml:space="preserve">a </w:t>
      </w:r>
      <w:r w:rsidR="005F3C36" w:rsidRPr="00275FBD">
        <w:rPr>
          <w:lang w:val="sl-SI"/>
        </w:rPr>
        <w:t xml:space="preserve">14 varnostnih </w:t>
      </w:r>
      <w:r w:rsidR="00486000">
        <w:rPr>
          <w:lang w:val="sl-SI"/>
        </w:rPr>
        <w:t>vsebin</w:t>
      </w:r>
      <w:r w:rsidR="005F3C36" w:rsidRPr="00275FBD">
        <w:rPr>
          <w:lang w:val="sl-SI"/>
        </w:rPr>
        <w:t xml:space="preserve">. </w:t>
      </w:r>
      <w:r w:rsidR="006B53A9" w:rsidRPr="00275FBD">
        <w:rPr>
          <w:lang w:val="sl-SI"/>
        </w:rPr>
        <w:t xml:space="preserve">Pri PSR3 je </w:t>
      </w:r>
      <w:r w:rsidR="00486000">
        <w:rPr>
          <w:lang w:val="sl-SI"/>
        </w:rPr>
        <w:t>varnostna vsebina</w:t>
      </w:r>
      <w:r w:rsidR="00486000" w:rsidRPr="00275FBD">
        <w:rPr>
          <w:lang w:val="sl-SI"/>
        </w:rPr>
        <w:t xml:space="preserve"> </w:t>
      </w:r>
      <w:r w:rsidR="006B53A9" w:rsidRPr="00275FBD">
        <w:rPr>
          <w:lang w:val="sl-SI"/>
        </w:rPr>
        <w:t xml:space="preserve">»varnostna kultura« (ki je v IAEA SSG-25 </w:t>
      </w:r>
      <w:r w:rsidR="00486000">
        <w:rPr>
          <w:lang w:val="sl-SI"/>
        </w:rPr>
        <w:t>zajeta</w:t>
      </w:r>
      <w:r w:rsidR="00486000" w:rsidRPr="00275FBD">
        <w:rPr>
          <w:lang w:val="sl-SI"/>
        </w:rPr>
        <w:t xml:space="preserve"> </w:t>
      </w:r>
      <w:r w:rsidR="00CD63FA">
        <w:rPr>
          <w:lang w:val="sl-SI"/>
        </w:rPr>
        <w:t>v</w:t>
      </w:r>
      <w:r w:rsidR="006B53A9" w:rsidRPr="00275FBD">
        <w:rPr>
          <w:lang w:val="sl-SI"/>
        </w:rPr>
        <w:t xml:space="preserve"> »sistemih vodenja in organiziranos</w:t>
      </w:r>
      <w:r w:rsidR="00E6433D">
        <w:rPr>
          <w:lang w:val="sl-SI"/>
        </w:rPr>
        <w:t>t</w:t>
      </w:r>
      <w:r w:rsidR="006B53A9" w:rsidRPr="00275FBD">
        <w:rPr>
          <w:lang w:val="sl-SI"/>
        </w:rPr>
        <w:t>«) ločen</w:t>
      </w:r>
      <w:r w:rsidR="00486000">
        <w:rPr>
          <w:lang w:val="sl-SI"/>
        </w:rPr>
        <w:t>a</w:t>
      </w:r>
      <w:r w:rsidR="006B53A9" w:rsidRPr="00275FBD">
        <w:rPr>
          <w:lang w:val="sl-SI"/>
        </w:rPr>
        <w:t xml:space="preserve"> kot </w:t>
      </w:r>
      <w:r w:rsidR="00486000">
        <w:rPr>
          <w:lang w:val="sl-SI"/>
        </w:rPr>
        <w:t>posebna varnostna vsebina</w:t>
      </w:r>
      <w:r w:rsidR="006B53A9" w:rsidRPr="00275FBD">
        <w:rPr>
          <w:lang w:val="sl-SI"/>
        </w:rPr>
        <w:t xml:space="preserve">. Dodatno pa so </w:t>
      </w:r>
      <w:r w:rsidR="00E6433D">
        <w:rPr>
          <w:lang w:val="sl-SI"/>
        </w:rPr>
        <w:t>v</w:t>
      </w:r>
      <w:r w:rsidR="00E6433D" w:rsidRPr="00275FBD">
        <w:rPr>
          <w:lang w:val="sl-SI"/>
        </w:rPr>
        <w:t xml:space="preserve"> </w:t>
      </w:r>
      <w:r w:rsidR="005F3C36" w:rsidRPr="00275FBD">
        <w:rPr>
          <w:lang w:val="sl-SI"/>
        </w:rPr>
        <w:t>PSR3</w:t>
      </w:r>
      <w:r w:rsidR="00A03A91" w:rsidRPr="00275FBD">
        <w:rPr>
          <w:lang w:val="sl-SI"/>
        </w:rPr>
        <w:t xml:space="preserve"> na podlagi JV9 in praktičnih smernic URSJV</w:t>
      </w:r>
      <w:r w:rsidR="005F3C36" w:rsidRPr="00275FBD">
        <w:rPr>
          <w:lang w:val="sl-SI"/>
        </w:rPr>
        <w:t xml:space="preserve"> bil</w:t>
      </w:r>
      <w:r w:rsidR="00486000">
        <w:rPr>
          <w:lang w:val="sl-SI"/>
        </w:rPr>
        <w:t>e</w:t>
      </w:r>
      <w:r w:rsidR="005F3C36" w:rsidRPr="00275FBD">
        <w:rPr>
          <w:lang w:val="sl-SI"/>
        </w:rPr>
        <w:t xml:space="preserve"> </w:t>
      </w:r>
      <w:r w:rsidR="00E6433D">
        <w:rPr>
          <w:lang w:val="sl-SI"/>
        </w:rPr>
        <w:t>vključene še</w:t>
      </w:r>
      <w:r w:rsidR="005F3C36" w:rsidRPr="00275FBD">
        <w:rPr>
          <w:lang w:val="sl-SI"/>
        </w:rPr>
        <w:t xml:space="preserve"> </w:t>
      </w:r>
      <w:r w:rsidR="006B53A9" w:rsidRPr="00275FBD">
        <w:rPr>
          <w:lang w:val="sl-SI"/>
        </w:rPr>
        <w:t>tri</w:t>
      </w:r>
      <w:r w:rsidR="005F3C36" w:rsidRPr="00275FBD">
        <w:rPr>
          <w:lang w:val="sl-SI"/>
        </w:rPr>
        <w:t xml:space="preserve"> dodatn</w:t>
      </w:r>
      <w:r w:rsidR="00486000">
        <w:rPr>
          <w:lang w:val="sl-SI"/>
        </w:rPr>
        <w:t>e</w:t>
      </w:r>
      <w:r w:rsidR="005F3C36" w:rsidRPr="00275FBD">
        <w:rPr>
          <w:lang w:val="sl-SI"/>
        </w:rPr>
        <w:t xml:space="preserve"> </w:t>
      </w:r>
      <w:r w:rsidR="00486000">
        <w:rPr>
          <w:lang w:val="sl-SI"/>
        </w:rPr>
        <w:t>varnostne vsebine</w:t>
      </w:r>
      <w:r w:rsidR="000D177A">
        <w:rPr>
          <w:lang w:val="sl-SI"/>
        </w:rPr>
        <w:t>,</w:t>
      </w:r>
      <w:r w:rsidR="00486000" w:rsidRPr="00275FBD">
        <w:rPr>
          <w:lang w:val="sl-SI"/>
        </w:rPr>
        <w:t xml:space="preserve"> </w:t>
      </w:r>
      <w:r w:rsidR="00A03A91" w:rsidRPr="00275FBD">
        <w:rPr>
          <w:lang w:val="sl-SI"/>
        </w:rPr>
        <w:t xml:space="preserve">tako da je bilo </w:t>
      </w:r>
      <w:r w:rsidR="00E6433D">
        <w:rPr>
          <w:lang w:val="sl-SI"/>
        </w:rPr>
        <w:t xml:space="preserve">skupaj </w:t>
      </w:r>
      <w:r w:rsidR="00A03A91" w:rsidRPr="00275FBD">
        <w:rPr>
          <w:lang w:val="sl-SI"/>
        </w:rPr>
        <w:t xml:space="preserve">obravnavanih 18 </w:t>
      </w:r>
      <w:r w:rsidR="00486000">
        <w:rPr>
          <w:lang w:val="sl-SI"/>
        </w:rPr>
        <w:t>varnostnih vsebin</w:t>
      </w:r>
      <w:r w:rsidR="00A03A91" w:rsidRPr="00275FBD">
        <w:rPr>
          <w:lang w:val="sl-SI"/>
        </w:rPr>
        <w:t xml:space="preserve">. Definirani obseg je tudi v skladu z </w:t>
      </w:r>
      <w:r w:rsidR="00486000">
        <w:rPr>
          <w:lang w:val="sl-SI"/>
        </w:rPr>
        <w:t>referenčnimi nivoji</w:t>
      </w:r>
      <w:r w:rsidR="00486000" w:rsidRPr="00275FBD">
        <w:rPr>
          <w:lang w:val="sl-SI"/>
        </w:rPr>
        <w:t xml:space="preserve"> </w:t>
      </w:r>
      <w:r w:rsidR="00A03A91" w:rsidRPr="00275FBD">
        <w:rPr>
          <w:lang w:val="sl-SI"/>
        </w:rPr>
        <w:t xml:space="preserve">WENRA </w:t>
      </w:r>
      <w:r w:rsidR="00A03A91" w:rsidRPr="00275FBD">
        <w:rPr>
          <w:lang w:val="sl-SI"/>
        </w:rPr>
        <w:fldChar w:fldCharType="begin"/>
      </w:r>
      <w:r w:rsidR="00A03A91" w:rsidRPr="00275FBD">
        <w:rPr>
          <w:lang w:val="sl-SI"/>
        </w:rPr>
        <w:instrText xml:space="preserve"> REF _Ref244415733 \r \h </w:instrText>
      </w:r>
      <w:r w:rsidR="00A03A91" w:rsidRPr="00275FBD">
        <w:rPr>
          <w:lang w:val="sl-SI"/>
        </w:rPr>
      </w:r>
      <w:r w:rsidR="00A03A91" w:rsidRPr="00275FBD">
        <w:rPr>
          <w:lang w:val="sl-SI"/>
        </w:rPr>
        <w:fldChar w:fldCharType="separate"/>
      </w:r>
      <w:r w:rsidR="00BA25CD">
        <w:rPr>
          <w:lang w:val="sl-SI"/>
        </w:rPr>
        <w:t>[11]</w:t>
      </w:r>
      <w:r w:rsidR="00A03A91" w:rsidRPr="00275FBD">
        <w:rPr>
          <w:lang w:val="sl-SI"/>
        </w:rPr>
        <w:fldChar w:fldCharType="end"/>
      </w:r>
      <w:r w:rsidR="00A03A91" w:rsidRPr="00275FBD">
        <w:rPr>
          <w:lang w:val="sl-SI"/>
        </w:rPr>
        <w:t>.</w:t>
      </w:r>
    </w:p>
    <w:p w14:paraId="0EE9DEE6" w14:textId="12F283A3" w:rsidR="00A03A91" w:rsidRPr="00275FBD" w:rsidRDefault="00A03A91" w:rsidP="00BC61CA">
      <w:pPr>
        <w:rPr>
          <w:lang w:val="sl-SI"/>
        </w:rPr>
      </w:pPr>
      <w:r w:rsidRPr="00275FBD">
        <w:rPr>
          <w:lang w:val="sl-SI"/>
        </w:rPr>
        <w:lastRenderedPageBreak/>
        <w:t xml:space="preserve">Izvedba faze pregleda </w:t>
      </w:r>
      <w:r w:rsidR="00E6433D">
        <w:rPr>
          <w:lang w:val="sl-SI"/>
        </w:rPr>
        <w:t>PSR3</w:t>
      </w:r>
      <w:r w:rsidRPr="00275FBD">
        <w:rPr>
          <w:lang w:val="sl-SI"/>
        </w:rPr>
        <w:t xml:space="preserve"> je bila usmerjena na spremembe v zahtevah, pogojih</w:t>
      </w:r>
      <w:r w:rsidR="00022687" w:rsidRPr="00275FBD">
        <w:rPr>
          <w:lang w:val="sl-SI"/>
        </w:rPr>
        <w:t xml:space="preserve"> elektrarne</w:t>
      </w:r>
      <w:r w:rsidRPr="00275FBD">
        <w:rPr>
          <w:lang w:val="sl-SI"/>
        </w:rPr>
        <w:t xml:space="preserve">, operativnih izkušnjah in novih informacijah iz obdobja od </w:t>
      </w:r>
      <w:r w:rsidR="00C23276" w:rsidRPr="00275FBD">
        <w:rPr>
          <w:lang w:val="sl-SI"/>
        </w:rPr>
        <w:t>drug</w:t>
      </w:r>
      <w:r w:rsidRPr="00275FBD">
        <w:rPr>
          <w:lang w:val="sl-SI"/>
        </w:rPr>
        <w:t xml:space="preserve">ega PSR, v skladu </w:t>
      </w:r>
      <w:r w:rsidR="00486000">
        <w:rPr>
          <w:lang w:val="sl-SI"/>
        </w:rPr>
        <w:t>s smernico</w:t>
      </w:r>
      <w:r w:rsidR="00C23276" w:rsidRPr="00275FBD">
        <w:rPr>
          <w:lang w:val="sl-SI"/>
        </w:rPr>
        <w:t xml:space="preserve"> IAEA SSG-25 in naveden</w:t>
      </w:r>
      <w:r w:rsidR="00A02032">
        <w:rPr>
          <w:lang w:val="sl-SI"/>
        </w:rPr>
        <w:t>i</w:t>
      </w:r>
      <w:r w:rsidR="00C23276" w:rsidRPr="00275FBD">
        <w:rPr>
          <w:lang w:val="sl-SI"/>
        </w:rPr>
        <w:t>mi referencami.</w:t>
      </w:r>
    </w:p>
    <w:p w14:paraId="1F2FB1C4" w14:textId="428FCB5D" w:rsidR="00A03A91" w:rsidRPr="00275FBD" w:rsidRDefault="00A03A91" w:rsidP="00BC61CA">
      <w:pPr>
        <w:rPr>
          <w:lang w:val="sl-SI"/>
        </w:rPr>
      </w:pPr>
      <w:r w:rsidRPr="00275FBD">
        <w:rPr>
          <w:lang w:val="sl-SI"/>
        </w:rPr>
        <w:t xml:space="preserve">Poleg tega je moral pregled zajeti tudi oceno izvedbe akcijskega načrta </w:t>
      </w:r>
      <w:r w:rsidR="00C23276" w:rsidRPr="00275FBD">
        <w:rPr>
          <w:lang w:val="sl-SI"/>
        </w:rPr>
        <w:t>drugega</w:t>
      </w:r>
      <w:r w:rsidRPr="00275FBD">
        <w:rPr>
          <w:lang w:val="sl-SI"/>
        </w:rPr>
        <w:t xml:space="preserve"> </w:t>
      </w:r>
      <w:r w:rsidR="001829E6">
        <w:rPr>
          <w:lang w:val="sl-SI"/>
        </w:rPr>
        <w:t>PSR</w:t>
      </w:r>
      <w:r w:rsidRPr="00275FBD">
        <w:rPr>
          <w:lang w:val="sl-SI"/>
        </w:rPr>
        <w:t xml:space="preserve"> z upoštevanjem časa, </w:t>
      </w:r>
      <w:r w:rsidR="003703C4" w:rsidRPr="00275FBD">
        <w:rPr>
          <w:lang w:val="sl-SI"/>
        </w:rPr>
        <w:t>odkar</w:t>
      </w:r>
      <w:r w:rsidRPr="00275FBD">
        <w:rPr>
          <w:lang w:val="sl-SI"/>
        </w:rPr>
        <w:t xml:space="preserve"> je bil pregled opravljan. Vključena je bila ocena trenutnega stanja ugotovitev in akcij iz PSR</w:t>
      </w:r>
      <w:r w:rsidR="00C23276" w:rsidRPr="00275FBD">
        <w:rPr>
          <w:lang w:val="sl-SI"/>
        </w:rPr>
        <w:t>2</w:t>
      </w:r>
      <w:r w:rsidRPr="00275FBD">
        <w:rPr>
          <w:lang w:val="sl-SI"/>
        </w:rPr>
        <w:t>. Med izvajanjem pregleda PSR</w:t>
      </w:r>
      <w:r w:rsidR="00C23276" w:rsidRPr="00275FBD">
        <w:rPr>
          <w:lang w:val="sl-SI"/>
        </w:rPr>
        <w:t>3</w:t>
      </w:r>
      <w:r w:rsidRPr="00275FBD">
        <w:rPr>
          <w:lang w:val="sl-SI"/>
        </w:rPr>
        <w:t xml:space="preserve"> so bile </w:t>
      </w:r>
      <w:r w:rsidR="001829E6">
        <w:rPr>
          <w:lang w:val="sl-SI"/>
        </w:rPr>
        <w:t>upoštevane</w:t>
      </w:r>
      <w:r w:rsidRPr="00275FBD">
        <w:rPr>
          <w:lang w:val="sl-SI"/>
        </w:rPr>
        <w:t xml:space="preserve"> tudi spremembe zahtev in standardov prejšnjega PSR.</w:t>
      </w:r>
    </w:p>
    <w:p w14:paraId="207B83B0" w14:textId="5ACCA62F" w:rsidR="00C23276" w:rsidRPr="00275FBD" w:rsidRDefault="00C23276" w:rsidP="00BC61CA">
      <w:pPr>
        <w:rPr>
          <w:lang w:val="sl-SI"/>
        </w:rPr>
      </w:pPr>
      <w:r w:rsidRPr="00275FBD">
        <w:rPr>
          <w:lang w:val="sl-SI"/>
        </w:rPr>
        <w:t>Os</w:t>
      </w:r>
      <w:r w:rsidR="00022687" w:rsidRPr="00275FBD">
        <w:rPr>
          <w:lang w:val="sl-SI"/>
        </w:rPr>
        <w:t>e</w:t>
      </w:r>
      <w:r w:rsidRPr="00275FBD">
        <w:rPr>
          <w:lang w:val="sl-SI"/>
        </w:rPr>
        <w:t>mn</w:t>
      </w:r>
      <w:r w:rsidR="00022687" w:rsidRPr="00275FBD">
        <w:rPr>
          <w:lang w:val="sl-SI"/>
        </w:rPr>
        <w:t>a</w:t>
      </w:r>
      <w:r w:rsidRPr="00275FBD">
        <w:rPr>
          <w:lang w:val="sl-SI"/>
        </w:rPr>
        <w:t xml:space="preserve">jst (18) varnostnih </w:t>
      </w:r>
      <w:r w:rsidR="00D00871">
        <w:rPr>
          <w:lang w:val="sl-SI"/>
        </w:rPr>
        <w:t>vsebin</w:t>
      </w:r>
      <w:r w:rsidR="00E6433D">
        <w:rPr>
          <w:lang w:val="sl-SI"/>
        </w:rPr>
        <w:t xml:space="preserve"> </w:t>
      </w:r>
      <w:r w:rsidRPr="00275FBD">
        <w:rPr>
          <w:lang w:val="sl-SI"/>
        </w:rPr>
        <w:t xml:space="preserve">je bilo </w:t>
      </w:r>
      <w:r w:rsidR="00022687" w:rsidRPr="00275FBD">
        <w:rPr>
          <w:lang w:val="sl-SI"/>
        </w:rPr>
        <w:t>razdeljenih na</w:t>
      </w:r>
      <w:r w:rsidRPr="00275FBD">
        <w:rPr>
          <w:lang w:val="sl-SI"/>
        </w:rPr>
        <w:t xml:space="preserve"> pet tematskih področij (vrstni red in številčenje varnostnih </w:t>
      </w:r>
      <w:r w:rsidR="00716249">
        <w:rPr>
          <w:lang w:val="sl-SI"/>
        </w:rPr>
        <w:t>vsebin</w:t>
      </w:r>
      <w:r w:rsidRPr="00275FBD">
        <w:rPr>
          <w:lang w:val="sl-SI"/>
        </w:rPr>
        <w:t xml:space="preserve"> ne odraža pomembnost</w:t>
      </w:r>
      <w:r w:rsidR="001829E6">
        <w:rPr>
          <w:lang w:val="sl-SI"/>
        </w:rPr>
        <w:t>i</w:t>
      </w:r>
      <w:r w:rsidRPr="00275FBD">
        <w:rPr>
          <w:lang w:val="sl-SI"/>
        </w:rPr>
        <w:t>) za olajšanje pregleda</w:t>
      </w:r>
      <w:r w:rsidR="00236736" w:rsidRPr="00275FBD">
        <w:rPr>
          <w:lang w:val="sl-SI"/>
        </w:rPr>
        <w:t xml:space="preserve">, kot sledi spodaj. V oklepajih </w:t>
      </w:r>
      <w:r w:rsidR="00486000">
        <w:rPr>
          <w:lang w:val="sl-SI"/>
        </w:rPr>
        <w:t>je</w:t>
      </w:r>
      <w:r w:rsidR="00236736" w:rsidRPr="00275FBD">
        <w:rPr>
          <w:lang w:val="sl-SI"/>
        </w:rPr>
        <w:t xml:space="preserve"> za prvih petnajst </w:t>
      </w:r>
      <w:r w:rsidR="00486000">
        <w:rPr>
          <w:lang w:val="sl-SI"/>
        </w:rPr>
        <w:t>varnostnih vsebin</w:t>
      </w:r>
      <w:r w:rsidR="00236736" w:rsidRPr="00275FBD">
        <w:rPr>
          <w:lang w:val="sl-SI"/>
        </w:rPr>
        <w:t xml:space="preserve"> naveden</w:t>
      </w:r>
      <w:r w:rsidR="00486000">
        <w:rPr>
          <w:lang w:val="sl-SI"/>
        </w:rPr>
        <w:t>a</w:t>
      </w:r>
      <w:r w:rsidR="00236736" w:rsidRPr="00275FBD">
        <w:rPr>
          <w:lang w:val="sl-SI"/>
        </w:rPr>
        <w:t xml:space="preserve"> </w:t>
      </w:r>
      <w:r w:rsidR="00486000">
        <w:rPr>
          <w:lang w:val="sl-SI"/>
        </w:rPr>
        <w:t>primerjava s</w:t>
      </w:r>
      <w:r w:rsidR="00236736" w:rsidRPr="00275FBD">
        <w:rPr>
          <w:lang w:val="sl-SI"/>
        </w:rPr>
        <w:t xml:space="preserve"> </w:t>
      </w:r>
      <w:r w:rsidR="00486000">
        <w:rPr>
          <w:lang w:val="sl-SI"/>
        </w:rPr>
        <w:t>smernico</w:t>
      </w:r>
      <w:r w:rsidR="00486000" w:rsidRPr="00275FBD">
        <w:rPr>
          <w:lang w:val="sl-SI"/>
        </w:rPr>
        <w:t xml:space="preserve"> </w:t>
      </w:r>
      <w:r w:rsidR="00236736" w:rsidRPr="00275FBD">
        <w:rPr>
          <w:lang w:val="sl-SI"/>
        </w:rPr>
        <w:t>IAEA SSG-25</w:t>
      </w:r>
      <w:r w:rsidR="008D05E5" w:rsidRPr="00275FBD">
        <w:rPr>
          <w:lang w:val="sl-SI"/>
        </w:rPr>
        <w:t>. Za tri zadnj</w:t>
      </w:r>
      <w:r w:rsidR="00CD63FA">
        <w:rPr>
          <w:lang w:val="sl-SI"/>
        </w:rPr>
        <w:t>e</w:t>
      </w:r>
      <w:r w:rsidR="008D05E5" w:rsidRPr="00275FBD">
        <w:rPr>
          <w:lang w:val="sl-SI"/>
        </w:rPr>
        <w:t xml:space="preserve"> </w:t>
      </w:r>
      <w:r w:rsidR="00486000">
        <w:rPr>
          <w:lang w:val="sl-SI"/>
        </w:rPr>
        <w:t>varnostne vsebine</w:t>
      </w:r>
      <w:r w:rsidR="008D05E5" w:rsidRPr="00275FBD">
        <w:rPr>
          <w:lang w:val="sl-SI"/>
        </w:rPr>
        <w:t xml:space="preserve"> je naveden</w:t>
      </w:r>
      <w:r w:rsidR="00486000">
        <w:rPr>
          <w:lang w:val="sl-SI"/>
        </w:rPr>
        <w:t>a</w:t>
      </w:r>
      <w:r w:rsidR="008D05E5" w:rsidRPr="00275FBD">
        <w:rPr>
          <w:lang w:val="sl-SI"/>
        </w:rPr>
        <w:t xml:space="preserve"> </w:t>
      </w:r>
      <w:r w:rsidR="00486000">
        <w:rPr>
          <w:lang w:val="sl-SI"/>
        </w:rPr>
        <w:t>povezava na</w:t>
      </w:r>
      <w:r w:rsidR="008D05E5" w:rsidRPr="00275FBD">
        <w:rPr>
          <w:lang w:val="sl-SI"/>
        </w:rPr>
        <w:t xml:space="preserve"> </w:t>
      </w:r>
      <w:r w:rsidR="00486000" w:rsidRPr="00275FBD">
        <w:rPr>
          <w:lang w:val="sl-SI"/>
        </w:rPr>
        <w:t>Praktičn</w:t>
      </w:r>
      <w:r w:rsidR="00486000">
        <w:rPr>
          <w:lang w:val="sl-SI"/>
        </w:rPr>
        <w:t>e</w:t>
      </w:r>
      <w:r w:rsidR="00486000" w:rsidRPr="00275FBD">
        <w:rPr>
          <w:lang w:val="sl-SI"/>
        </w:rPr>
        <w:t xml:space="preserve"> </w:t>
      </w:r>
      <w:r w:rsidR="008D05E5" w:rsidRPr="00275FBD">
        <w:rPr>
          <w:lang w:val="sl-SI"/>
        </w:rPr>
        <w:t>smernic</w:t>
      </w:r>
      <w:r w:rsidR="00486000">
        <w:rPr>
          <w:lang w:val="sl-SI"/>
        </w:rPr>
        <w:t>e</w:t>
      </w:r>
      <w:r w:rsidR="008D05E5" w:rsidRPr="00275FBD">
        <w:rPr>
          <w:lang w:val="sl-SI"/>
        </w:rPr>
        <w:t xml:space="preserve"> URSJV.</w:t>
      </w:r>
    </w:p>
    <w:p w14:paraId="59F4C94C" w14:textId="77777777" w:rsidR="007C7233" w:rsidRPr="00275FBD" w:rsidRDefault="007C7233" w:rsidP="007C7233">
      <w:pPr>
        <w:ind w:left="284"/>
        <w:rPr>
          <w:i/>
          <w:lang w:val="sl-SI"/>
        </w:rPr>
      </w:pPr>
    </w:p>
    <w:p w14:paraId="514737C3" w14:textId="77777777" w:rsidR="00C23276" w:rsidRPr="00275FBD" w:rsidRDefault="00C23276" w:rsidP="000D42FA">
      <w:pPr>
        <w:ind w:left="284"/>
        <w:rPr>
          <w:i/>
          <w:lang w:val="sl-SI"/>
        </w:rPr>
      </w:pPr>
      <w:r w:rsidRPr="00275FBD">
        <w:rPr>
          <w:i/>
          <w:lang w:val="sl-SI"/>
        </w:rPr>
        <w:t>Objekt</w:t>
      </w:r>
    </w:p>
    <w:p w14:paraId="34330BCF" w14:textId="4D5EB17A" w:rsidR="00C23276" w:rsidRPr="00275FBD" w:rsidRDefault="000D42FA" w:rsidP="000D42FA">
      <w:pPr>
        <w:ind w:left="567"/>
        <w:rPr>
          <w:lang w:val="sl-SI"/>
        </w:rPr>
      </w:pPr>
      <w:r w:rsidRPr="00275FBD">
        <w:rPr>
          <w:lang w:val="sl-SI"/>
        </w:rPr>
        <w:t>(</w:t>
      </w:r>
      <w:r w:rsidR="00C23276" w:rsidRPr="00275FBD">
        <w:rPr>
          <w:lang w:val="sl-SI"/>
        </w:rPr>
        <w:t>1</w:t>
      </w:r>
      <w:r w:rsidRPr="00275FBD">
        <w:rPr>
          <w:lang w:val="sl-SI"/>
        </w:rPr>
        <w:t>)</w:t>
      </w:r>
      <w:r w:rsidR="00C23276" w:rsidRPr="00275FBD">
        <w:rPr>
          <w:lang w:val="sl-SI"/>
        </w:rPr>
        <w:tab/>
        <w:t>Projekt objekta</w:t>
      </w:r>
      <w:r w:rsidR="00AC2F57" w:rsidRPr="00275FBD">
        <w:rPr>
          <w:lang w:val="sl-SI"/>
        </w:rPr>
        <w:t xml:space="preserve"> (</w:t>
      </w:r>
      <w:r w:rsidR="006B53A9" w:rsidRPr="00275FBD">
        <w:rPr>
          <w:lang w:val="sl-SI"/>
        </w:rPr>
        <w:t xml:space="preserve">IAEA </w:t>
      </w:r>
      <w:r w:rsidR="00AC2F57" w:rsidRPr="00275FBD">
        <w:rPr>
          <w:lang w:val="sl-SI"/>
        </w:rPr>
        <w:t>SSG-25 SF-1)</w:t>
      </w:r>
    </w:p>
    <w:p w14:paraId="2558C11E" w14:textId="67BA64DE" w:rsidR="00C23276" w:rsidRPr="00275FBD" w:rsidRDefault="000D42FA" w:rsidP="000D42FA">
      <w:pPr>
        <w:ind w:left="567"/>
        <w:rPr>
          <w:lang w:val="sl-SI"/>
        </w:rPr>
      </w:pPr>
      <w:r w:rsidRPr="00275FBD">
        <w:rPr>
          <w:lang w:val="sl-SI"/>
        </w:rPr>
        <w:t>(</w:t>
      </w:r>
      <w:r w:rsidR="00C23276" w:rsidRPr="00275FBD">
        <w:rPr>
          <w:lang w:val="sl-SI"/>
        </w:rPr>
        <w:t>2</w:t>
      </w:r>
      <w:r w:rsidRPr="00275FBD">
        <w:rPr>
          <w:lang w:val="sl-SI"/>
        </w:rPr>
        <w:t>)</w:t>
      </w:r>
      <w:r w:rsidR="00C23276" w:rsidRPr="00275FBD">
        <w:rPr>
          <w:lang w:val="sl-SI"/>
        </w:rPr>
        <w:tab/>
        <w:t>Dejansko stanje SSK</w:t>
      </w:r>
      <w:r w:rsidR="004C0CD7" w:rsidRPr="00275FBD">
        <w:rPr>
          <w:lang w:val="sl-SI"/>
        </w:rPr>
        <w:t xml:space="preserve"> </w:t>
      </w:r>
      <w:r w:rsidR="006B53A9" w:rsidRPr="00275FBD">
        <w:rPr>
          <w:lang w:val="sl-SI"/>
        </w:rPr>
        <w:t>(IAEA SSG-25 SF-2)</w:t>
      </w:r>
    </w:p>
    <w:p w14:paraId="58F56939" w14:textId="4B1EB4B0" w:rsidR="00C23276" w:rsidRPr="00275FBD" w:rsidRDefault="000D42FA" w:rsidP="000D42FA">
      <w:pPr>
        <w:ind w:left="567"/>
        <w:rPr>
          <w:lang w:val="sl-SI"/>
        </w:rPr>
      </w:pPr>
      <w:r w:rsidRPr="00275FBD">
        <w:rPr>
          <w:lang w:val="sl-SI"/>
        </w:rPr>
        <w:t>(</w:t>
      </w:r>
      <w:r w:rsidR="00C23276" w:rsidRPr="00275FBD">
        <w:rPr>
          <w:lang w:val="sl-SI"/>
        </w:rPr>
        <w:t>3</w:t>
      </w:r>
      <w:r w:rsidRPr="00275FBD">
        <w:rPr>
          <w:lang w:val="sl-SI"/>
        </w:rPr>
        <w:t>)</w:t>
      </w:r>
      <w:r w:rsidR="00C23276" w:rsidRPr="00275FBD">
        <w:rPr>
          <w:lang w:val="sl-SI"/>
        </w:rPr>
        <w:tab/>
        <w:t>Kvalifikacija opreme</w:t>
      </w:r>
      <w:r w:rsidR="006B53A9" w:rsidRPr="00275FBD">
        <w:rPr>
          <w:lang w:val="sl-SI"/>
        </w:rPr>
        <w:t xml:space="preserve"> (IAEA SSG-25 SF-3)</w:t>
      </w:r>
    </w:p>
    <w:p w14:paraId="7F8E7386" w14:textId="057F2E0F" w:rsidR="00C23276" w:rsidRPr="00275FBD" w:rsidRDefault="000D42FA" w:rsidP="00AC2F57">
      <w:pPr>
        <w:ind w:left="567"/>
        <w:rPr>
          <w:lang w:val="sl-SI"/>
        </w:rPr>
      </w:pPr>
      <w:r w:rsidRPr="00275FBD">
        <w:rPr>
          <w:lang w:val="sl-SI"/>
        </w:rPr>
        <w:t>(</w:t>
      </w:r>
      <w:r w:rsidR="00C23276" w:rsidRPr="00275FBD">
        <w:rPr>
          <w:lang w:val="sl-SI"/>
        </w:rPr>
        <w:t>4</w:t>
      </w:r>
      <w:r w:rsidRPr="00275FBD">
        <w:rPr>
          <w:lang w:val="sl-SI"/>
        </w:rPr>
        <w:t>)</w:t>
      </w:r>
      <w:r w:rsidR="00C23276" w:rsidRPr="00275FBD">
        <w:rPr>
          <w:lang w:val="sl-SI"/>
        </w:rPr>
        <w:tab/>
        <w:t>Staranje objekta</w:t>
      </w:r>
      <w:r w:rsidR="006B53A9" w:rsidRPr="00275FBD">
        <w:rPr>
          <w:lang w:val="sl-SI"/>
        </w:rPr>
        <w:t xml:space="preserve"> (IAEA SSG-25 SF-4)</w:t>
      </w:r>
    </w:p>
    <w:p w14:paraId="16F2DE6F" w14:textId="77777777" w:rsidR="00C23276" w:rsidRPr="00275FBD" w:rsidRDefault="00C23276" w:rsidP="00AC2F57">
      <w:pPr>
        <w:ind w:left="284"/>
        <w:rPr>
          <w:i/>
          <w:lang w:val="sl-SI"/>
        </w:rPr>
      </w:pPr>
      <w:r w:rsidRPr="00275FBD">
        <w:rPr>
          <w:i/>
          <w:lang w:val="sl-SI"/>
        </w:rPr>
        <w:t>Varnostne analize</w:t>
      </w:r>
    </w:p>
    <w:p w14:paraId="7E4BFA73" w14:textId="53A4D126" w:rsidR="00C23276" w:rsidRPr="00275FBD" w:rsidRDefault="00AC2F57" w:rsidP="00AC2F57">
      <w:pPr>
        <w:ind w:left="1418" w:hanging="851"/>
        <w:rPr>
          <w:lang w:val="sl-SI"/>
        </w:rPr>
      </w:pPr>
      <w:r w:rsidRPr="00275FBD">
        <w:rPr>
          <w:lang w:val="sl-SI"/>
        </w:rPr>
        <w:t>(</w:t>
      </w:r>
      <w:r w:rsidR="00C23276" w:rsidRPr="00275FBD">
        <w:rPr>
          <w:lang w:val="sl-SI"/>
        </w:rPr>
        <w:t>5</w:t>
      </w:r>
      <w:r w:rsidRPr="00275FBD">
        <w:rPr>
          <w:lang w:val="sl-SI"/>
        </w:rPr>
        <w:t>)</w:t>
      </w:r>
      <w:r w:rsidR="00C23276" w:rsidRPr="00275FBD">
        <w:rPr>
          <w:lang w:val="sl-SI"/>
        </w:rPr>
        <w:tab/>
        <w:t>Deterministične varnostne analize objekta</w:t>
      </w:r>
      <w:r w:rsidR="006B53A9" w:rsidRPr="00275FBD">
        <w:rPr>
          <w:lang w:val="sl-SI"/>
        </w:rPr>
        <w:t xml:space="preserve"> (IAEA SSG-25 SF-5)</w:t>
      </w:r>
    </w:p>
    <w:p w14:paraId="43D3FB79" w14:textId="5BEB056C" w:rsidR="00C23276" w:rsidRPr="00275FBD" w:rsidRDefault="00AC2F57" w:rsidP="00AC2F57">
      <w:pPr>
        <w:ind w:left="1418" w:hanging="851"/>
        <w:rPr>
          <w:lang w:val="sl-SI"/>
        </w:rPr>
      </w:pPr>
      <w:r w:rsidRPr="00275FBD">
        <w:rPr>
          <w:lang w:val="sl-SI"/>
        </w:rPr>
        <w:t>(6)</w:t>
      </w:r>
      <w:r w:rsidR="00C23276" w:rsidRPr="00275FBD">
        <w:rPr>
          <w:lang w:val="sl-SI"/>
        </w:rPr>
        <w:tab/>
        <w:t>Verjetnostne varnostne analize objekta</w:t>
      </w:r>
      <w:r w:rsidR="006B53A9" w:rsidRPr="00275FBD">
        <w:rPr>
          <w:lang w:val="sl-SI"/>
        </w:rPr>
        <w:t xml:space="preserve"> (IAEA SSG-25 SF-6)</w:t>
      </w:r>
    </w:p>
    <w:p w14:paraId="366327CD" w14:textId="1B502CB4" w:rsidR="00C23276" w:rsidRPr="00275FBD" w:rsidRDefault="00AC2F57" w:rsidP="00AC2F57">
      <w:pPr>
        <w:ind w:left="1418" w:hanging="851"/>
        <w:rPr>
          <w:lang w:val="sl-SI"/>
        </w:rPr>
      </w:pPr>
      <w:r w:rsidRPr="00275FBD">
        <w:rPr>
          <w:lang w:val="sl-SI"/>
        </w:rPr>
        <w:t>(7)</w:t>
      </w:r>
      <w:r w:rsidR="00C23276" w:rsidRPr="00275FBD">
        <w:rPr>
          <w:lang w:val="sl-SI"/>
        </w:rPr>
        <w:tab/>
        <w:t>Analize ogroženosti in možnih nevarnosti glede na jedrsko in sevalno varnost</w:t>
      </w:r>
      <w:r w:rsidR="006B53A9" w:rsidRPr="00275FBD">
        <w:rPr>
          <w:lang w:val="sl-SI"/>
        </w:rPr>
        <w:t xml:space="preserve"> (IAEA SSG-25 SF-7)</w:t>
      </w:r>
    </w:p>
    <w:p w14:paraId="6F7D376B" w14:textId="77777777" w:rsidR="00C23276" w:rsidRPr="00275FBD" w:rsidRDefault="00C23276" w:rsidP="00AC2F57">
      <w:pPr>
        <w:ind w:left="284"/>
        <w:rPr>
          <w:i/>
          <w:lang w:val="sl-SI"/>
        </w:rPr>
      </w:pPr>
      <w:r w:rsidRPr="00275FBD">
        <w:rPr>
          <w:i/>
          <w:lang w:val="sl-SI"/>
        </w:rPr>
        <w:t>Obratovanje in uporaba obratovalnih izkušenj</w:t>
      </w:r>
    </w:p>
    <w:p w14:paraId="31C3E97A" w14:textId="1593C04E" w:rsidR="00C23276" w:rsidRPr="00275FBD" w:rsidRDefault="00AC2F57" w:rsidP="00AC2F57">
      <w:pPr>
        <w:ind w:left="1418" w:hanging="851"/>
        <w:rPr>
          <w:lang w:val="sl-SI"/>
        </w:rPr>
      </w:pPr>
      <w:r w:rsidRPr="00275FBD">
        <w:rPr>
          <w:lang w:val="sl-SI"/>
        </w:rPr>
        <w:t>(8)</w:t>
      </w:r>
      <w:r w:rsidR="00C23276" w:rsidRPr="00275FBD">
        <w:rPr>
          <w:lang w:val="sl-SI"/>
        </w:rPr>
        <w:tab/>
        <w:t>Obratovalne izkušnje in obratovalni kazalniki lastnega objekta</w:t>
      </w:r>
      <w:r w:rsidR="006B53A9" w:rsidRPr="00275FBD">
        <w:rPr>
          <w:lang w:val="sl-SI"/>
        </w:rPr>
        <w:t xml:space="preserve"> (IAEA SSG-25 SF-8)</w:t>
      </w:r>
    </w:p>
    <w:p w14:paraId="43E0AC7C" w14:textId="1BBF98C4" w:rsidR="00C23276" w:rsidRPr="00275FBD" w:rsidRDefault="00AC2F57" w:rsidP="00AC2F57">
      <w:pPr>
        <w:ind w:left="1418" w:hanging="851"/>
        <w:rPr>
          <w:lang w:val="sl-SI"/>
        </w:rPr>
      </w:pPr>
      <w:r w:rsidRPr="00275FBD">
        <w:rPr>
          <w:lang w:val="sl-SI"/>
        </w:rPr>
        <w:t>(9)</w:t>
      </w:r>
      <w:r w:rsidR="00C23276" w:rsidRPr="00275FBD">
        <w:rPr>
          <w:lang w:val="sl-SI"/>
        </w:rPr>
        <w:tab/>
        <w:t>Obratovalne izkušnje drugih objektov ter ugotovitve znanosti in tehnologije za obdobje pregleda</w:t>
      </w:r>
      <w:r w:rsidR="006B53A9" w:rsidRPr="00275FBD">
        <w:rPr>
          <w:lang w:val="sl-SI"/>
        </w:rPr>
        <w:t xml:space="preserve"> (IAEA SSG-25 SF-9)</w:t>
      </w:r>
    </w:p>
    <w:p w14:paraId="1F05EFFE" w14:textId="77777777" w:rsidR="00C23276" w:rsidRPr="00275FBD" w:rsidRDefault="00C23276" w:rsidP="00AC2F57">
      <w:pPr>
        <w:ind w:left="284"/>
        <w:rPr>
          <w:i/>
          <w:lang w:val="sl-SI"/>
        </w:rPr>
      </w:pPr>
      <w:r w:rsidRPr="00275FBD">
        <w:rPr>
          <w:i/>
          <w:lang w:val="sl-SI"/>
        </w:rPr>
        <w:t>Vodenje</w:t>
      </w:r>
    </w:p>
    <w:p w14:paraId="41D49F37" w14:textId="0A86509E" w:rsidR="00C23276" w:rsidRPr="00275FBD" w:rsidRDefault="00AC2F57" w:rsidP="00AC2F57">
      <w:pPr>
        <w:ind w:left="1418" w:hanging="851"/>
        <w:rPr>
          <w:lang w:val="sl-SI"/>
        </w:rPr>
      </w:pPr>
      <w:r w:rsidRPr="00275FBD">
        <w:rPr>
          <w:lang w:val="sl-SI"/>
        </w:rPr>
        <w:t>(10)</w:t>
      </w:r>
      <w:r w:rsidR="00C23276" w:rsidRPr="00275FBD">
        <w:rPr>
          <w:lang w:val="sl-SI"/>
        </w:rPr>
        <w:tab/>
        <w:t>Sistemi vodenja in organiziranost upravlja</w:t>
      </w:r>
      <w:r w:rsidR="004C0CD7" w:rsidRPr="00275FBD">
        <w:rPr>
          <w:lang w:val="sl-SI"/>
        </w:rPr>
        <w:t>l</w:t>
      </w:r>
      <w:r w:rsidR="00C23276" w:rsidRPr="00275FBD">
        <w:rPr>
          <w:lang w:val="sl-SI"/>
        </w:rPr>
        <w:t>ca</w:t>
      </w:r>
      <w:r w:rsidR="006B53A9" w:rsidRPr="00275FBD">
        <w:rPr>
          <w:lang w:val="sl-SI"/>
        </w:rPr>
        <w:t xml:space="preserve"> (IAEA SSG-25 SF-10)</w:t>
      </w:r>
    </w:p>
    <w:p w14:paraId="14ECE6D0" w14:textId="2BDCD813" w:rsidR="00C23276" w:rsidRPr="00275FBD" w:rsidRDefault="00AC2F57" w:rsidP="00AC2F57">
      <w:pPr>
        <w:ind w:left="1418" w:hanging="851"/>
        <w:rPr>
          <w:lang w:val="sl-SI"/>
        </w:rPr>
      </w:pPr>
      <w:r w:rsidRPr="00275FBD">
        <w:rPr>
          <w:lang w:val="sl-SI"/>
        </w:rPr>
        <w:t>(11)</w:t>
      </w:r>
      <w:r w:rsidR="00C23276" w:rsidRPr="00275FBD">
        <w:rPr>
          <w:lang w:val="sl-SI"/>
        </w:rPr>
        <w:tab/>
        <w:t>Varnostna kultura</w:t>
      </w:r>
      <w:r w:rsidR="006B53A9" w:rsidRPr="00275FBD">
        <w:rPr>
          <w:lang w:val="sl-SI"/>
        </w:rPr>
        <w:t xml:space="preserve"> (IAEA SSG-25 SF-10)</w:t>
      </w:r>
    </w:p>
    <w:p w14:paraId="5F5F6744" w14:textId="520B2226" w:rsidR="00C23276" w:rsidRPr="00275FBD" w:rsidRDefault="00AC2F57" w:rsidP="00AC2F57">
      <w:pPr>
        <w:ind w:left="1418" w:hanging="851"/>
        <w:rPr>
          <w:lang w:val="sl-SI"/>
        </w:rPr>
      </w:pPr>
      <w:r w:rsidRPr="00275FBD">
        <w:rPr>
          <w:lang w:val="sl-SI"/>
        </w:rPr>
        <w:t>(12)</w:t>
      </w:r>
      <w:r w:rsidR="00C23276" w:rsidRPr="00275FBD">
        <w:rPr>
          <w:lang w:val="sl-SI"/>
        </w:rPr>
        <w:tab/>
        <w:t>Pisni postopki upravljavca</w:t>
      </w:r>
      <w:r w:rsidR="006B53A9" w:rsidRPr="00275FBD">
        <w:rPr>
          <w:lang w:val="sl-SI"/>
        </w:rPr>
        <w:t xml:space="preserve"> (IAEA SSG-25 SF-11)</w:t>
      </w:r>
    </w:p>
    <w:p w14:paraId="6A099443" w14:textId="3B926FED" w:rsidR="00C23276" w:rsidRPr="00275FBD" w:rsidRDefault="00AC2F57" w:rsidP="00AC2F57">
      <w:pPr>
        <w:ind w:left="1418" w:hanging="851"/>
        <w:rPr>
          <w:lang w:val="sl-SI"/>
        </w:rPr>
      </w:pPr>
      <w:r w:rsidRPr="00275FBD">
        <w:rPr>
          <w:lang w:val="sl-SI"/>
        </w:rPr>
        <w:t>(13)</w:t>
      </w:r>
      <w:r w:rsidR="00C23276" w:rsidRPr="00275FBD">
        <w:rPr>
          <w:lang w:val="sl-SI"/>
        </w:rPr>
        <w:tab/>
        <w:t>Vpliv dejavnosti osebja - človeški dejavnik</w:t>
      </w:r>
      <w:r w:rsidR="006B53A9" w:rsidRPr="00275FBD">
        <w:rPr>
          <w:lang w:val="sl-SI"/>
        </w:rPr>
        <w:t xml:space="preserve"> (IAEA SSG-25 SF-12)</w:t>
      </w:r>
    </w:p>
    <w:p w14:paraId="0C89B226" w14:textId="58F34199" w:rsidR="00C23276" w:rsidRPr="00275FBD" w:rsidRDefault="00AC2F57" w:rsidP="00AC2F57">
      <w:pPr>
        <w:ind w:left="1418" w:hanging="851"/>
        <w:rPr>
          <w:lang w:val="sl-SI"/>
        </w:rPr>
      </w:pPr>
      <w:r w:rsidRPr="00275FBD">
        <w:rPr>
          <w:lang w:val="sl-SI"/>
        </w:rPr>
        <w:t>(14)</w:t>
      </w:r>
      <w:r w:rsidR="00C23276" w:rsidRPr="00275FBD">
        <w:rPr>
          <w:lang w:val="sl-SI"/>
        </w:rPr>
        <w:tab/>
        <w:t xml:space="preserve">Načrt zaščite in reševanja </w:t>
      </w:r>
      <w:r w:rsidR="006B53A9" w:rsidRPr="00275FBD">
        <w:rPr>
          <w:lang w:val="sl-SI"/>
        </w:rPr>
        <w:t>(IAEA SSG-25 SF-13)</w:t>
      </w:r>
    </w:p>
    <w:p w14:paraId="79FA9272" w14:textId="77777777" w:rsidR="00C23276" w:rsidRPr="00275FBD" w:rsidRDefault="00C23276" w:rsidP="00DD3F04">
      <w:pPr>
        <w:ind w:left="284"/>
        <w:rPr>
          <w:i/>
          <w:lang w:val="sl-SI"/>
        </w:rPr>
      </w:pPr>
      <w:r w:rsidRPr="00275FBD">
        <w:rPr>
          <w:i/>
          <w:lang w:val="sl-SI"/>
        </w:rPr>
        <w:t>Okolje</w:t>
      </w:r>
    </w:p>
    <w:p w14:paraId="1CD11F78" w14:textId="670EBB4A" w:rsidR="00C23276" w:rsidRPr="00275FBD" w:rsidRDefault="00DD3F04" w:rsidP="00DD3F04">
      <w:pPr>
        <w:ind w:left="1418" w:hanging="851"/>
        <w:rPr>
          <w:lang w:val="sl-SI"/>
        </w:rPr>
      </w:pPr>
      <w:r w:rsidRPr="00275FBD">
        <w:rPr>
          <w:lang w:val="sl-SI"/>
        </w:rPr>
        <w:t>(15)</w:t>
      </w:r>
      <w:r w:rsidR="00C23276" w:rsidRPr="00275FBD">
        <w:rPr>
          <w:lang w:val="sl-SI"/>
        </w:rPr>
        <w:tab/>
        <w:t>Radiološki vplivi na okolje</w:t>
      </w:r>
      <w:r w:rsidR="006B53A9" w:rsidRPr="00275FBD">
        <w:rPr>
          <w:lang w:val="sl-SI"/>
        </w:rPr>
        <w:t xml:space="preserve"> (IAEA SSG-25 SF-14)</w:t>
      </w:r>
    </w:p>
    <w:p w14:paraId="1DB10268" w14:textId="3B2288E6" w:rsidR="00C23276" w:rsidRPr="00275FBD" w:rsidRDefault="00DD3F04" w:rsidP="00DD3F04">
      <w:pPr>
        <w:ind w:left="1418" w:hanging="851"/>
        <w:rPr>
          <w:lang w:val="sl-SI"/>
        </w:rPr>
      </w:pPr>
      <w:r w:rsidRPr="00275FBD">
        <w:rPr>
          <w:lang w:val="sl-SI"/>
        </w:rPr>
        <w:t>(16)</w:t>
      </w:r>
      <w:r w:rsidR="00C23276" w:rsidRPr="00275FBD">
        <w:rPr>
          <w:lang w:val="sl-SI"/>
        </w:rPr>
        <w:tab/>
        <w:t xml:space="preserve">Radioaktivni odpadki in izrabljeno </w:t>
      </w:r>
      <w:r w:rsidR="001D65DF">
        <w:rPr>
          <w:lang w:val="sl-SI"/>
        </w:rPr>
        <w:t xml:space="preserve">jedrsko </w:t>
      </w:r>
      <w:r w:rsidR="00C23276" w:rsidRPr="00275FBD">
        <w:rPr>
          <w:lang w:val="sl-SI"/>
        </w:rPr>
        <w:t>gorivo</w:t>
      </w:r>
      <w:r w:rsidR="006B53A9" w:rsidRPr="00275FBD">
        <w:rPr>
          <w:lang w:val="sl-SI"/>
        </w:rPr>
        <w:t xml:space="preserve"> (v skladu </w:t>
      </w:r>
      <w:r w:rsidR="00486000">
        <w:rPr>
          <w:lang w:val="sl-SI"/>
        </w:rPr>
        <w:t>s pravilnikom</w:t>
      </w:r>
      <w:r w:rsidR="006B53A9" w:rsidRPr="00275FBD">
        <w:rPr>
          <w:lang w:val="sl-SI"/>
        </w:rPr>
        <w:t xml:space="preserve"> JV9 </w:t>
      </w:r>
      <w:r w:rsidR="006B53A9" w:rsidRPr="00275FBD">
        <w:rPr>
          <w:lang w:val="sl-SI"/>
        </w:rPr>
        <w:fldChar w:fldCharType="begin"/>
      </w:r>
      <w:r w:rsidR="006B53A9" w:rsidRPr="00275FBD">
        <w:rPr>
          <w:lang w:val="sl-SI"/>
        </w:rPr>
        <w:instrText xml:space="preserve"> REF _Ref129601022 \r \h </w:instrText>
      </w:r>
      <w:r w:rsidR="006B53A9" w:rsidRPr="00275FBD">
        <w:rPr>
          <w:lang w:val="sl-SI"/>
        </w:rPr>
      </w:r>
      <w:r w:rsidR="006B53A9" w:rsidRPr="00275FBD">
        <w:rPr>
          <w:lang w:val="sl-SI"/>
        </w:rPr>
        <w:fldChar w:fldCharType="separate"/>
      </w:r>
      <w:r w:rsidR="00BA25CD">
        <w:rPr>
          <w:lang w:val="sl-SI"/>
        </w:rPr>
        <w:t>[6]</w:t>
      </w:r>
      <w:r w:rsidR="006B53A9" w:rsidRPr="00275FBD">
        <w:rPr>
          <w:lang w:val="sl-SI"/>
        </w:rPr>
        <w:fldChar w:fldCharType="end"/>
      </w:r>
      <w:r w:rsidR="006B53A9" w:rsidRPr="00275FBD">
        <w:rPr>
          <w:lang w:val="sl-SI"/>
        </w:rPr>
        <w:t xml:space="preserve"> </w:t>
      </w:r>
      <w:r w:rsidR="00236736" w:rsidRPr="00275FBD">
        <w:rPr>
          <w:lang w:val="sl-SI"/>
        </w:rPr>
        <w:t>in praktičnimi smernicami URSJV</w:t>
      </w:r>
      <w:r w:rsidR="006B53A9" w:rsidRPr="00275FBD">
        <w:rPr>
          <w:lang w:val="sl-SI"/>
        </w:rPr>
        <w:t xml:space="preserve"> </w:t>
      </w:r>
      <w:r w:rsidR="006B53A9" w:rsidRPr="00275FBD">
        <w:rPr>
          <w:lang w:val="sl-SI"/>
        </w:rPr>
        <w:fldChar w:fldCharType="begin"/>
      </w:r>
      <w:r w:rsidR="006B53A9" w:rsidRPr="00275FBD">
        <w:rPr>
          <w:lang w:val="sl-SI"/>
        </w:rPr>
        <w:instrText xml:space="preserve"> REF _Ref127012276 \r \h </w:instrText>
      </w:r>
      <w:r w:rsidR="006B53A9" w:rsidRPr="00275FBD">
        <w:rPr>
          <w:lang w:val="sl-SI"/>
        </w:rPr>
      </w:r>
      <w:r w:rsidR="006B53A9" w:rsidRPr="00275FBD">
        <w:rPr>
          <w:lang w:val="sl-SI"/>
        </w:rPr>
        <w:fldChar w:fldCharType="separate"/>
      </w:r>
      <w:r w:rsidR="00BA25CD">
        <w:rPr>
          <w:lang w:val="sl-SI"/>
        </w:rPr>
        <w:t>[7]</w:t>
      </w:r>
      <w:r w:rsidR="006B53A9" w:rsidRPr="00275FBD">
        <w:rPr>
          <w:lang w:val="sl-SI"/>
        </w:rPr>
        <w:fldChar w:fldCharType="end"/>
      </w:r>
      <w:r w:rsidR="006B53A9" w:rsidRPr="00275FBD">
        <w:rPr>
          <w:lang w:val="sl-SI"/>
        </w:rPr>
        <w:t>, III.16)</w:t>
      </w:r>
    </w:p>
    <w:p w14:paraId="25DE132C" w14:textId="77777777" w:rsidR="00C23276" w:rsidRPr="00275FBD" w:rsidRDefault="00C23276" w:rsidP="00DD3F04">
      <w:pPr>
        <w:ind w:left="284"/>
        <w:rPr>
          <w:i/>
          <w:lang w:val="sl-SI"/>
        </w:rPr>
      </w:pPr>
      <w:r w:rsidRPr="00275FBD">
        <w:rPr>
          <w:i/>
          <w:lang w:val="sl-SI"/>
        </w:rPr>
        <w:t>Fizično varovanje</w:t>
      </w:r>
    </w:p>
    <w:p w14:paraId="53925227" w14:textId="397640F4" w:rsidR="00C23276" w:rsidRPr="00275FBD" w:rsidRDefault="00DD3F04" w:rsidP="00DD3F04">
      <w:pPr>
        <w:ind w:left="1418" w:hanging="851"/>
        <w:rPr>
          <w:lang w:val="sl-SI"/>
        </w:rPr>
      </w:pPr>
      <w:r w:rsidRPr="00275FBD">
        <w:rPr>
          <w:lang w:val="sl-SI"/>
        </w:rPr>
        <w:t>(17)</w:t>
      </w:r>
      <w:r w:rsidR="00C23276" w:rsidRPr="00275FBD">
        <w:rPr>
          <w:lang w:val="sl-SI"/>
        </w:rPr>
        <w:tab/>
        <w:t xml:space="preserve">Fizično varovanje </w:t>
      </w:r>
      <w:r w:rsidR="008D05E5" w:rsidRPr="00275FBD">
        <w:rPr>
          <w:lang w:val="sl-SI"/>
        </w:rPr>
        <w:t xml:space="preserve">(v skladu </w:t>
      </w:r>
      <w:r w:rsidR="00486000">
        <w:rPr>
          <w:lang w:val="sl-SI"/>
        </w:rPr>
        <w:t>s pravilnikom</w:t>
      </w:r>
      <w:r w:rsidR="00486000" w:rsidRPr="00275FBD">
        <w:rPr>
          <w:lang w:val="sl-SI"/>
        </w:rPr>
        <w:t xml:space="preserve"> </w:t>
      </w:r>
      <w:r w:rsidR="008D05E5" w:rsidRPr="00275FBD">
        <w:rPr>
          <w:lang w:val="sl-SI"/>
        </w:rPr>
        <w:t xml:space="preserve">JV9 </w:t>
      </w:r>
      <w:r w:rsidR="008D05E5" w:rsidRPr="00275FBD">
        <w:rPr>
          <w:lang w:val="sl-SI"/>
        </w:rPr>
        <w:fldChar w:fldCharType="begin"/>
      </w:r>
      <w:r w:rsidR="008D05E5" w:rsidRPr="00275FBD">
        <w:rPr>
          <w:lang w:val="sl-SI"/>
        </w:rPr>
        <w:instrText xml:space="preserve"> REF _Ref129601022 \r \h </w:instrText>
      </w:r>
      <w:r w:rsidR="008D05E5" w:rsidRPr="00275FBD">
        <w:rPr>
          <w:lang w:val="sl-SI"/>
        </w:rPr>
      </w:r>
      <w:r w:rsidR="008D05E5" w:rsidRPr="00275FBD">
        <w:rPr>
          <w:lang w:val="sl-SI"/>
        </w:rPr>
        <w:fldChar w:fldCharType="separate"/>
      </w:r>
      <w:r w:rsidR="00BA25CD">
        <w:rPr>
          <w:lang w:val="sl-SI"/>
        </w:rPr>
        <w:t>[6]</w:t>
      </w:r>
      <w:r w:rsidR="008D05E5" w:rsidRPr="00275FBD">
        <w:rPr>
          <w:lang w:val="sl-SI"/>
        </w:rPr>
        <w:fldChar w:fldCharType="end"/>
      </w:r>
      <w:r w:rsidR="008D05E5" w:rsidRPr="00275FBD">
        <w:rPr>
          <w:lang w:val="sl-SI"/>
        </w:rPr>
        <w:t xml:space="preserve"> in praktičnimi smernicami URSJV </w:t>
      </w:r>
      <w:r w:rsidR="008D05E5" w:rsidRPr="00275FBD">
        <w:rPr>
          <w:lang w:val="sl-SI"/>
        </w:rPr>
        <w:fldChar w:fldCharType="begin"/>
      </w:r>
      <w:r w:rsidR="008D05E5" w:rsidRPr="00275FBD">
        <w:rPr>
          <w:lang w:val="sl-SI"/>
        </w:rPr>
        <w:instrText xml:space="preserve"> REF _Ref127012276 \r \h </w:instrText>
      </w:r>
      <w:r w:rsidR="008D05E5" w:rsidRPr="00275FBD">
        <w:rPr>
          <w:lang w:val="sl-SI"/>
        </w:rPr>
      </w:r>
      <w:r w:rsidR="008D05E5" w:rsidRPr="00275FBD">
        <w:rPr>
          <w:lang w:val="sl-SI"/>
        </w:rPr>
        <w:fldChar w:fldCharType="separate"/>
      </w:r>
      <w:r w:rsidR="00BA25CD">
        <w:rPr>
          <w:lang w:val="sl-SI"/>
        </w:rPr>
        <w:t>[7]</w:t>
      </w:r>
      <w:r w:rsidR="008D05E5" w:rsidRPr="00275FBD">
        <w:rPr>
          <w:lang w:val="sl-SI"/>
        </w:rPr>
        <w:fldChar w:fldCharType="end"/>
      </w:r>
      <w:r w:rsidR="008D05E5" w:rsidRPr="00275FBD">
        <w:rPr>
          <w:lang w:val="sl-SI"/>
        </w:rPr>
        <w:t>, III.17)</w:t>
      </w:r>
    </w:p>
    <w:p w14:paraId="0D424147" w14:textId="77777777" w:rsidR="00C23276" w:rsidRPr="00275FBD" w:rsidRDefault="00C23276" w:rsidP="006B53A9">
      <w:pPr>
        <w:ind w:left="284"/>
        <w:rPr>
          <w:i/>
          <w:lang w:val="sl-SI"/>
        </w:rPr>
      </w:pPr>
      <w:r w:rsidRPr="00275FBD">
        <w:rPr>
          <w:i/>
          <w:lang w:val="sl-SI"/>
        </w:rPr>
        <w:t>Varstvo pred sevanji</w:t>
      </w:r>
    </w:p>
    <w:p w14:paraId="701C01E2" w14:textId="516A2661" w:rsidR="00C23276" w:rsidRPr="00275FBD" w:rsidRDefault="006B53A9" w:rsidP="006B53A9">
      <w:pPr>
        <w:ind w:left="1418" w:hanging="851"/>
        <w:rPr>
          <w:lang w:val="sl-SI"/>
        </w:rPr>
      </w:pPr>
      <w:r w:rsidRPr="00275FBD">
        <w:rPr>
          <w:lang w:val="sl-SI"/>
        </w:rPr>
        <w:lastRenderedPageBreak/>
        <w:t>(18)</w:t>
      </w:r>
      <w:r w:rsidR="00C23276" w:rsidRPr="00275FBD">
        <w:rPr>
          <w:lang w:val="sl-SI"/>
        </w:rPr>
        <w:tab/>
        <w:t>Varstvo pred sevanji</w:t>
      </w:r>
      <w:r w:rsidRPr="00275FBD">
        <w:rPr>
          <w:lang w:val="sl-SI"/>
        </w:rPr>
        <w:t xml:space="preserve"> </w:t>
      </w:r>
      <w:r w:rsidR="008D05E5" w:rsidRPr="00275FBD">
        <w:rPr>
          <w:lang w:val="sl-SI"/>
        </w:rPr>
        <w:t xml:space="preserve">(v skladu </w:t>
      </w:r>
      <w:r w:rsidR="00486000">
        <w:rPr>
          <w:lang w:val="sl-SI"/>
        </w:rPr>
        <w:t>s pravilnikom</w:t>
      </w:r>
      <w:r w:rsidR="008D05E5" w:rsidRPr="00275FBD">
        <w:rPr>
          <w:lang w:val="sl-SI"/>
        </w:rPr>
        <w:t xml:space="preserve"> JV9 </w:t>
      </w:r>
      <w:r w:rsidR="008D05E5" w:rsidRPr="00275FBD">
        <w:rPr>
          <w:lang w:val="sl-SI"/>
        </w:rPr>
        <w:fldChar w:fldCharType="begin"/>
      </w:r>
      <w:r w:rsidR="008D05E5" w:rsidRPr="00275FBD">
        <w:rPr>
          <w:lang w:val="sl-SI"/>
        </w:rPr>
        <w:instrText xml:space="preserve"> REF _Ref129601022 \r \h </w:instrText>
      </w:r>
      <w:r w:rsidR="008D05E5" w:rsidRPr="00275FBD">
        <w:rPr>
          <w:lang w:val="sl-SI"/>
        </w:rPr>
      </w:r>
      <w:r w:rsidR="008D05E5" w:rsidRPr="00275FBD">
        <w:rPr>
          <w:lang w:val="sl-SI"/>
        </w:rPr>
        <w:fldChar w:fldCharType="separate"/>
      </w:r>
      <w:r w:rsidR="00BA25CD">
        <w:rPr>
          <w:lang w:val="sl-SI"/>
        </w:rPr>
        <w:t>[6]</w:t>
      </w:r>
      <w:r w:rsidR="008D05E5" w:rsidRPr="00275FBD">
        <w:rPr>
          <w:lang w:val="sl-SI"/>
        </w:rPr>
        <w:fldChar w:fldCharType="end"/>
      </w:r>
      <w:r w:rsidR="008D05E5" w:rsidRPr="00275FBD">
        <w:rPr>
          <w:lang w:val="sl-SI"/>
        </w:rPr>
        <w:t xml:space="preserve"> in praktičnimi smernicami URSJV </w:t>
      </w:r>
      <w:r w:rsidR="008D05E5" w:rsidRPr="00275FBD">
        <w:rPr>
          <w:lang w:val="sl-SI"/>
        </w:rPr>
        <w:fldChar w:fldCharType="begin"/>
      </w:r>
      <w:r w:rsidR="008D05E5" w:rsidRPr="00275FBD">
        <w:rPr>
          <w:lang w:val="sl-SI"/>
        </w:rPr>
        <w:instrText xml:space="preserve"> REF _Ref127012276 \r \h </w:instrText>
      </w:r>
      <w:r w:rsidR="008D05E5" w:rsidRPr="00275FBD">
        <w:rPr>
          <w:lang w:val="sl-SI"/>
        </w:rPr>
      </w:r>
      <w:r w:rsidR="008D05E5" w:rsidRPr="00275FBD">
        <w:rPr>
          <w:lang w:val="sl-SI"/>
        </w:rPr>
        <w:fldChar w:fldCharType="separate"/>
      </w:r>
      <w:r w:rsidR="00BA25CD">
        <w:rPr>
          <w:lang w:val="sl-SI"/>
        </w:rPr>
        <w:t>[7]</w:t>
      </w:r>
      <w:r w:rsidR="008D05E5" w:rsidRPr="00275FBD">
        <w:rPr>
          <w:lang w:val="sl-SI"/>
        </w:rPr>
        <w:fldChar w:fldCharType="end"/>
      </w:r>
      <w:r w:rsidR="008D05E5" w:rsidRPr="00275FBD">
        <w:rPr>
          <w:lang w:val="sl-SI"/>
        </w:rPr>
        <w:t>, III.18)</w:t>
      </w:r>
    </w:p>
    <w:p w14:paraId="6655AF5B" w14:textId="77777777" w:rsidR="00C23276" w:rsidRPr="00275FBD" w:rsidRDefault="00C23276" w:rsidP="00875EA4">
      <w:pPr>
        <w:rPr>
          <w:lang w:val="sl-SI"/>
        </w:rPr>
      </w:pPr>
    </w:p>
    <w:p w14:paraId="5AE40EEC" w14:textId="15FB0A4A" w:rsidR="008D05E5" w:rsidRPr="00275FBD" w:rsidRDefault="008D05E5" w:rsidP="008D05E5">
      <w:pPr>
        <w:rPr>
          <w:lang w:val="sl-SI"/>
        </w:rPr>
      </w:pPr>
      <w:r w:rsidRPr="00275FBD">
        <w:rPr>
          <w:lang w:val="sl-SI"/>
        </w:rPr>
        <w:t xml:space="preserve">Poleg pregleda zgoraj naštetih 18 varnostnih </w:t>
      </w:r>
      <w:r w:rsidR="00D00871">
        <w:rPr>
          <w:lang w:val="sl-SI"/>
        </w:rPr>
        <w:t>vsebin</w:t>
      </w:r>
      <w:r w:rsidR="001829E6">
        <w:rPr>
          <w:lang w:val="sl-SI"/>
        </w:rPr>
        <w:t xml:space="preserve"> </w:t>
      </w:r>
      <w:r w:rsidRPr="00275FBD">
        <w:rPr>
          <w:lang w:val="sl-SI"/>
        </w:rPr>
        <w:t xml:space="preserve">je bil, tako kot pri PSR2, pregledan tudi Program </w:t>
      </w:r>
      <w:r w:rsidR="00452B81">
        <w:rPr>
          <w:lang w:val="sl-SI"/>
        </w:rPr>
        <w:t>sklad</w:t>
      </w:r>
      <w:r w:rsidR="00452B81" w:rsidRPr="00275FBD">
        <w:rPr>
          <w:lang w:val="sl-SI"/>
        </w:rPr>
        <w:t xml:space="preserve">nosti </w:t>
      </w:r>
      <w:r w:rsidR="00452B81">
        <w:rPr>
          <w:lang w:val="sl-SI"/>
        </w:rPr>
        <w:t>z zakonskimi</w:t>
      </w:r>
      <w:r w:rsidRPr="00275FBD">
        <w:rPr>
          <w:lang w:val="sl-SI"/>
        </w:rPr>
        <w:t xml:space="preserve"> </w:t>
      </w:r>
      <w:r w:rsidR="00452B81">
        <w:rPr>
          <w:lang w:val="sl-SI"/>
        </w:rPr>
        <w:t xml:space="preserve">in upravnimi zahtevami </w:t>
      </w:r>
      <w:r w:rsidRPr="00275FBD">
        <w:rPr>
          <w:lang w:val="sl-SI"/>
        </w:rPr>
        <w:t xml:space="preserve">NEK </w:t>
      </w:r>
      <w:r w:rsidR="007D6A89" w:rsidRPr="00275FBD">
        <w:rPr>
          <w:lang w:val="sl-SI"/>
        </w:rPr>
        <w:t>(</w:t>
      </w:r>
      <w:r w:rsidR="00AB0534" w:rsidRPr="00275FBD">
        <w:rPr>
          <w:lang w:val="sl-SI"/>
        </w:rPr>
        <w:t>»</w:t>
      </w:r>
      <w:r w:rsidR="007D6A89" w:rsidRPr="00275FBD">
        <w:rPr>
          <w:lang w:val="sl-SI"/>
        </w:rPr>
        <w:t xml:space="preserve">Regulatory </w:t>
      </w:r>
      <w:proofErr w:type="spellStart"/>
      <w:r w:rsidR="007D6A89" w:rsidRPr="00275FBD">
        <w:rPr>
          <w:lang w:val="sl-SI"/>
        </w:rPr>
        <w:t>Conformance</w:t>
      </w:r>
      <w:proofErr w:type="spellEnd"/>
      <w:r w:rsidR="007D6A89" w:rsidRPr="00275FBD">
        <w:rPr>
          <w:lang w:val="sl-SI"/>
        </w:rPr>
        <w:t xml:space="preserve"> Program</w:t>
      </w:r>
      <w:r w:rsidR="00AB0534" w:rsidRPr="00275FBD">
        <w:rPr>
          <w:lang w:val="sl-SI"/>
        </w:rPr>
        <w:t>«</w:t>
      </w:r>
      <w:r w:rsidR="007D6A89" w:rsidRPr="00275FBD">
        <w:rPr>
          <w:lang w:val="sl-SI"/>
        </w:rPr>
        <w:t xml:space="preserve">, RCP). </w:t>
      </w:r>
    </w:p>
    <w:p w14:paraId="7A1D6B3E" w14:textId="4C2F5B17" w:rsidR="008D05E5" w:rsidRPr="00275FBD" w:rsidRDefault="008D05E5" w:rsidP="008D05E5">
      <w:pPr>
        <w:rPr>
          <w:lang w:val="sl-SI"/>
        </w:rPr>
      </w:pPr>
      <w:r w:rsidRPr="00275FBD">
        <w:rPr>
          <w:lang w:val="sl-SI"/>
        </w:rPr>
        <w:t xml:space="preserve">Tretji PSR je temeljil na programih, načrtih, dokumentih in postopkih NEK, ki so bili na voljo </w:t>
      </w:r>
      <w:r w:rsidR="00D921D8" w:rsidRPr="00275FBD">
        <w:rPr>
          <w:lang w:val="sl-SI"/>
        </w:rPr>
        <w:t>pregledovalcem</w:t>
      </w:r>
      <w:r w:rsidRPr="00275FBD">
        <w:rPr>
          <w:lang w:val="sl-SI"/>
        </w:rPr>
        <w:t>.</w:t>
      </w:r>
    </w:p>
    <w:p w14:paraId="4533209B" w14:textId="441F91F4" w:rsidR="008D05E5" w:rsidRPr="00275FBD" w:rsidRDefault="008D05E5" w:rsidP="00573FD8">
      <w:pPr>
        <w:rPr>
          <w:lang w:val="sl-SI"/>
        </w:rPr>
      </w:pPr>
      <w:r w:rsidRPr="00275FBD">
        <w:rPr>
          <w:lang w:val="sl-SI"/>
        </w:rPr>
        <w:t>Pregled fizične</w:t>
      </w:r>
      <w:r w:rsidR="00452B81">
        <w:rPr>
          <w:lang w:val="sl-SI"/>
        </w:rPr>
        <w:t>ga</w:t>
      </w:r>
      <w:r w:rsidRPr="00275FBD">
        <w:rPr>
          <w:lang w:val="sl-SI"/>
        </w:rPr>
        <w:t xml:space="preserve"> </w:t>
      </w:r>
      <w:r w:rsidR="00452B81">
        <w:rPr>
          <w:lang w:val="sl-SI"/>
        </w:rPr>
        <w:t>varovanja</w:t>
      </w:r>
      <w:r w:rsidR="00452B81" w:rsidRPr="00275FBD">
        <w:rPr>
          <w:lang w:val="sl-SI"/>
        </w:rPr>
        <w:t xml:space="preserve"> </w:t>
      </w:r>
      <w:r w:rsidR="001829E6" w:rsidRPr="00275FBD">
        <w:rPr>
          <w:lang w:val="sl-SI"/>
        </w:rPr>
        <w:t>jedrsk</w:t>
      </w:r>
      <w:r w:rsidR="001829E6">
        <w:rPr>
          <w:lang w:val="sl-SI"/>
        </w:rPr>
        <w:t>ega</w:t>
      </w:r>
      <w:r w:rsidR="001829E6" w:rsidRPr="00275FBD">
        <w:rPr>
          <w:lang w:val="sl-SI"/>
        </w:rPr>
        <w:t xml:space="preserve"> </w:t>
      </w:r>
      <w:r w:rsidRPr="00275FBD">
        <w:rPr>
          <w:lang w:val="sl-SI"/>
        </w:rPr>
        <w:t>objekt</w:t>
      </w:r>
      <w:r w:rsidR="001829E6">
        <w:rPr>
          <w:lang w:val="sl-SI"/>
        </w:rPr>
        <w:t>a</w:t>
      </w:r>
      <w:r w:rsidRPr="00275FBD">
        <w:rPr>
          <w:lang w:val="sl-SI"/>
        </w:rPr>
        <w:t xml:space="preserve"> je del ločenega, zaupnega</w:t>
      </w:r>
      <w:r w:rsidR="00D921D8" w:rsidRPr="00275FBD">
        <w:rPr>
          <w:lang w:val="sl-SI"/>
        </w:rPr>
        <w:t>,</w:t>
      </w:r>
      <w:r w:rsidRPr="00275FBD">
        <w:rPr>
          <w:lang w:val="sl-SI"/>
        </w:rPr>
        <w:t xml:space="preserve"> zaprtega</w:t>
      </w:r>
      <w:r w:rsidR="00D921D8" w:rsidRPr="00275FBD">
        <w:rPr>
          <w:lang w:val="sl-SI"/>
        </w:rPr>
        <w:t>,</w:t>
      </w:r>
      <w:r w:rsidRPr="00275FBD">
        <w:rPr>
          <w:lang w:val="sl-SI"/>
        </w:rPr>
        <w:t xml:space="preserve"> skupinskega pregleda v okviru PSR zaradi občutljivosti teme in potrebe po ohranjanju zaupnosti.</w:t>
      </w:r>
    </w:p>
    <w:p w14:paraId="24E78ADA" w14:textId="1C23B645" w:rsidR="00573FD8" w:rsidRPr="00275FBD" w:rsidRDefault="00293127" w:rsidP="00573FD8">
      <w:pPr>
        <w:pStyle w:val="Naslov2"/>
        <w:rPr>
          <w:lang w:val="sl-SI"/>
        </w:rPr>
      </w:pPr>
      <w:bookmarkStart w:id="17" w:name="_Toc163197416"/>
      <w:r w:rsidRPr="00275FBD">
        <w:rPr>
          <w:lang w:val="sl-SI"/>
        </w:rPr>
        <w:t>Cilj</w:t>
      </w:r>
      <w:r w:rsidR="00573FD8" w:rsidRPr="00275FBD">
        <w:rPr>
          <w:lang w:val="sl-SI"/>
        </w:rPr>
        <w:t xml:space="preserve"> </w:t>
      </w:r>
      <w:r w:rsidRPr="00275FBD">
        <w:rPr>
          <w:lang w:val="sl-SI"/>
        </w:rPr>
        <w:t>in</w:t>
      </w:r>
      <w:r w:rsidR="00573FD8" w:rsidRPr="00275FBD">
        <w:rPr>
          <w:lang w:val="sl-SI"/>
        </w:rPr>
        <w:t xml:space="preserve"> </w:t>
      </w:r>
      <w:r w:rsidRPr="00275FBD">
        <w:rPr>
          <w:lang w:val="sl-SI"/>
        </w:rPr>
        <w:t>namen</w:t>
      </w:r>
      <w:bookmarkEnd w:id="17"/>
    </w:p>
    <w:p w14:paraId="5AA63BEE" w14:textId="7584FAA6" w:rsidR="00CF0C2D" w:rsidRPr="00275FBD" w:rsidRDefault="00CF0C2D" w:rsidP="00CF0C2D">
      <w:pPr>
        <w:rPr>
          <w:lang w:val="sl-SI"/>
        </w:rPr>
      </w:pPr>
      <w:r w:rsidRPr="00275FBD">
        <w:rPr>
          <w:lang w:val="sl-SI"/>
        </w:rPr>
        <w:t xml:space="preserve">PSR zagotavlja učinkovit način za pridobitev splošnega vpogleda v dejansko varnost elektrarne in kakovost varnostne dokumentacije ter za določitev razumljivih in praktičnih ukrepov za zagotovitev varnosti ali izboljšanje varnosti na ustrezno visoko raven. Izvajanje NEK PSR3 odraža mednarodno sprejeto varnostno politiko in izpolnjuje obveznosti, ki izhajajo iz konvencije o jedrski varnosti. Splošni cilji projekta NEK PSR3 so </w:t>
      </w:r>
      <w:r w:rsidR="00DC549D">
        <w:rPr>
          <w:lang w:val="sl-SI"/>
        </w:rPr>
        <w:t>določ</w:t>
      </w:r>
      <w:r w:rsidR="00DC549D" w:rsidRPr="00275FBD">
        <w:rPr>
          <w:lang w:val="sl-SI"/>
        </w:rPr>
        <w:t xml:space="preserve">eni </w:t>
      </w:r>
      <w:r w:rsidRPr="00275FBD">
        <w:rPr>
          <w:lang w:val="sl-SI"/>
        </w:rPr>
        <w:t xml:space="preserve">v skladu z osnovno vlogo PSR, kot je opisano v ustreznih navodilih mednarodnih organizacij, </w:t>
      </w:r>
      <w:r w:rsidRPr="00275FBD">
        <w:rPr>
          <w:lang w:val="sl-SI"/>
        </w:rPr>
        <w:fldChar w:fldCharType="begin"/>
      </w:r>
      <w:r w:rsidRPr="00275FBD">
        <w:rPr>
          <w:lang w:val="sl-SI"/>
        </w:rPr>
        <w:instrText xml:space="preserve"> REF _Ref366604756 \r \h  \* MERGEFORMAT </w:instrText>
      </w:r>
      <w:r w:rsidRPr="00275FBD">
        <w:rPr>
          <w:lang w:val="sl-SI"/>
        </w:rPr>
      </w:r>
      <w:r w:rsidRPr="00275FBD">
        <w:rPr>
          <w:lang w:val="sl-SI"/>
        </w:rPr>
        <w:fldChar w:fldCharType="separate"/>
      </w:r>
      <w:r w:rsidR="00BA25CD">
        <w:rPr>
          <w:lang w:val="sl-SI"/>
        </w:rPr>
        <w:t>[8]</w:t>
      </w:r>
      <w:r w:rsidRPr="00275FBD">
        <w:rPr>
          <w:lang w:val="sl-SI"/>
        </w:rPr>
        <w:fldChar w:fldCharType="end"/>
      </w:r>
      <w:r w:rsidRPr="00275FBD">
        <w:rPr>
          <w:lang w:val="sl-SI"/>
        </w:rPr>
        <w:t xml:space="preserve"> in </w:t>
      </w:r>
      <w:r w:rsidRPr="00275FBD">
        <w:rPr>
          <w:lang w:val="sl-SI"/>
        </w:rPr>
        <w:fldChar w:fldCharType="begin"/>
      </w:r>
      <w:r w:rsidRPr="00275FBD">
        <w:rPr>
          <w:lang w:val="sl-SI"/>
        </w:rPr>
        <w:instrText xml:space="preserve"> REF _Ref133226475 \r \h </w:instrText>
      </w:r>
      <w:r w:rsidRPr="00275FBD">
        <w:rPr>
          <w:lang w:val="sl-SI"/>
        </w:rPr>
      </w:r>
      <w:r w:rsidRPr="00275FBD">
        <w:rPr>
          <w:lang w:val="sl-SI"/>
        </w:rPr>
        <w:fldChar w:fldCharType="separate"/>
      </w:r>
      <w:r w:rsidR="00BA25CD">
        <w:rPr>
          <w:lang w:val="sl-SI"/>
        </w:rPr>
        <w:t>[11]</w:t>
      </w:r>
      <w:r w:rsidRPr="00275FBD">
        <w:rPr>
          <w:lang w:val="sl-SI"/>
        </w:rPr>
        <w:fldChar w:fldCharType="end"/>
      </w:r>
      <w:r w:rsidRPr="00275FBD">
        <w:rPr>
          <w:lang w:val="sl-SI"/>
        </w:rPr>
        <w:t>.</w:t>
      </w:r>
    </w:p>
    <w:p w14:paraId="799A4AD1" w14:textId="4C1F6938" w:rsidR="00293127" w:rsidRPr="00275FBD" w:rsidRDefault="00293127" w:rsidP="00293127">
      <w:pPr>
        <w:rPr>
          <w:lang w:val="sl-SI"/>
        </w:rPr>
      </w:pPr>
      <w:r w:rsidRPr="00275FBD">
        <w:rPr>
          <w:lang w:val="sl-SI"/>
        </w:rPr>
        <w:t xml:space="preserve">Cilji PSR3 za </w:t>
      </w:r>
      <w:r w:rsidR="00452B81">
        <w:rPr>
          <w:lang w:val="sl-SI"/>
        </w:rPr>
        <w:t>NEK</w:t>
      </w:r>
      <w:r w:rsidRPr="00275FBD">
        <w:rPr>
          <w:lang w:val="sl-SI"/>
        </w:rPr>
        <w:t xml:space="preserve"> so oblikovani </w:t>
      </w:r>
      <w:r w:rsidR="001829E6">
        <w:rPr>
          <w:lang w:val="sl-SI"/>
        </w:rPr>
        <w:t>s ciljem</w:t>
      </w:r>
      <w:r w:rsidRPr="00275FBD">
        <w:rPr>
          <w:lang w:val="sl-SI"/>
        </w:rPr>
        <w:t>:</w:t>
      </w:r>
    </w:p>
    <w:p w14:paraId="2F3525D2" w14:textId="2AA5842C" w:rsidR="00293127" w:rsidRPr="00275FBD" w:rsidRDefault="00293127" w:rsidP="00293127">
      <w:pPr>
        <w:numPr>
          <w:ilvl w:val="0"/>
          <w:numId w:val="8"/>
        </w:numPr>
        <w:rPr>
          <w:lang w:val="sl-SI"/>
        </w:rPr>
      </w:pPr>
      <w:r w:rsidRPr="00275FBD">
        <w:rPr>
          <w:lang w:val="sl-SI"/>
        </w:rPr>
        <w:t>Dokazati, da licenčna osnova ostaja veljavna;</w:t>
      </w:r>
    </w:p>
    <w:p w14:paraId="24F8B771" w14:textId="6C146487" w:rsidR="00293127" w:rsidRPr="00275FBD" w:rsidRDefault="00293127" w:rsidP="00293127">
      <w:pPr>
        <w:numPr>
          <w:ilvl w:val="0"/>
          <w:numId w:val="8"/>
        </w:numPr>
        <w:rPr>
          <w:lang w:val="sl-SI"/>
        </w:rPr>
      </w:pPr>
      <w:r w:rsidRPr="00275FBD">
        <w:rPr>
          <w:lang w:val="sl-SI"/>
        </w:rPr>
        <w:t xml:space="preserve">Dokazati, da je elektrarna v skladu z veljavnimi </w:t>
      </w:r>
      <w:r w:rsidR="0099642B">
        <w:rPr>
          <w:lang w:val="sl-SI"/>
        </w:rPr>
        <w:t>slovensk</w:t>
      </w:r>
      <w:r w:rsidR="0099642B" w:rsidRPr="00275FBD">
        <w:rPr>
          <w:lang w:val="sl-SI"/>
        </w:rPr>
        <w:t xml:space="preserve">imi </w:t>
      </w:r>
      <w:r w:rsidRPr="00275FBD">
        <w:rPr>
          <w:lang w:val="sl-SI"/>
        </w:rPr>
        <w:t>in / ali mednarodnimi varnostnimi standardi in praksami;</w:t>
      </w:r>
    </w:p>
    <w:p w14:paraId="74A22ED5" w14:textId="5C1B3D30" w:rsidR="00293127" w:rsidRPr="00275FBD" w:rsidRDefault="00293127" w:rsidP="00293127">
      <w:pPr>
        <w:numPr>
          <w:ilvl w:val="0"/>
          <w:numId w:val="8"/>
        </w:numPr>
        <w:rPr>
          <w:lang w:val="sl-SI"/>
        </w:rPr>
      </w:pPr>
      <w:r w:rsidRPr="00275FBD">
        <w:rPr>
          <w:lang w:val="sl-SI"/>
        </w:rPr>
        <w:t xml:space="preserve">Dokazati ustreznost pogojev, ki so vzpostavljeni za vzdrževanje varnosti </w:t>
      </w:r>
      <w:r w:rsidR="003703C4" w:rsidRPr="00275FBD">
        <w:rPr>
          <w:lang w:val="sl-SI"/>
        </w:rPr>
        <w:t xml:space="preserve">objekta </w:t>
      </w:r>
      <w:r w:rsidRPr="00275FBD">
        <w:rPr>
          <w:lang w:val="sl-SI"/>
        </w:rPr>
        <w:t>do naslednjega PSR</w:t>
      </w:r>
      <w:r w:rsidR="001829E6">
        <w:rPr>
          <w:lang w:val="sl-SI"/>
        </w:rPr>
        <w:t>;</w:t>
      </w:r>
    </w:p>
    <w:p w14:paraId="0CEB97D8" w14:textId="6B1491CE" w:rsidR="00293127" w:rsidRPr="00275FBD" w:rsidRDefault="00293127" w:rsidP="00293127">
      <w:pPr>
        <w:numPr>
          <w:ilvl w:val="0"/>
          <w:numId w:val="8"/>
        </w:numPr>
        <w:rPr>
          <w:lang w:val="sl-SI"/>
        </w:rPr>
      </w:pPr>
      <w:r w:rsidRPr="00275FBD">
        <w:rPr>
          <w:lang w:val="sl-SI"/>
        </w:rPr>
        <w:t xml:space="preserve">Primerjati trenutno raven varnosti glede na sodobne standarde in </w:t>
      </w:r>
      <w:r w:rsidR="001829E6">
        <w:rPr>
          <w:lang w:val="sl-SI"/>
        </w:rPr>
        <w:t>prakse</w:t>
      </w:r>
      <w:r w:rsidR="001829E6" w:rsidRPr="00275FBD">
        <w:rPr>
          <w:lang w:val="sl-SI"/>
        </w:rPr>
        <w:t xml:space="preserve"> </w:t>
      </w:r>
      <w:r w:rsidRPr="00275FBD">
        <w:rPr>
          <w:lang w:val="sl-SI"/>
        </w:rPr>
        <w:t xml:space="preserve">ter ugotoviti, kje bi bile izboljšave koristne za zmanjšanje odstopanj ob </w:t>
      </w:r>
      <w:r w:rsidR="001829E6">
        <w:rPr>
          <w:lang w:val="sl-SI"/>
        </w:rPr>
        <w:t>u</w:t>
      </w:r>
      <w:r w:rsidR="001829E6" w:rsidRPr="00275FBD">
        <w:rPr>
          <w:lang w:val="sl-SI"/>
        </w:rPr>
        <w:t>pravič</w:t>
      </w:r>
      <w:r w:rsidR="001829E6">
        <w:rPr>
          <w:lang w:val="sl-SI"/>
        </w:rPr>
        <w:t>en</w:t>
      </w:r>
      <w:r w:rsidR="001829E6" w:rsidRPr="00275FBD">
        <w:rPr>
          <w:lang w:val="sl-SI"/>
        </w:rPr>
        <w:t xml:space="preserve">ih </w:t>
      </w:r>
      <w:r w:rsidRPr="00275FBD">
        <w:rPr>
          <w:lang w:val="sl-SI"/>
        </w:rPr>
        <w:t>stroških.</w:t>
      </w:r>
    </w:p>
    <w:p w14:paraId="64DCE8E6" w14:textId="6E705A06" w:rsidR="00293127" w:rsidRPr="00275FBD" w:rsidRDefault="00293127" w:rsidP="007E3181">
      <w:pPr>
        <w:rPr>
          <w:lang w:val="sl-SI"/>
        </w:rPr>
      </w:pPr>
      <w:r w:rsidRPr="00275FBD">
        <w:rPr>
          <w:lang w:val="sl-SI"/>
        </w:rPr>
        <w:t xml:space="preserve">Ena od pomembnih prednosti NEK PSR je, da zagotavlja </w:t>
      </w:r>
      <w:r w:rsidR="000C7C28">
        <w:rPr>
          <w:lang w:val="sl-SI"/>
        </w:rPr>
        <w:t>celovito</w:t>
      </w:r>
      <w:r w:rsidR="000C7C28" w:rsidRPr="00275FBD">
        <w:rPr>
          <w:lang w:val="sl-SI"/>
        </w:rPr>
        <w:t xml:space="preserve"> </w:t>
      </w:r>
      <w:r w:rsidRPr="00275FBD">
        <w:rPr>
          <w:lang w:val="sl-SI"/>
        </w:rPr>
        <w:t xml:space="preserve">preverjanje in pregleden prikaz varnosti elektrarne. </w:t>
      </w:r>
      <w:r w:rsidR="001829E6">
        <w:rPr>
          <w:lang w:val="sl-SI"/>
        </w:rPr>
        <w:t>Z</w:t>
      </w:r>
      <w:r w:rsidR="001829E6" w:rsidRPr="00275FBD">
        <w:rPr>
          <w:lang w:val="sl-SI"/>
        </w:rPr>
        <w:t xml:space="preserve">elo pomembno je </w:t>
      </w:r>
      <w:r w:rsidRPr="00275FBD">
        <w:rPr>
          <w:lang w:val="sl-SI"/>
        </w:rPr>
        <w:t>zaupanje javnosti</w:t>
      </w:r>
      <w:r w:rsidR="001829E6" w:rsidRPr="001829E6">
        <w:rPr>
          <w:lang w:val="sl-SI"/>
        </w:rPr>
        <w:t xml:space="preserve"> </w:t>
      </w:r>
      <w:r w:rsidR="001829E6">
        <w:rPr>
          <w:lang w:val="sl-SI"/>
        </w:rPr>
        <w:t>v</w:t>
      </w:r>
      <w:r w:rsidR="001829E6" w:rsidRPr="00275FBD">
        <w:rPr>
          <w:lang w:val="sl-SI"/>
        </w:rPr>
        <w:t xml:space="preserve"> </w:t>
      </w:r>
      <w:r w:rsidR="001829E6">
        <w:rPr>
          <w:lang w:val="sl-SI"/>
        </w:rPr>
        <w:t xml:space="preserve">varnost </w:t>
      </w:r>
      <w:r w:rsidR="001829E6" w:rsidRPr="00275FBD">
        <w:rPr>
          <w:lang w:val="sl-SI"/>
        </w:rPr>
        <w:t>dejansk</w:t>
      </w:r>
      <w:r w:rsidR="001829E6">
        <w:rPr>
          <w:lang w:val="sl-SI"/>
        </w:rPr>
        <w:t>ega</w:t>
      </w:r>
      <w:r w:rsidR="001829E6" w:rsidRPr="00275FBD">
        <w:rPr>
          <w:lang w:val="sl-SI"/>
        </w:rPr>
        <w:t xml:space="preserve"> stanj</w:t>
      </w:r>
      <w:r w:rsidR="001829E6">
        <w:rPr>
          <w:lang w:val="sl-SI"/>
        </w:rPr>
        <w:t>a</w:t>
      </w:r>
      <w:r w:rsidR="001829E6" w:rsidRPr="00275FBD">
        <w:rPr>
          <w:lang w:val="sl-SI"/>
        </w:rPr>
        <w:t xml:space="preserve"> elektrarne</w:t>
      </w:r>
      <w:r w:rsidRPr="00275FBD">
        <w:rPr>
          <w:lang w:val="sl-SI"/>
        </w:rPr>
        <w:t>, zlasti na mednarodni ravni. Ta vidik je vplival na cilje in filozofijo projekta ter posredno na obseg pregleda.</w:t>
      </w:r>
    </w:p>
    <w:p w14:paraId="20376EAC" w14:textId="2E5956C4" w:rsidR="00573FD8" w:rsidRPr="00275FBD" w:rsidRDefault="00AB0534" w:rsidP="00573FD8">
      <w:pPr>
        <w:pStyle w:val="Naslov2"/>
        <w:rPr>
          <w:lang w:val="sl-SI"/>
        </w:rPr>
      </w:pPr>
      <w:bookmarkStart w:id="18" w:name="_Toc163197417"/>
      <w:r w:rsidRPr="00275FBD">
        <w:rPr>
          <w:lang w:val="sl-SI"/>
        </w:rPr>
        <w:t>Organizacija in vodenje projekta ter seznam poročil PSR</w:t>
      </w:r>
      <w:bookmarkEnd w:id="18"/>
    </w:p>
    <w:p w14:paraId="796EE2FF" w14:textId="7AD1E903" w:rsidR="00293127" w:rsidRPr="00275FBD" w:rsidRDefault="00293127" w:rsidP="00293127">
      <w:pPr>
        <w:rPr>
          <w:lang w:val="sl-SI"/>
        </w:rPr>
      </w:pPr>
      <w:r w:rsidRPr="00275FBD">
        <w:rPr>
          <w:lang w:val="sl-SI"/>
        </w:rPr>
        <w:t xml:space="preserve">Program </w:t>
      </w:r>
      <w:r w:rsidR="001829E6">
        <w:rPr>
          <w:lang w:val="sl-SI"/>
        </w:rPr>
        <w:t>PSR3</w:t>
      </w:r>
      <w:r w:rsidRPr="00275FBD">
        <w:rPr>
          <w:lang w:val="sl-SI"/>
        </w:rPr>
        <w:t xml:space="preserve"> je opredelil potreben okvir za izvedbo pregleda in ustrezne ključne elemente PSR, vključno s celotno organizacijo projekta PSR</w:t>
      </w:r>
      <w:r w:rsidR="001829E6" w:rsidRPr="00275FBD">
        <w:rPr>
          <w:lang w:val="sl-SI"/>
        </w:rPr>
        <w:t>, ki so bili dogovorjeni z URSJV</w:t>
      </w:r>
      <w:r w:rsidR="001829E6">
        <w:rPr>
          <w:lang w:val="sl-SI"/>
        </w:rPr>
        <w:t xml:space="preserve"> in potrjeni z odobritvijo programa z odločbo</w:t>
      </w:r>
      <w:r w:rsidRPr="00275FBD">
        <w:rPr>
          <w:lang w:val="sl-SI"/>
        </w:rPr>
        <w:t>.</w:t>
      </w:r>
    </w:p>
    <w:p w14:paraId="31CCDF31" w14:textId="0B73E123" w:rsidR="00293127" w:rsidRPr="00275FBD" w:rsidRDefault="00293127" w:rsidP="00293127">
      <w:pPr>
        <w:rPr>
          <w:lang w:val="sl-SI"/>
        </w:rPr>
      </w:pPr>
      <w:r w:rsidRPr="00275FBD">
        <w:rPr>
          <w:lang w:val="sl-SI"/>
        </w:rPr>
        <w:t xml:space="preserve">Celotna organizacija projekta PSR3, vključno z upravljanjem projekta, odgovornostmi in projektnimi </w:t>
      </w:r>
      <w:r w:rsidR="008335E8">
        <w:rPr>
          <w:lang w:val="sl-SI"/>
        </w:rPr>
        <w:t>povezavami</w:t>
      </w:r>
      <w:r w:rsidRPr="00275FBD">
        <w:rPr>
          <w:lang w:val="sl-SI"/>
        </w:rPr>
        <w:t xml:space="preserve">, je </w:t>
      </w:r>
      <w:r w:rsidR="00DC549D">
        <w:rPr>
          <w:lang w:val="sl-SI"/>
        </w:rPr>
        <w:t>določ</w:t>
      </w:r>
      <w:r w:rsidR="00DC549D" w:rsidRPr="00275FBD">
        <w:rPr>
          <w:lang w:val="sl-SI"/>
        </w:rPr>
        <w:t xml:space="preserve">ena </w:t>
      </w:r>
      <w:r w:rsidRPr="00275FBD">
        <w:rPr>
          <w:lang w:val="sl-SI"/>
        </w:rPr>
        <w:t xml:space="preserve">v </w:t>
      </w:r>
      <w:r w:rsidR="00AB0534" w:rsidRPr="00275FBD">
        <w:rPr>
          <w:lang w:val="sl-SI"/>
        </w:rPr>
        <w:t>P</w:t>
      </w:r>
      <w:r w:rsidRPr="00275FBD">
        <w:rPr>
          <w:lang w:val="sl-SI"/>
        </w:rPr>
        <w:t>riročniku za vodenje projekt</w:t>
      </w:r>
      <w:r w:rsidR="00AB0534" w:rsidRPr="00275FBD">
        <w:rPr>
          <w:lang w:val="sl-SI"/>
        </w:rPr>
        <w:t>a</w:t>
      </w:r>
      <w:r w:rsidRPr="00275FBD">
        <w:rPr>
          <w:lang w:val="sl-SI"/>
        </w:rPr>
        <w:t xml:space="preserve"> (</w:t>
      </w:r>
      <w:r w:rsidR="00AB0534" w:rsidRPr="00275FBD">
        <w:rPr>
          <w:lang w:val="sl-SI"/>
        </w:rPr>
        <w:t xml:space="preserve">»Project Management Manual«, </w:t>
      </w:r>
      <w:r w:rsidRPr="00275FBD">
        <w:rPr>
          <w:lang w:val="sl-SI"/>
        </w:rPr>
        <w:t xml:space="preserve">PMM) </w:t>
      </w:r>
      <w:r w:rsidR="00034692" w:rsidRPr="00275FBD">
        <w:rPr>
          <w:lang w:val="sl-SI"/>
        </w:rPr>
        <w:fldChar w:fldCharType="begin"/>
      </w:r>
      <w:r w:rsidR="00034692" w:rsidRPr="00275FBD">
        <w:rPr>
          <w:lang w:val="sl-SI"/>
        </w:rPr>
        <w:instrText xml:space="preserve"> REF _Ref134165347 \r \h </w:instrText>
      </w:r>
      <w:r w:rsidR="00034692" w:rsidRPr="00275FBD">
        <w:rPr>
          <w:lang w:val="sl-SI"/>
        </w:rPr>
      </w:r>
      <w:r w:rsidR="00034692" w:rsidRPr="00275FBD">
        <w:rPr>
          <w:lang w:val="sl-SI"/>
        </w:rPr>
        <w:fldChar w:fldCharType="separate"/>
      </w:r>
      <w:r w:rsidR="00BA25CD">
        <w:rPr>
          <w:lang w:val="sl-SI"/>
        </w:rPr>
        <w:t>[33]</w:t>
      </w:r>
      <w:r w:rsidR="00034692" w:rsidRPr="00275FBD">
        <w:rPr>
          <w:lang w:val="sl-SI"/>
        </w:rPr>
        <w:fldChar w:fldCharType="end"/>
      </w:r>
      <w:r w:rsidRPr="00275FBD">
        <w:rPr>
          <w:lang w:val="sl-SI"/>
        </w:rPr>
        <w:t xml:space="preserve">. PMM </w:t>
      </w:r>
      <w:r w:rsidR="003E5EB4" w:rsidRPr="00275FBD">
        <w:rPr>
          <w:lang w:val="sl-SI"/>
        </w:rPr>
        <w:t xml:space="preserve">udeležencem v okviru NEK </w:t>
      </w:r>
      <w:r w:rsidRPr="00275FBD">
        <w:rPr>
          <w:lang w:val="sl-SI"/>
        </w:rPr>
        <w:t>podrobneje poda</w:t>
      </w:r>
      <w:r w:rsidR="003E5EB4">
        <w:rPr>
          <w:lang w:val="sl-SI"/>
        </w:rPr>
        <w:t>ja</w:t>
      </w:r>
      <w:r w:rsidRPr="00275FBD">
        <w:rPr>
          <w:lang w:val="sl-SI"/>
        </w:rPr>
        <w:t xml:space="preserve"> organizacijske, tehnične in administrativne zahteve za zagotovitev nemotenega izvajanja projekta v skladu s programom in postopki zagotavljanja kakovosti NEK.</w:t>
      </w:r>
      <w:r w:rsidR="003E5EB4">
        <w:rPr>
          <w:lang w:val="sl-SI"/>
        </w:rPr>
        <w:t xml:space="preserve"> </w:t>
      </w:r>
    </w:p>
    <w:p w14:paraId="339AE9E5" w14:textId="52B3E890" w:rsidR="00E0176C" w:rsidRPr="00275FBD" w:rsidRDefault="00E0176C" w:rsidP="00E0176C">
      <w:pPr>
        <w:pStyle w:val="Napis"/>
        <w:rPr>
          <w:i w:val="0"/>
          <w:iCs/>
          <w:lang w:val="sl-SI"/>
        </w:rPr>
      </w:pPr>
      <w:r w:rsidRPr="00275FBD">
        <w:rPr>
          <w:i w:val="0"/>
          <w:iCs/>
          <w:lang w:val="sl-SI"/>
        </w:rPr>
        <w:t xml:space="preserve">PSR3 je bil razdeljen na dve osnovni fazi: 1) faza pregleda varnostnih </w:t>
      </w:r>
      <w:r w:rsidR="00D00871" w:rsidRPr="00D00871">
        <w:rPr>
          <w:i w:val="0"/>
          <w:iCs/>
          <w:lang w:val="sl-SI"/>
        </w:rPr>
        <w:t>vsebin</w:t>
      </w:r>
      <w:r w:rsidR="003E5EB4">
        <w:rPr>
          <w:i w:val="0"/>
          <w:iCs/>
          <w:lang w:val="sl-SI"/>
        </w:rPr>
        <w:t xml:space="preserve"> </w:t>
      </w:r>
      <w:r w:rsidRPr="00275FBD">
        <w:rPr>
          <w:i w:val="0"/>
          <w:iCs/>
          <w:lang w:val="sl-SI"/>
        </w:rPr>
        <w:t xml:space="preserve">in 2) faza </w:t>
      </w:r>
      <w:proofErr w:type="spellStart"/>
      <w:r w:rsidRPr="00275FBD">
        <w:rPr>
          <w:i w:val="0"/>
          <w:iCs/>
          <w:lang w:val="sl-SI"/>
        </w:rPr>
        <w:t>rangiranja</w:t>
      </w:r>
      <w:proofErr w:type="spellEnd"/>
      <w:r w:rsidRPr="00275FBD">
        <w:rPr>
          <w:i w:val="0"/>
          <w:iCs/>
          <w:lang w:val="sl-SI"/>
        </w:rPr>
        <w:t xml:space="preserve">, </w:t>
      </w:r>
      <w:r w:rsidR="00C52457" w:rsidRPr="00275FBD">
        <w:rPr>
          <w:i w:val="0"/>
          <w:iCs/>
          <w:lang w:val="sl-SI"/>
        </w:rPr>
        <w:t xml:space="preserve">določanja </w:t>
      </w:r>
      <w:r w:rsidR="003E5EB4">
        <w:rPr>
          <w:i w:val="0"/>
          <w:iCs/>
          <w:lang w:val="sl-SI"/>
        </w:rPr>
        <w:t>prioritet</w:t>
      </w:r>
      <w:r w:rsidRPr="00275FBD">
        <w:rPr>
          <w:i w:val="0"/>
          <w:iCs/>
          <w:lang w:val="sl-SI"/>
        </w:rPr>
        <w:t xml:space="preserve"> in celovite ocene. </w:t>
      </w:r>
      <w:r w:rsidR="009F19E7" w:rsidRPr="00275FBD">
        <w:rPr>
          <w:i w:val="0"/>
          <w:iCs/>
          <w:lang w:val="sl-SI"/>
        </w:rPr>
        <w:t>Prvo</w:t>
      </w:r>
      <w:r w:rsidRPr="00275FBD">
        <w:rPr>
          <w:i w:val="0"/>
          <w:iCs/>
          <w:lang w:val="sl-SI"/>
        </w:rPr>
        <w:t xml:space="preserve"> faz</w:t>
      </w:r>
      <w:r w:rsidR="009F19E7" w:rsidRPr="00275FBD">
        <w:rPr>
          <w:i w:val="0"/>
          <w:iCs/>
          <w:lang w:val="sl-SI"/>
        </w:rPr>
        <w:t>o</w:t>
      </w:r>
      <w:r w:rsidRPr="00275FBD">
        <w:rPr>
          <w:i w:val="0"/>
          <w:iCs/>
          <w:lang w:val="sl-SI"/>
        </w:rPr>
        <w:t xml:space="preserve"> so večinoma izvedli zunanji </w:t>
      </w:r>
      <w:r w:rsidR="00C52457" w:rsidRPr="00275FBD">
        <w:rPr>
          <w:i w:val="0"/>
          <w:iCs/>
          <w:lang w:val="sl-SI"/>
        </w:rPr>
        <w:t>pregledovalci</w:t>
      </w:r>
      <w:r w:rsidRPr="00275FBD">
        <w:rPr>
          <w:i w:val="0"/>
          <w:iCs/>
          <w:lang w:val="sl-SI"/>
        </w:rPr>
        <w:t xml:space="preserve">. Rezultati </w:t>
      </w:r>
      <w:r w:rsidR="009F19E7" w:rsidRPr="00275FBD">
        <w:rPr>
          <w:i w:val="0"/>
          <w:iCs/>
          <w:lang w:val="sl-SI"/>
        </w:rPr>
        <w:t>obeh</w:t>
      </w:r>
      <w:r w:rsidRPr="00275FBD">
        <w:rPr>
          <w:i w:val="0"/>
          <w:iCs/>
          <w:lang w:val="sl-SI"/>
        </w:rPr>
        <w:t xml:space="preserve"> faz so dokumentirani v tematskih poročilih PSR3. </w:t>
      </w:r>
      <w:r w:rsidR="009F19E7" w:rsidRPr="003E5EB4">
        <w:rPr>
          <w:i w:val="0"/>
          <w:iCs/>
          <w:lang w:val="sl-SI"/>
        </w:rPr>
        <w:fldChar w:fldCharType="begin"/>
      </w:r>
      <w:r w:rsidR="009F19E7" w:rsidRPr="003E5EB4">
        <w:rPr>
          <w:i w:val="0"/>
          <w:iCs/>
          <w:lang w:val="sl-SI"/>
        </w:rPr>
        <w:instrText xml:space="preserve"> REF _Ref138239690 \h </w:instrText>
      </w:r>
      <w:r w:rsidR="003E5EB4" w:rsidRPr="003E5EB4">
        <w:rPr>
          <w:i w:val="0"/>
          <w:iCs/>
          <w:lang w:val="sl-SI"/>
        </w:rPr>
        <w:instrText xml:space="preserve"> \* MERGEFORMAT </w:instrText>
      </w:r>
      <w:r w:rsidR="009F19E7" w:rsidRPr="003E5EB4">
        <w:rPr>
          <w:i w:val="0"/>
          <w:iCs/>
          <w:lang w:val="sl-SI"/>
        </w:rPr>
      </w:r>
      <w:r w:rsidR="009F19E7" w:rsidRPr="003E5EB4">
        <w:rPr>
          <w:i w:val="0"/>
          <w:iCs/>
          <w:lang w:val="sl-SI"/>
        </w:rPr>
        <w:fldChar w:fldCharType="separate"/>
      </w:r>
      <w:r w:rsidR="00BA25CD" w:rsidRPr="00BA25CD">
        <w:rPr>
          <w:i w:val="0"/>
          <w:iCs/>
          <w:lang w:val="sl-SI"/>
        </w:rPr>
        <w:t>Tabela 1</w:t>
      </w:r>
      <w:r w:rsidR="00BA25CD" w:rsidRPr="00BA25CD">
        <w:rPr>
          <w:i w:val="0"/>
          <w:iCs/>
          <w:lang w:val="sl-SI"/>
        </w:rPr>
        <w:noBreakHyphen/>
        <w:t>1</w:t>
      </w:r>
      <w:r w:rsidR="009F19E7" w:rsidRPr="003E5EB4">
        <w:rPr>
          <w:i w:val="0"/>
          <w:iCs/>
          <w:lang w:val="sl-SI"/>
        </w:rPr>
        <w:fldChar w:fldCharType="end"/>
      </w:r>
      <w:r w:rsidRPr="003E5EB4">
        <w:rPr>
          <w:i w:val="0"/>
          <w:iCs/>
          <w:lang w:val="sl-SI"/>
        </w:rPr>
        <w:t xml:space="preserve"> </w:t>
      </w:r>
      <w:r w:rsidRPr="00275FBD">
        <w:rPr>
          <w:i w:val="0"/>
          <w:iCs/>
          <w:lang w:val="sl-SI"/>
        </w:rPr>
        <w:t xml:space="preserve">predstavlja </w:t>
      </w:r>
      <w:r w:rsidR="003E5EB4">
        <w:rPr>
          <w:i w:val="0"/>
          <w:iCs/>
          <w:lang w:val="sl-SI"/>
        </w:rPr>
        <w:t>povezave</w:t>
      </w:r>
      <w:r w:rsidR="003E5EB4" w:rsidRPr="00275FBD">
        <w:rPr>
          <w:i w:val="0"/>
          <w:iCs/>
          <w:lang w:val="sl-SI"/>
        </w:rPr>
        <w:t xml:space="preserve"> </w:t>
      </w:r>
      <w:r w:rsidRPr="00275FBD">
        <w:rPr>
          <w:i w:val="0"/>
          <w:iCs/>
          <w:lang w:val="sl-SI"/>
        </w:rPr>
        <w:t xml:space="preserve">med pregledom varnostne </w:t>
      </w:r>
      <w:r w:rsidR="00FE4C6E">
        <w:rPr>
          <w:i w:val="0"/>
          <w:iCs/>
          <w:lang w:val="sl-SI"/>
        </w:rPr>
        <w:t>vsebine</w:t>
      </w:r>
      <w:r w:rsidR="00FE4C6E" w:rsidRPr="00275FBD">
        <w:rPr>
          <w:i w:val="0"/>
          <w:iCs/>
          <w:lang w:val="sl-SI"/>
        </w:rPr>
        <w:t xml:space="preserve"> </w:t>
      </w:r>
      <w:r w:rsidRPr="00275FBD">
        <w:rPr>
          <w:i w:val="0"/>
          <w:iCs/>
          <w:lang w:val="sl-SI"/>
        </w:rPr>
        <w:t xml:space="preserve">in ustreznim tematskim poročilom, medtem ko </w:t>
      </w:r>
      <w:r w:rsidR="009F19E7" w:rsidRPr="003E5EB4">
        <w:rPr>
          <w:i w:val="0"/>
          <w:iCs/>
          <w:lang w:val="sl-SI"/>
        </w:rPr>
        <w:fldChar w:fldCharType="begin"/>
      </w:r>
      <w:r w:rsidR="009F19E7" w:rsidRPr="003E5EB4">
        <w:rPr>
          <w:i w:val="0"/>
          <w:iCs/>
          <w:lang w:val="sl-SI"/>
        </w:rPr>
        <w:instrText xml:space="preserve"> REF _Ref138239761 \h </w:instrText>
      </w:r>
      <w:r w:rsidR="003E5EB4" w:rsidRPr="003E5EB4">
        <w:rPr>
          <w:i w:val="0"/>
          <w:iCs/>
          <w:lang w:val="sl-SI"/>
        </w:rPr>
        <w:instrText xml:space="preserve"> \* MERGEFORMAT </w:instrText>
      </w:r>
      <w:r w:rsidR="009F19E7" w:rsidRPr="003E5EB4">
        <w:rPr>
          <w:i w:val="0"/>
          <w:iCs/>
          <w:lang w:val="sl-SI"/>
        </w:rPr>
      </w:r>
      <w:r w:rsidR="009F19E7" w:rsidRPr="003E5EB4">
        <w:rPr>
          <w:i w:val="0"/>
          <w:iCs/>
          <w:lang w:val="sl-SI"/>
        </w:rPr>
        <w:fldChar w:fldCharType="separate"/>
      </w:r>
      <w:r w:rsidR="00BA25CD" w:rsidRPr="00BA25CD">
        <w:rPr>
          <w:i w:val="0"/>
          <w:iCs/>
          <w:lang w:val="sl-SI"/>
        </w:rPr>
        <w:t>Tabela 1</w:t>
      </w:r>
      <w:r w:rsidR="00BA25CD" w:rsidRPr="00BA25CD">
        <w:rPr>
          <w:i w:val="0"/>
          <w:iCs/>
          <w:lang w:val="sl-SI"/>
        </w:rPr>
        <w:noBreakHyphen/>
        <w:t>2</w:t>
      </w:r>
      <w:r w:rsidR="009F19E7" w:rsidRPr="003E5EB4">
        <w:rPr>
          <w:i w:val="0"/>
          <w:iCs/>
          <w:lang w:val="sl-SI"/>
        </w:rPr>
        <w:fldChar w:fldCharType="end"/>
      </w:r>
      <w:r w:rsidRPr="00275FBD">
        <w:rPr>
          <w:i w:val="0"/>
          <w:iCs/>
          <w:lang w:val="sl-SI"/>
        </w:rPr>
        <w:t xml:space="preserve"> prikazuje </w:t>
      </w:r>
      <w:r w:rsidR="003E5EB4">
        <w:rPr>
          <w:i w:val="0"/>
          <w:iCs/>
          <w:lang w:val="sl-SI"/>
        </w:rPr>
        <w:t>povezave</w:t>
      </w:r>
      <w:r w:rsidR="003E5EB4" w:rsidRPr="00275FBD">
        <w:rPr>
          <w:i w:val="0"/>
          <w:iCs/>
          <w:lang w:val="sl-SI"/>
        </w:rPr>
        <w:t xml:space="preserve"> </w:t>
      </w:r>
      <w:r w:rsidRPr="00275FBD">
        <w:rPr>
          <w:i w:val="0"/>
          <w:iCs/>
          <w:lang w:val="sl-SI"/>
        </w:rPr>
        <w:t xml:space="preserve">med poročili </w:t>
      </w:r>
      <w:r w:rsidR="003E5EB4">
        <w:rPr>
          <w:i w:val="0"/>
          <w:iCs/>
          <w:lang w:val="sl-SI"/>
        </w:rPr>
        <w:t>v</w:t>
      </w:r>
      <w:r w:rsidR="003E5EB4" w:rsidRPr="00275FBD">
        <w:rPr>
          <w:i w:val="0"/>
          <w:iCs/>
          <w:lang w:val="sl-SI"/>
        </w:rPr>
        <w:t xml:space="preserve"> </w:t>
      </w:r>
      <w:r w:rsidRPr="00275FBD">
        <w:rPr>
          <w:i w:val="0"/>
          <w:iCs/>
          <w:lang w:val="sl-SI"/>
        </w:rPr>
        <w:t xml:space="preserve">fazi razvrščanja, </w:t>
      </w:r>
      <w:bookmarkStart w:id="19" w:name="_Hlk141350033"/>
      <w:r w:rsidRPr="00275FBD">
        <w:rPr>
          <w:i w:val="0"/>
          <w:iCs/>
          <w:lang w:val="sl-SI"/>
        </w:rPr>
        <w:t>določanja prednosti</w:t>
      </w:r>
      <w:bookmarkEnd w:id="19"/>
      <w:r w:rsidRPr="00275FBD">
        <w:rPr>
          <w:i w:val="0"/>
          <w:iCs/>
          <w:lang w:val="sl-SI"/>
        </w:rPr>
        <w:t xml:space="preserve"> in </w:t>
      </w:r>
      <w:r w:rsidR="000C7C28" w:rsidRPr="000C7C28">
        <w:rPr>
          <w:i w:val="0"/>
          <w:iCs/>
          <w:lang w:val="sl-SI"/>
        </w:rPr>
        <w:t>celovit</w:t>
      </w:r>
      <w:r w:rsidR="000C7C28">
        <w:rPr>
          <w:i w:val="0"/>
          <w:iCs/>
          <w:lang w:val="sl-SI"/>
        </w:rPr>
        <w:t>e</w:t>
      </w:r>
      <w:r w:rsidR="000C7C28" w:rsidRPr="00275FBD">
        <w:rPr>
          <w:lang w:val="sl-SI"/>
        </w:rPr>
        <w:t xml:space="preserve"> </w:t>
      </w:r>
      <w:r w:rsidRPr="00275FBD">
        <w:rPr>
          <w:i w:val="0"/>
          <w:iCs/>
          <w:lang w:val="sl-SI"/>
        </w:rPr>
        <w:t xml:space="preserve">ocene. Prispevki, rezultati, odgovornosti, komunikacija z </w:t>
      </w:r>
      <w:r w:rsidRPr="00275FBD">
        <w:rPr>
          <w:i w:val="0"/>
          <w:iCs/>
          <w:lang w:val="sl-SI"/>
        </w:rPr>
        <w:lastRenderedPageBreak/>
        <w:t xml:space="preserve">NEK in terminske obveznosti zunanjih članov projekta NEK PSR so bili natančno </w:t>
      </w:r>
      <w:r w:rsidR="00DC549D">
        <w:rPr>
          <w:i w:val="0"/>
          <w:iCs/>
          <w:lang w:val="sl-SI"/>
        </w:rPr>
        <w:t>določ</w:t>
      </w:r>
      <w:r w:rsidR="00DC549D" w:rsidRPr="00275FBD">
        <w:rPr>
          <w:i w:val="0"/>
          <w:iCs/>
          <w:lang w:val="sl-SI"/>
        </w:rPr>
        <w:t xml:space="preserve">eni </w:t>
      </w:r>
      <w:r w:rsidRPr="00275FBD">
        <w:rPr>
          <w:i w:val="0"/>
          <w:iCs/>
          <w:lang w:val="sl-SI"/>
        </w:rPr>
        <w:t>za vsako posamezno nalogo v skladu s specifikacijami NEK</w:t>
      </w:r>
      <w:r w:rsidR="003E5EB4">
        <w:rPr>
          <w:i w:val="0"/>
          <w:iCs/>
          <w:lang w:val="sl-SI"/>
        </w:rPr>
        <w:t xml:space="preserve"> za</w:t>
      </w:r>
      <w:r w:rsidRPr="00275FBD">
        <w:rPr>
          <w:i w:val="0"/>
          <w:iCs/>
          <w:lang w:val="sl-SI"/>
        </w:rPr>
        <w:t xml:space="preserve"> t</w:t>
      </w:r>
      <w:r w:rsidR="003E5EB4">
        <w:rPr>
          <w:i w:val="0"/>
          <w:iCs/>
          <w:lang w:val="sl-SI"/>
        </w:rPr>
        <w:t>a projekt</w:t>
      </w:r>
      <w:r w:rsidRPr="00275FBD">
        <w:rPr>
          <w:i w:val="0"/>
          <w:iCs/>
          <w:lang w:val="sl-SI"/>
        </w:rPr>
        <w:t>.</w:t>
      </w:r>
    </w:p>
    <w:p w14:paraId="0E8A3CE9" w14:textId="5D233480" w:rsidR="00E0176C" w:rsidRPr="00275FBD" w:rsidRDefault="00E0176C" w:rsidP="00E0176C">
      <w:pPr>
        <w:pStyle w:val="Napis"/>
        <w:rPr>
          <w:i w:val="0"/>
          <w:iCs/>
          <w:lang w:val="sl-SI"/>
        </w:rPr>
      </w:pPr>
      <w:r w:rsidRPr="00017DB9">
        <w:rPr>
          <w:i w:val="0"/>
          <w:iCs/>
          <w:lang w:val="sl-SI"/>
        </w:rPr>
        <w:t xml:space="preserve">Kar zadeva zunanje </w:t>
      </w:r>
      <w:r w:rsidR="000D177A">
        <w:rPr>
          <w:i w:val="0"/>
          <w:iCs/>
          <w:lang w:val="sl-SI"/>
        </w:rPr>
        <w:t>deležnike</w:t>
      </w:r>
      <w:r w:rsidR="000D177A" w:rsidRPr="00017DB9">
        <w:rPr>
          <w:i w:val="0"/>
          <w:iCs/>
          <w:lang w:val="sl-SI"/>
        </w:rPr>
        <w:t xml:space="preserve"> </w:t>
      </w:r>
      <w:r w:rsidRPr="00017DB9">
        <w:rPr>
          <w:i w:val="0"/>
          <w:iCs/>
          <w:lang w:val="sl-SI"/>
        </w:rPr>
        <w:t>projekta NEK PSR, k</w:t>
      </w:r>
      <w:r w:rsidR="00017DB9" w:rsidRPr="00017DB9">
        <w:rPr>
          <w:i w:val="0"/>
          <w:iCs/>
          <w:lang w:val="sl-SI"/>
        </w:rPr>
        <w:t>j</w:t>
      </w:r>
      <w:r w:rsidRPr="00017DB9">
        <w:rPr>
          <w:i w:val="0"/>
          <w:iCs/>
          <w:lang w:val="sl-SI"/>
        </w:rPr>
        <w:t xml:space="preserve">er je fazo pregleda varnostnih </w:t>
      </w:r>
      <w:r w:rsidR="00716249" w:rsidRPr="00716249">
        <w:rPr>
          <w:i w:val="0"/>
          <w:iCs/>
          <w:lang w:val="sl-SI"/>
        </w:rPr>
        <w:t>vsebin</w:t>
      </w:r>
      <w:r w:rsidRPr="00017DB9">
        <w:rPr>
          <w:i w:val="0"/>
          <w:iCs/>
          <w:lang w:val="sl-SI"/>
        </w:rPr>
        <w:t xml:space="preserve"> </w:t>
      </w:r>
      <w:r w:rsidR="009F19E7" w:rsidRPr="00017DB9">
        <w:rPr>
          <w:i w:val="0"/>
          <w:iCs/>
          <w:lang w:val="sl-SI"/>
        </w:rPr>
        <w:t>pri NEK</w:t>
      </w:r>
      <w:r w:rsidRPr="00017DB9">
        <w:rPr>
          <w:i w:val="0"/>
          <w:iCs/>
          <w:lang w:val="sl-SI"/>
        </w:rPr>
        <w:t xml:space="preserve"> PSR</w:t>
      </w:r>
      <w:r w:rsidR="009F19E7" w:rsidRPr="00017DB9">
        <w:rPr>
          <w:i w:val="0"/>
          <w:iCs/>
          <w:lang w:val="sl-SI"/>
        </w:rPr>
        <w:t>3</w:t>
      </w:r>
      <w:r w:rsidRPr="00017DB9">
        <w:rPr>
          <w:i w:val="0"/>
          <w:iCs/>
          <w:lang w:val="sl-SI"/>
        </w:rPr>
        <w:t xml:space="preserve"> izvajalo več izvajalcev,</w:t>
      </w:r>
      <w:r w:rsidRPr="00275FBD">
        <w:rPr>
          <w:i w:val="0"/>
          <w:iCs/>
          <w:lang w:val="sl-SI"/>
        </w:rPr>
        <w:t xml:space="preserve"> </w:t>
      </w:r>
      <w:r w:rsidR="00D72C7C" w:rsidRPr="00275FBD">
        <w:rPr>
          <w:i w:val="0"/>
          <w:iCs/>
          <w:lang w:val="sl-SI"/>
        </w:rPr>
        <w:t xml:space="preserve">je obstajala </w:t>
      </w:r>
      <w:r w:rsidR="009F19E7" w:rsidRPr="00275FBD">
        <w:rPr>
          <w:i w:val="0"/>
          <w:iCs/>
          <w:lang w:val="sl-SI"/>
        </w:rPr>
        <w:t>možnost,</w:t>
      </w:r>
      <w:r w:rsidRPr="00275FBD">
        <w:rPr>
          <w:i w:val="0"/>
          <w:iCs/>
          <w:lang w:val="sl-SI"/>
        </w:rPr>
        <w:t xml:space="preserve"> </w:t>
      </w:r>
      <w:r w:rsidR="009F19E7" w:rsidRPr="00275FBD">
        <w:rPr>
          <w:i w:val="0"/>
          <w:iCs/>
          <w:lang w:val="sl-SI"/>
        </w:rPr>
        <w:t>da</w:t>
      </w:r>
      <w:r w:rsidRPr="00275FBD">
        <w:rPr>
          <w:i w:val="0"/>
          <w:iCs/>
          <w:lang w:val="sl-SI"/>
        </w:rPr>
        <w:t xml:space="preserve"> </w:t>
      </w:r>
      <w:r w:rsidR="009F19E7" w:rsidRPr="00275FBD">
        <w:rPr>
          <w:i w:val="0"/>
          <w:iCs/>
          <w:lang w:val="sl-SI"/>
        </w:rPr>
        <w:t xml:space="preserve">ne bi </w:t>
      </w:r>
      <w:r w:rsidRPr="00275FBD">
        <w:rPr>
          <w:i w:val="0"/>
          <w:iCs/>
          <w:lang w:val="sl-SI"/>
        </w:rPr>
        <w:t xml:space="preserve">bile vzpostavljene vse </w:t>
      </w:r>
      <w:r w:rsidR="004A1EEB">
        <w:rPr>
          <w:i w:val="0"/>
          <w:iCs/>
          <w:lang w:val="sl-SI"/>
        </w:rPr>
        <w:t>zveze</w:t>
      </w:r>
      <w:r w:rsidR="004A1EEB" w:rsidRPr="00275FBD">
        <w:rPr>
          <w:i w:val="0"/>
          <w:iCs/>
          <w:lang w:val="sl-SI"/>
        </w:rPr>
        <w:t xml:space="preserve"> </w:t>
      </w:r>
      <w:r w:rsidRPr="00275FBD">
        <w:rPr>
          <w:i w:val="0"/>
          <w:iCs/>
          <w:lang w:val="sl-SI"/>
        </w:rPr>
        <w:t xml:space="preserve">za izmenjavo informacij. Temu je bila posebna pozornost namenjena med fazo </w:t>
      </w:r>
      <w:r w:rsidR="00D00871">
        <w:rPr>
          <w:i w:val="0"/>
          <w:iCs/>
          <w:lang w:val="sl-SI"/>
        </w:rPr>
        <w:t>varnostne</w:t>
      </w:r>
      <w:r w:rsidRPr="00275FBD">
        <w:rPr>
          <w:i w:val="0"/>
          <w:iCs/>
          <w:lang w:val="sl-SI"/>
        </w:rPr>
        <w:t>ga ocenjevanja in prednostnega razvrščanja, med katero so bil</w:t>
      </w:r>
      <w:r w:rsidR="008335E8">
        <w:rPr>
          <w:i w:val="0"/>
          <w:iCs/>
          <w:lang w:val="sl-SI"/>
        </w:rPr>
        <w:t>e</w:t>
      </w:r>
      <w:r w:rsidRPr="00275FBD">
        <w:rPr>
          <w:i w:val="0"/>
          <w:iCs/>
          <w:lang w:val="sl-SI"/>
        </w:rPr>
        <w:t xml:space="preserve"> </w:t>
      </w:r>
      <w:r w:rsidR="008335E8">
        <w:rPr>
          <w:i w:val="0"/>
          <w:iCs/>
          <w:lang w:val="sl-SI"/>
        </w:rPr>
        <w:t>povezave</w:t>
      </w:r>
      <w:r w:rsidRPr="00275FBD">
        <w:rPr>
          <w:i w:val="0"/>
          <w:iCs/>
          <w:lang w:val="sl-SI"/>
        </w:rPr>
        <w:t xml:space="preserve"> in </w:t>
      </w:r>
      <w:r w:rsidR="00BD3CF4" w:rsidRPr="00275FBD">
        <w:rPr>
          <w:i w:val="0"/>
          <w:iCs/>
          <w:lang w:val="sl-SI"/>
        </w:rPr>
        <w:t>najdbe</w:t>
      </w:r>
      <w:r w:rsidRPr="00275FBD">
        <w:rPr>
          <w:i w:val="0"/>
          <w:iCs/>
          <w:lang w:val="sl-SI"/>
        </w:rPr>
        <w:t xml:space="preserve"> ustrezno in v celoti obravnavan</w:t>
      </w:r>
      <w:r w:rsidR="00017DB9">
        <w:rPr>
          <w:i w:val="0"/>
          <w:iCs/>
          <w:lang w:val="sl-SI"/>
        </w:rPr>
        <w:t>e</w:t>
      </w:r>
      <w:r w:rsidRPr="00275FBD">
        <w:rPr>
          <w:i w:val="0"/>
          <w:iCs/>
          <w:lang w:val="sl-SI"/>
        </w:rPr>
        <w:t xml:space="preserve"> ob upoštevanju vseh prispevajočih dejavnikov.</w:t>
      </w:r>
    </w:p>
    <w:p w14:paraId="0E825C4B" w14:textId="4C5C5DE0" w:rsidR="00CD57AE" w:rsidRPr="00275FBD" w:rsidRDefault="00904B97" w:rsidP="00CF3246">
      <w:pPr>
        <w:pStyle w:val="Napis"/>
        <w:rPr>
          <w:i w:val="0"/>
          <w:iCs/>
          <w:lang w:val="sl-SI"/>
        </w:rPr>
      </w:pPr>
      <w:r w:rsidRPr="00275FBD">
        <w:rPr>
          <w:bCs w:val="0"/>
          <w:i w:val="0"/>
          <w:iCs/>
          <w:noProof/>
          <w:lang w:val="sl-SI" w:eastAsia="en-GB"/>
        </w:rPr>
        <mc:AlternateContent>
          <mc:Choice Requires="wps">
            <w:drawing>
              <wp:anchor distT="0" distB="0" distL="114300" distR="114300" simplePos="0" relativeHeight="251662848" behindDoc="0" locked="0" layoutInCell="1" allowOverlap="1" wp14:anchorId="063C2EF5" wp14:editId="0041FC99">
                <wp:simplePos x="0" y="0"/>
                <wp:positionH relativeFrom="column">
                  <wp:posOffset>3024505</wp:posOffset>
                </wp:positionH>
                <wp:positionV relativeFrom="paragraph">
                  <wp:posOffset>2453005</wp:posOffset>
                </wp:positionV>
                <wp:extent cx="409575" cy="104775"/>
                <wp:effectExtent l="0" t="0" r="4445" b="4445"/>
                <wp:wrapNone/>
                <wp:docPr id="3" name="Text Box 3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0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2100B" w14:textId="77777777" w:rsidR="00FB4DD2" w:rsidRDefault="00FB4DD2" w:rsidP="00B808E0">
                            <w:r>
                              <w:rPr>
                                <w:noProof/>
                                <w:lang w:eastAsia="en-GB"/>
                              </w:rPr>
                              <w:drawing>
                                <wp:inline distT="0" distB="0" distL="0" distR="0" wp14:anchorId="0E510EAB" wp14:editId="4A90380F">
                                  <wp:extent cx="212725" cy="53340"/>
                                  <wp:effectExtent l="0" t="0" r="0" b="381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2725" cy="53340"/>
                                          </a:xfrm>
                                          <a:prstGeom prst="rect">
                                            <a:avLst/>
                                          </a:prstGeom>
                                          <a:noFill/>
                                          <a:ln>
                                            <a:noFill/>
                                          </a:ln>
                                        </pic:spPr>
                                      </pic:pic>
                                    </a:graphicData>
                                  </a:graphic>
                                </wp:inline>
                              </w:drawing>
                            </w:r>
                            <w:r>
                              <w:rPr>
                                <w:noProof/>
                                <w:lang w:eastAsia="en-GB"/>
                              </w:rPr>
                              <w:drawing>
                                <wp:inline distT="0" distB="0" distL="0" distR="0" wp14:anchorId="32895FA8" wp14:editId="19C37EB4">
                                  <wp:extent cx="212725" cy="53340"/>
                                  <wp:effectExtent l="0" t="0" r="0" b="381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2725" cy="533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C2EF5" id="_x0000_t202" coordsize="21600,21600" o:spt="202" path="m,l,21600r21600,l21600,xe">
                <v:stroke joinstyle="miter"/>
                <v:path gradientshapeok="t" o:connecttype="rect"/>
              </v:shapetype>
              <v:shape id="Text Box 369" o:spid="_x0000_s1026" type="#_x0000_t202" alt="&quot;&quot;" style="position:absolute;left:0;text-align:left;margin-left:238.15pt;margin-top:193.15pt;width:32.2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" stroked="f">
                <v:textbox>
                  <w:txbxContent>
                    <w:p w14:paraId="35F2100B" w14:textId="77777777" w:rsidR="00FB4DD2" w:rsidRDefault="00FB4DD2" w:rsidP="00B808E0">
                      <w:r>
                        <w:rPr>
                          <w:noProof/>
                          <w:lang w:eastAsia="en-GB"/>
                        </w:rPr>
                        <w:drawing>
                          <wp:inline distT="0" distB="0" distL="0" distR="0" wp14:anchorId="0E510EAB" wp14:editId="4A90380F">
                            <wp:extent cx="212725" cy="53340"/>
                            <wp:effectExtent l="0" t="0" r="0" b="381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2725" cy="53340"/>
                                    </a:xfrm>
                                    <a:prstGeom prst="rect">
                                      <a:avLst/>
                                    </a:prstGeom>
                                    <a:noFill/>
                                    <a:ln>
                                      <a:noFill/>
                                    </a:ln>
                                  </pic:spPr>
                                </pic:pic>
                              </a:graphicData>
                            </a:graphic>
                          </wp:inline>
                        </w:drawing>
                      </w:r>
                      <w:r>
                        <w:rPr>
                          <w:noProof/>
                          <w:lang w:eastAsia="en-GB"/>
                        </w:rPr>
                        <w:drawing>
                          <wp:inline distT="0" distB="0" distL="0" distR="0" wp14:anchorId="32895FA8" wp14:editId="19C37EB4">
                            <wp:extent cx="212725" cy="53340"/>
                            <wp:effectExtent l="0" t="0" r="0" b="381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2725" cy="53340"/>
                                    </a:xfrm>
                                    <a:prstGeom prst="rect">
                                      <a:avLst/>
                                    </a:prstGeom>
                                    <a:noFill/>
                                    <a:ln>
                                      <a:noFill/>
                                    </a:ln>
                                  </pic:spPr>
                                </pic:pic>
                              </a:graphicData>
                            </a:graphic>
                          </wp:inline>
                        </w:drawing>
                      </w:r>
                    </w:p>
                  </w:txbxContent>
                </v:textbox>
              </v:shape>
            </w:pict>
          </mc:Fallback>
        </mc:AlternateContent>
      </w:r>
    </w:p>
    <w:p w14:paraId="2052BAC2" w14:textId="77777777" w:rsidR="00CF3246" w:rsidRPr="00275FBD" w:rsidRDefault="00CF3246" w:rsidP="00CF3246">
      <w:pPr>
        <w:rPr>
          <w:lang w:val="sl-SI"/>
        </w:rPr>
      </w:pPr>
    </w:p>
    <w:p w14:paraId="3A1B5E4C" w14:textId="77777777" w:rsidR="006C18A2" w:rsidRPr="00275FBD" w:rsidRDefault="006C18A2" w:rsidP="00573FD8">
      <w:pPr>
        <w:rPr>
          <w:lang w:val="sl-SI"/>
        </w:rPr>
        <w:sectPr w:rsidR="006C18A2" w:rsidRPr="00275FBD" w:rsidSect="005F6909">
          <w:headerReference w:type="default" r:id="rId26"/>
          <w:footerReference w:type="default" r:id="rId27"/>
          <w:footnotePr>
            <w:numRestart w:val="eachPage"/>
          </w:footnotePr>
          <w:pgSz w:w="11906" w:h="16838"/>
          <w:pgMar w:top="1417" w:right="1417" w:bottom="1134" w:left="1417" w:header="708" w:footer="708" w:gutter="0"/>
          <w:cols w:space="708"/>
          <w:docGrid w:linePitch="360"/>
        </w:sectPr>
      </w:pPr>
    </w:p>
    <w:p w14:paraId="4889F617" w14:textId="45558B3D" w:rsidR="001F4F46" w:rsidRPr="00275FBD" w:rsidRDefault="001F4F46" w:rsidP="001F4F46">
      <w:pPr>
        <w:pStyle w:val="Napis"/>
        <w:rPr>
          <w:lang w:val="sl-SI"/>
        </w:rPr>
      </w:pPr>
      <w:bookmarkStart w:id="20" w:name="_Ref138239690"/>
      <w:bookmarkStart w:id="21" w:name="_Toc163197436"/>
      <w:r w:rsidRPr="00275FBD">
        <w:rPr>
          <w:lang w:val="sl-SI"/>
        </w:rPr>
        <w:lastRenderedPageBreak/>
        <w:t xml:space="preserve">Tabela </w:t>
      </w:r>
      <w:r w:rsidR="00D51CB7" w:rsidRPr="00275FBD">
        <w:rPr>
          <w:lang w:val="sl-SI"/>
        </w:rPr>
        <w:fldChar w:fldCharType="begin"/>
      </w:r>
      <w:r w:rsidR="00D51CB7" w:rsidRPr="00275FBD">
        <w:rPr>
          <w:lang w:val="sl-SI"/>
        </w:rPr>
        <w:instrText xml:space="preserve"> STYLEREF 1 \s </w:instrText>
      </w:r>
      <w:r w:rsidR="00D51CB7" w:rsidRPr="00275FBD">
        <w:rPr>
          <w:lang w:val="sl-SI"/>
        </w:rPr>
        <w:fldChar w:fldCharType="separate"/>
      </w:r>
      <w:r w:rsidR="00BA25CD">
        <w:rPr>
          <w:noProof/>
          <w:lang w:val="sl-SI"/>
        </w:rPr>
        <w:t>1</w:t>
      </w:r>
      <w:r w:rsidR="00D51CB7" w:rsidRPr="00275FBD">
        <w:rPr>
          <w:lang w:val="sl-SI"/>
        </w:rPr>
        <w:fldChar w:fldCharType="end"/>
      </w:r>
      <w:r w:rsidR="00D51CB7" w:rsidRPr="00275FBD">
        <w:rPr>
          <w:lang w:val="sl-SI"/>
        </w:rPr>
        <w:noBreakHyphen/>
      </w:r>
      <w:r w:rsidR="00D51CB7" w:rsidRPr="00275FBD">
        <w:rPr>
          <w:lang w:val="sl-SI"/>
        </w:rPr>
        <w:fldChar w:fldCharType="begin"/>
      </w:r>
      <w:r w:rsidR="00D51CB7" w:rsidRPr="00275FBD">
        <w:rPr>
          <w:lang w:val="sl-SI"/>
        </w:rPr>
        <w:instrText xml:space="preserve"> SEQ Tabela \* ARABIC \s 1 </w:instrText>
      </w:r>
      <w:r w:rsidR="00D51CB7" w:rsidRPr="00275FBD">
        <w:rPr>
          <w:lang w:val="sl-SI"/>
        </w:rPr>
        <w:fldChar w:fldCharType="separate"/>
      </w:r>
      <w:r w:rsidR="00BA25CD">
        <w:rPr>
          <w:noProof/>
          <w:lang w:val="sl-SI"/>
        </w:rPr>
        <w:t>1</w:t>
      </w:r>
      <w:r w:rsidR="00D51CB7" w:rsidRPr="00275FBD">
        <w:rPr>
          <w:lang w:val="sl-SI"/>
        </w:rPr>
        <w:fldChar w:fldCharType="end"/>
      </w:r>
      <w:bookmarkEnd w:id="20"/>
      <w:r w:rsidRPr="00275FBD">
        <w:rPr>
          <w:lang w:val="sl-SI"/>
        </w:rPr>
        <w:t xml:space="preserve">: </w:t>
      </w:r>
      <w:r w:rsidR="00D96AA0" w:rsidRPr="00275FBD">
        <w:rPr>
          <w:lang w:val="sl-SI"/>
        </w:rPr>
        <w:t xml:space="preserve">Pregled poročil iz faze pregledovanja varnostnih </w:t>
      </w:r>
      <w:r w:rsidR="00D00871">
        <w:rPr>
          <w:lang w:val="sl-SI"/>
        </w:rPr>
        <w:t>vsebin</w:t>
      </w:r>
      <w:r w:rsidR="00FD3159">
        <w:rPr>
          <w:lang w:val="sl-SI"/>
        </w:rPr>
        <w:t xml:space="preserve"> </w:t>
      </w:r>
      <w:r w:rsidR="001D65DF">
        <w:rPr>
          <w:lang w:val="sl-SI"/>
        </w:rPr>
        <w:t>v</w:t>
      </w:r>
      <w:r w:rsidR="001D65DF" w:rsidRPr="00275FBD">
        <w:rPr>
          <w:lang w:val="sl-SI"/>
        </w:rPr>
        <w:t xml:space="preserve"> </w:t>
      </w:r>
      <w:r w:rsidR="00D96AA0" w:rsidRPr="00275FBD">
        <w:rPr>
          <w:lang w:val="sl-SI"/>
        </w:rPr>
        <w:t>NEK PSR3</w:t>
      </w:r>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4"/>
        <w:gridCol w:w="1950"/>
      </w:tblGrid>
      <w:tr w:rsidR="00AB339C" w:rsidRPr="00275FBD" w14:paraId="2FED052E" w14:textId="77777777" w:rsidTr="004C0CD7">
        <w:trPr>
          <w:jc w:val="center"/>
        </w:trPr>
        <w:tc>
          <w:tcPr>
            <w:tcW w:w="6334" w:type="dxa"/>
            <w:shd w:val="clear" w:color="auto" w:fill="D9D9D9"/>
          </w:tcPr>
          <w:p w14:paraId="7F929ED4" w14:textId="5089F56B" w:rsidR="00AB339C" w:rsidRPr="00275FBD" w:rsidRDefault="009C3C92" w:rsidP="00712267">
            <w:pPr>
              <w:spacing w:before="60" w:after="60"/>
              <w:jc w:val="left"/>
              <w:rPr>
                <w:b/>
                <w:szCs w:val="20"/>
                <w:lang w:val="sl-SI"/>
              </w:rPr>
            </w:pPr>
            <w:r>
              <w:rPr>
                <w:b/>
                <w:szCs w:val="20"/>
                <w:lang w:val="sl-SI"/>
              </w:rPr>
              <w:t>V</w:t>
            </w:r>
            <w:r w:rsidRPr="009C3C92">
              <w:rPr>
                <w:b/>
                <w:szCs w:val="20"/>
                <w:lang w:val="sl-SI"/>
              </w:rPr>
              <w:t>arnostn</w:t>
            </w:r>
            <w:r w:rsidR="001D65DF">
              <w:rPr>
                <w:b/>
                <w:szCs w:val="20"/>
                <w:lang w:val="sl-SI"/>
              </w:rPr>
              <w:t>e vsebine</w:t>
            </w:r>
          </w:p>
        </w:tc>
        <w:tc>
          <w:tcPr>
            <w:tcW w:w="1950" w:type="dxa"/>
            <w:shd w:val="clear" w:color="auto" w:fill="D9D9D9"/>
          </w:tcPr>
          <w:p w14:paraId="36E42779" w14:textId="14219E5B" w:rsidR="00AB339C" w:rsidRPr="00275FBD" w:rsidRDefault="009C3C92" w:rsidP="00712267">
            <w:pPr>
              <w:spacing w:before="60" w:after="60"/>
              <w:rPr>
                <w:b/>
                <w:szCs w:val="20"/>
                <w:lang w:val="sl-SI"/>
              </w:rPr>
            </w:pPr>
            <w:r>
              <w:rPr>
                <w:b/>
                <w:szCs w:val="20"/>
                <w:lang w:val="sl-SI"/>
              </w:rPr>
              <w:t>Poročilo</w:t>
            </w:r>
          </w:p>
        </w:tc>
      </w:tr>
      <w:tr w:rsidR="00AB339C" w:rsidRPr="00275FBD" w14:paraId="3DA97BE6" w14:textId="77777777" w:rsidTr="004C0CD7">
        <w:trPr>
          <w:jc w:val="center"/>
        </w:trPr>
        <w:tc>
          <w:tcPr>
            <w:tcW w:w="6334" w:type="dxa"/>
            <w:shd w:val="clear" w:color="auto" w:fill="auto"/>
          </w:tcPr>
          <w:p w14:paraId="32EC9373" w14:textId="25E89C21" w:rsidR="00AB339C" w:rsidRPr="00275FBD" w:rsidRDefault="00AB339C" w:rsidP="00712267">
            <w:pPr>
              <w:spacing w:before="60" w:after="60"/>
              <w:jc w:val="left"/>
              <w:rPr>
                <w:szCs w:val="20"/>
                <w:lang w:val="sl-SI"/>
              </w:rPr>
            </w:pPr>
            <w:r w:rsidRPr="00275FBD">
              <w:rPr>
                <w:szCs w:val="20"/>
                <w:lang w:val="sl-SI"/>
              </w:rPr>
              <w:t xml:space="preserve">(1) </w:t>
            </w:r>
            <w:r w:rsidR="004C0CD7" w:rsidRPr="00275FBD">
              <w:rPr>
                <w:szCs w:val="20"/>
                <w:lang w:val="sl-SI"/>
              </w:rPr>
              <w:t>Projekt objekta</w:t>
            </w:r>
          </w:p>
        </w:tc>
        <w:tc>
          <w:tcPr>
            <w:tcW w:w="1950" w:type="dxa"/>
            <w:shd w:val="clear" w:color="auto" w:fill="auto"/>
          </w:tcPr>
          <w:p w14:paraId="38E15F2C" w14:textId="6F208F5B" w:rsidR="00AB339C" w:rsidRPr="00275FBD" w:rsidRDefault="00AB339C" w:rsidP="00712267">
            <w:pPr>
              <w:spacing w:before="60" w:after="60"/>
              <w:rPr>
                <w:szCs w:val="20"/>
                <w:lang w:val="sl-SI"/>
              </w:rPr>
            </w:pPr>
            <w:r w:rsidRPr="00275FBD">
              <w:rPr>
                <w:szCs w:val="20"/>
                <w:lang w:val="sl-SI"/>
              </w:rPr>
              <w:t>PSR3-NEK-1.1</w:t>
            </w:r>
          </w:p>
        </w:tc>
      </w:tr>
      <w:tr w:rsidR="00AB339C" w:rsidRPr="00275FBD" w14:paraId="225396FA" w14:textId="77777777" w:rsidTr="004C0CD7">
        <w:trPr>
          <w:jc w:val="center"/>
        </w:trPr>
        <w:tc>
          <w:tcPr>
            <w:tcW w:w="6334" w:type="dxa"/>
            <w:shd w:val="clear" w:color="auto" w:fill="auto"/>
          </w:tcPr>
          <w:p w14:paraId="2A02FB00" w14:textId="36BF9CD9" w:rsidR="00AB339C" w:rsidRPr="00275FBD" w:rsidRDefault="00AB339C" w:rsidP="00712267">
            <w:pPr>
              <w:spacing w:before="60" w:after="60"/>
              <w:jc w:val="left"/>
              <w:rPr>
                <w:szCs w:val="20"/>
                <w:lang w:val="sl-SI"/>
              </w:rPr>
            </w:pPr>
            <w:r w:rsidRPr="00275FBD">
              <w:rPr>
                <w:szCs w:val="20"/>
                <w:lang w:val="sl-SI"/>
              </w:rPr>
              <w:t xml:space="preserve">(2) </w:t>
            </w:r>
            <w:r w:rsidR="004C0CD7" w:rsidRPr="00275FBD">
              <w:rPr>
                <w:szCs w:val="20"/>
                <w:lang w:val="sl-SI"/>
              </w:rPr>
              <w:t>Dejansko stanje SSK</w:t>
            </w:r>
          </w:p>
        </w:tc>
        <w:tc>
          <w:tcPr>
            <w:tcW w:w="1950" w:type="dxa"/>
            <w:shd w:val="clear" w:color="auto" w:fill="auto"/>
          </w:tcPr>
          <w:p w14:paraId="4F63FDAD" w14:textId="78AED37B" w:rsidR="00AB339C" w:rsidRPr="00275FBD" w:rsidRDefault="00AB339C" w:rsidP="00712267">
            <w:pPr>
              <w:spacing w:before="60" w:after="60"/>
              <w:rPr>
                <w:szCs w:val="20"/>
                <w:lang w:val="sl-SI"/>
              </w:rPr>
            </w:pPr>
            <w:r w:rsidRPr="00275FBD">
              <w:rPr>
                <w:szCs w:val="20"/>
                <w:lang w:val="sl-SI"/>
              </w:rPr>
              <w:t>PSR3-NEK-1.2</w:t>
            </w:r>
          </w:p>
        </w:tc>
      </w:tr>
      <w:tr w:rsidR="00AB339C" w:rsidRPr="00275FBD" w14:paraId="7C6B7DF8" w14:textId="77777777" w:rsidTr="004C0CD7">
        <w:trPr>
          <w:jc w:val="center"/>
        </w:trPr>
        <w:tc>
          <w:tcPr>
            <w:tcW w:w="6334" w:type="dxa"/>
            <w:shd w:val="clear" w:color="auto" w:fill="auto"/>
          </w:tcPr>
          <w:p w14:paraId="7BD3B195" w14:textId="797A17B0" w:rsidR="00AB339C" w:rsidRPr="00275FBD" w:rsidRDefault="00AB339C" w:rsidP="00712267">
            <w:pPr>
              <w:spacing w:before="60" w:after="60"/>
              <w:jc w:val="left"/>
              <w:rPr>
                <w:szCs w:val="20"/>
                <w:lang w:val="sl-SI"/>
              </w:rPr>
            </w:pPr>
            <w:r w:rsidRPr="00275FBD">
              <w:rPr>
                <w:szCs w:val="20"/>
                <w:lang w:val="sl-SI"/>
              </w:rPr>
              <w:t xml:space="preserve">(3) </w:t>
            </w:r>
            <w:r w:rsidR="004C0CD7" w:rsidRPr="00275FBD">
              <w:rPr>
                <w:szCs w:val="20"/>
                <w:lang w:val="sl-SI"/>
              </w:rPr>
              <w:t>Kvalifikacija opreme</w:t>
            </w:r>
          </w:p>
        </w:tc>
        <w:tc>
          <w:tcPr>
            <w:tcW w:w="1950" w:type="dxa"/>
            <w:shd w:val="clear" w:color="auto" w:fill="auto"/>
          </w:tcPr>
          <w:p w14:paraId="0350AD40" w14:textId="3E2A9703" w:rsidR="00AB339C" w:rsidRPr="00275FBD" w:rsidRDefault="00AB339C" w:rsidP="00712267">
            <w:pPr>
              <w:spacing w:before="60" w:after="60"/>
              <w:rPr>
                <w:szCs w:val="20"/>
                <w:lang w:val="sl-SI"/>
              </w:rPr>
            </w:pPr>
            <w:r w:rsidRPr="00275FBD">
              <w:rPr>
                <w:szCs w:val="20"/>
                <w:lang w:val="sl-SI"/>
              </w:rPr>
              <w:t>PSR3-NEK-1.3</w:t>
            </w:r>
          </w:p>
        </w:tc>
      </w:tr>
      <w:tr w:rsidR="00AB339C" w:rsidRPr="00275FBD" w14:paraId="0624E62C" w14:textId="77777777" w:rsidTr="004C0CD7">
        <w:trPr>
          <w:jc w:val="center"/>
        </w:trPr>
        <w:tc>
          <w:tcPr>
            <w:tcW w:w="6334" w:type="dxa"/>
            <w:shd w:val="clear" w:color="auto" w:fill="auto"/>
          </w:tcPr>
          <w:p w14:paraId="42CC8549" w14:textId="233DFAED" w:rsidR="00AB339C" w:rsidRPr="00275FBD" w:rsidRDefault="00AB339C" w:rsidP="00712267">
            <w:pPr>
              <w:spacing w:before="60" w:after="60"/>
              <w:jc w:val="left"/>
              <w:rPr>
                <w:szCs w:val="20"/>
                <w:lang w:val="sl-SI"/>
              </w:rPr>
            </w:pPr>
            <w:r w:rsidRPr="00275FBD">
              <w:rPr>
                <w:szCs w:val="20"/>
                <w:lang w:val="sl-SI"/>
              </w:rPr>
              <w:t xml:space="preserve">(4) </w:t>
            </w:r>
            <w:r w:rsidR="004C0CD7" w:rsidRPr="00275FBD">
              <w:rPr>
                <w:szCs w:val="20"/>
                <w:lang w:val="sl-SI"/>
              </w:rPr>
              <w:t>Staranje objekta</w:t>
            </w:r>
          </w:p>
        </w:tc>
        <w:tc>
          <w:tcPr>
            <w:tcW w:w="1950" w:type="dxa"/>
            <w:shd w:val="clear" w:color="auto" w:fill="auto"/>
          </w:tcPr>
          <w:p w14:paraId="3B221477" w14:textId="54A3EBDE" w:rsidR="00AB339C" w:rsidRPr="00275FBD" w:rsidRDefault="00AB339C" w:rsidP="00712267">
            <w:pPr>
              <w:spacing w:before="60" w:after="60"/>
              <w:rPr>
                <w:szCs w:val="20"/>
                <w:lang w:val="sl-SI"/>
              </w:rPr>
            </w:pPr>
            <w:r w:rsidRPr="00275FBD">
              <w:rPr>
                <w:szCs w:val="20"/>
                <w:lang w:val="sl-SI"/>
              </w:rPr>
              <w:t>PSR3-NEK-1.4</w:t>
            </w:r>
          </w:p>
        </w:tc>
      </w:tr>
      <w:tr w:rsidR="00AB339C" w:rsidRPr="00275FBD" w14:paraId="73B9662B" w14:textId="77777777" w:rsidTr="004C0CD7">
        <w:trPr>
          <w:jc w:val="center"/>
        </w:trPr>
        <w:tc>
          <w:tcPr>
            <w:tcW w:w="6334" w:type="dxa"/>
            <w:shd w:val="clear" w:color="auto" w:fill="auto"/>
          </w:tcPr>
          <w:p w14:paraId="509ED1BE" w14:textId="37F044F2" w:rsidR="00AB339C" w:rsidRPr="00275FBD" w:rsidRDefault="00AB339C" w:rsidP="00A4727C">
            <w:pPr>
              <w:spacing w:before="60" w:after="60"/>
              <w:ind w:left="371" w:hanging="371"/>
              <w:jc w:val="left"/>
              <w:rPr>
                <w:szCs w:val="20"/>
                <w:lang w:val="sl-SI"/>
              </w:rPr>
            </w:pPr>
            <w:r w:rsidRPr="00275FBD">
              <w:rPr>
                <w:szCs w:val="20"/>
                <w:lang w:val="sl-SI"/>
              </w:rPr>
              <w:t>(5) Deterministi</w:t>
            </w:r>
            <w:r w:rsidR="004C0CD7" w:rsidRPr="00275FBD">
              <w:rPr>
                <w:szCs w:val="20"/>
                <w:lang w:val="sl-SI"/>
              </w:rPr>
              <w:t>čne varnostne analize objekta</w:t>
            </w:r>
          </w:p>
        </w:tc>
        <w:tc>
          <w:tcPr>
            <w:tcW w:w="1950" w:type="dxa"/>
            <w:shd w:val="clear" w:color="auto" w:fill="auto"/>
          </w:tcPr>
          <w:p w14:paraId="77E142DB" w14:textId="49887DF9" w:rsidR="00AB339C" w:rsidRPr="00275FBD" w:rsidRDefault="00AB339C" w:rsidP="00A4727C">
            <w:pPr>
              <w:spacing w:before="60" w:after="60"/>
              <w:rPr>
                <w:szCs w:val="20"/>
                <w:lang w:val="sl-SI"/>
              </w:rPr>
            </w:pPr>
            <w:r w:rsidRPr="00275FBD">
              <w:rPr>
                <w:szCs w:val="20"/>
                <w:lang w:val="sl-SI"/>
              </w:rPr>
              <w:t>PSR3-NEK-2.1</w:t>
            </w:r>
          </w:p>
        </w:tc>
      </w:tr>
      <w:tr w:rsidR="00AB339C" w:rsidRPr="00275FBD" w14:paraId="53935D86" w14:textId="77777777" w:rsidTr="004C0CD7">
        <w:trPr>
          <w:jc w:val="center"/>
        </w:trPr>
        <w:tc>
          <w:tcPr>
            <w:tcW w:w="6334" w:type="dxa"/>
            <w:shd w:val="clear" w:color="auto" w:fill="auto"/>
          </w:tcPr>
          <w:p w14:paraId="2A916AC5" w14:textId="441D6DF9" w:rsidR="00AB339C" w:rsidRPr="00275FBD" w:rsidRDefault="00AB339C" w:rsidP="00A4727C">
            <w:pPr>
              <w:spacing w:before="60" w:after="60"/>
              <w:ind w:left="371" w:hanging="371"/>
              <w:jc w:val="left"/>
              <w:rPr>
                <w:szCs w:val="20"/>
                <w:lang w:val="sl-SI"/>
              </w:rPr>
            </w:pPr>
            <w:r w:rsidRPr="00275FBD">
              <w:rPr>
                <w:szCs w:val="20"/>
                <w:lang w:val="sl-SI"/>
              </w:rPr>
              <w:t xml:space="preserve">(6) </w:t>
            </w:r>
            <w:r w:rsidR="004C0CD7" w:rsidRPr="00275FBD">
              <w:rPr>
                <w:szCs w:val="20"/>
                <w:lang w:val="sl-SI"/>
              </w:rPr>
              <w:t>Verjetnostne varnostne analize objekta</w:t>
            </w:r>
          </w:p>
        </w:tc>
        <w:tc>
          <w:tcPr>
            <w:tcW w:w="1950" w:type="dxa"/>
            <w:shd w:val="clear" w:color="auto" w:fill="auto"/>
          </w:tcPr>
          <w:p w14:paraId="27B9D7D1" w14:textId="1591F71C" w:rsidR="00AB339C" w:rsidRPr="00275FBD" w:rsidRDefault="00AB339C" w:rsidP="00A4727C">
            <w:pPr>
              <w:spacing w:before="60" w:after="60"/>
              <w:rPr>
                <w:szCs w:val="20"/>
                <w:lang w:val="sl-SI"/>
              </w:rPr>
            </w:pPr>
            <w:r w:rsidRPr="00275FBD">
              <w:rPr>
                <w:szCs w:val="20"/>
                <w:lang w:val="sl-SI"/>
              </w:rPr>
              <w:t>PSR3-NEK-2.2</w:t>
            </w:r>
          </w:p>
        </w:tc>
      </w:tr>
      <w:tr w:rsidR="00AB339C" w:rsidRPr="00275FBD" w14:paraId="04C677A3" w14:textId="77777777" w:rsidTr="004C0CD7">
        <w:trPr>
          <w:jc w:val="center"/>
        </w:trPr>
        <w:tc>
          <w:tcPr>
            <w:tcW w:w="6334" w:type="dxa"/>
            <w:shd w:val="clear" w:color="auto" w:fill="auto"/>
          </w:tcPr>
          <w:p w14:paraId="5777C8AD" w14:textId="0CDE70A8" w:rsidR="00AB339C" w:rsidRPr="00275FBD" w:rsidRDefault="00AB339C" w:rsidP="004C0CD7">
            <w:pPr>
              <w:spacing w:before="60" w:after="60"/>
              <w:ind w:left="347" w:hanging="347"/>
              <w:jc w:val="left"/>
              <w:rPr>
                <w:szCs w:val="20"/>
                <w:lang w:val="sl-SI"/>
              </w:rPr>
            </w:pPr>
            <w:r w:rsidRPr="00275FBD">
              <w:rPr>
                <w:szCs w:val="20"/>
                <w:lang w:val="sl-SI"/>
              </w:rPr>
              <w:t xml:space="preserve">(7) </w:t>
            </w:r>
            <w:r w:rsidR="004C0CD7" w:rsidRPr="00275FBD">
              <w:rPr>
                <w:szCs w:val="20"/>
                <w:lang w:val="sl-SI"/>
              </w:rPr>
              <w:t>Analize ogroženosti in možnih nevarnosti glede na jedrsko in sevalno varnost</w:t>
            </w:r>
          </w:p>
        </w:tc>
        <w:tc>
          <w:tcPr>
            <w:tcW w:w="1950" w:type="dxa"/>
            <w:shd w:val="clear" w:color="auto" w:fill="auto"/>
          </w:tcPr>
          <w:p w14:paraId="295A7D60" w14:textId="14022DFE" w:rsidR="00AB339C" w:rsidRPr="00275FBD" w:rsidRDefault="00AB339C" w:rsidP="00A4727C">
            <w:pPr>
              <w:spacing w:before="60" w:after="60"/>
              <w:rPr>
                <w:szCs w:val="20"/>
                <w:lang w:val="sl-SI"/>
              </w:rPr>
            </w:pPr>
            <w:r w:rsidRPr="00275FBD">
              <w:rPr>
                <w:szCs w:val="20"/>
                <w:lang w:val="sl-SI"/>
              </w:rPr>
              <w:t>PSR3-NEK-2.3</w:t>
            </w:r>
          </w:p>
        </w:tc>
      </w:tr>
      <w:tr w:rsidR="00AB339C" w:rsidRPr="00275FBD" w14:paraId="2CE9F5B5" w14:textId="77777777" w:rsidTr="004C0CD7">
        <w:trPr>
          <w:jc w:val="center"/>
        </w:trPr>
        <w:tc>
          <w:tcPr>
            <w:tcW w:w="6334" w:type="dxa"/>
            <w:shd w:val="clear" w:color="auto" w:fill="auto"/>
          </w:tcPr>
          <w:p w14:paraId="4CE84CC8" w14:textId="7C865A2C" w:rsidR="00AB339C" w:rsidRPr="00275FBD" w:rsidRDefault="00AB339C" w:rsidP="004C0CD7">
            <w:pPr>
              <w:spacing w:before="60" w:after="60"/>
              <w:ind w:left="347" w:hanging="347"/>
              <w:jc w:val="left"/>
              <w:rPr>
                <w:szCs w:val="20"/>
                <w:lang w:val="sl-SI"/>
              </w:rPr>
            </w:pPr>
            <w:r w:rsidRPr="00275FBD">
              <w:rPr>
                <w:szCs w:val="20"/>
                <w:lang w:val="sl-SI"/>
              </w:rPr>
              <w:t xml:space="preserve">(8) </w:t>
            </w:r>
            <w:r w:rsidR="004C0CD7" w:rsidRPr="00275FBD">
              <w:rPr>
                <w:szCs w:val="20"/>
                <w:lang w:val="sl-SI"/>
              </w:rPr>
              <w:t>Obratovalne izkušnje in obratovalni kazalniki lastnega objekta</w:t>
            </w:r>
          </w:p>
        </w:tc>
        <w:tc>
          <w:tcPr>
            <w:tcW w:w="1950" w:type="dxa"/>
            <w:shd w:val="clear" w:color="auto" w:fill="auto"/>
          </w:tcPr>
          <w:p w14:paraId="06D660B6" w14:textId="3AA8332B" w:rsidR="00AB339C" w:rsidRPr="00275FBD" w:rsidRDefault="00AB339C" w:rsidP="00712267">
            <w:pPr>
              <w:spacing w:before="60" w:after="60"/>
              <w:rPr>
                <w:szCs w:val="20"/>
                <w:lang w:val="sl-SI"/>
              </w:rPr>
            </w:pPr>
            <w:r w:rsidRPr="00275FBD">
              <w:rPr>
                <w:szCs w:val="20"/>
                <w:lang w:val="sl-SI"/>
              </w:rPr>
              <w:t>PSR3-NEK-3.1</w:t>
            </w:r>
          </w:p>
        </w:tc>
      </w:tr>
      <w:tr w:rsidR="00AB339C" w:rsidRPr="00275FBD" w14:paraId="359BE63B" w14:textId="77777777" w:rsidTr="004C0CD7">
        <w:trPr>
          <w:jc w:val="center"/>
        </w:trPr>
        <w:tc>
          <w:tcPr>
            <w:tcW w:w="6334" w:type="dxa"/>
            <w:shd w:val="clear" w:color="auto" w:fill="auto"/>
          </w:tcPr>
          <w:p w14:paraId="2683F6C6" w14:textId="7EC2774E" w:rsidR="00AB339C" w:rsidRPr="00275FBD" w:rsidRDefault="00AB339C" w:rsidP="00712267">
            <w:pPr>
              <w:spacing w:before="60" w:after="60"/>
              <w:ind w:left="385" w:hanging="385"/>
              <w:jc w:val="left"/>
              <w:rPr>
                <w:szCs w:val="20"/>
                <w:lang w:val="sl-SI"/>
              </w:rPr>
            </w:pPr>
            <w:r w:rsidRPr="00275FBD">
              <w:rPr>
                <w:szCs w:val="20"/>
                <w:lang w:val="sl-SI"/>
              </w:rPr>
              <w:t xml:space="preserve">(9) </w:t>
            </w:r>
            <w:r w:rsidR="004C0CD7" w:rsidRPr="00275FBD">
              <w:rPr>
                <w:szCs w:val="20"/>
                <w:lang w:val="sl-SI"/>
              </w:rPr>
              <w:t>Obratovalne izkušnje drugih objektov ter ugotovitve znanosti in tehnologije za obdobje pregleda</w:t>
            </w:r>
          </w:p>
        </w:tc>
        <w:tc>
          <w:tcPr>
            <w:tcW w:w="1950" w:type="dxa"/>
            <w:shd w:val="clear" w:color="auto" w:fill="auto"/>
          </w:tcPr>
          <w:p w14:paraId="2F9ED17D" w14:textId="5A300C74" w:rsidR="00AB339C" w:rsidRPr="00275FBD" w:rsidRDefault="00AB339C" w:rsidP="00712267">
            <w:pPr>
              <w:spacing w:before="60" w:after="60"/>
              <w:rPr>
                <w:szCs w:val="20"/>
                <w:lang w:val="sl-SI"/>
              </w:rPr>
            </w:pPr>
            <w:r w:rsidRPr="00275FBD">
              <w:rPr>
                <w:szCs w:val="20"/>
                <w:lang w:val="sl-SI"/>
              </w:rPr>
              <w:t>PSR3-NEK-3.2</w:t>
            </w:r>
          </w:p>
        </w:tc>
      </w:tr>
      <w:tr w:rsidR="00AB339C" w:rsidRPr="00275FBD" w14:paraId="70458112" w14:textId="77777777" w:rsidTr="004C0CD7">
        <w:trPr>
          <w:jc w:val="center"/>
        </w:trPr>
        <w:tc>
          <w:tcPr>
            <w:tcW w:w="6334" w:type="dxa"/>
            <w:shd w:val="clear" w:color="auto" w:fill="auto"/>
          </w:tcPr>
          <w:p w14:paraId="38DC250C" w14:textId="0EE58676" w:rsidR="00AB339C" w:rsidRPr="00275FBD" w:rsidRDefault="00AB339C" w:rsidP="00712267">
            <w:pPr>
              <w:spacing w:before="60" w:after="60"/>
              <w:ind w:left="601" w:hanging="601"/>
              <w:jc w:val="left"/>
              <w:rPr>
                <w:szCs w:val="20"/>
                <w:lang w:val="sl-SI"/>
              </w:rPr>
            </w:pPr>
            <w:r w:rsidRPr="00275FBD">
              <w:rPr>
                <w:szCs w:val="20"/>
                <w:lang w:val="sl-SI"/>
              </w:rPr>
              <w:t xml:space="preserve">(10) </w:t>
            </w:r>
            <w:r w:rsidR="004C0CD7" w:rsidRPr="00275FBD">
              <w:rPr>
                <w:szCs w:val="20"/>
                <w:lang w:val="sl-SI"/>
              </w:rPr>
              <w:t>Sistemi vodenja in organiziranost upravlja</w:t>
            </w:r>
            <w:r w:rsidR="007072CE" w:rsidRPr="00275FBD">
              <w:rPr>
                <w:szCs w:val="20"/>
                <w:lang w:val="sl-SI"/>
              </w:rPr>
              <w:t>v</w:t>
            </w:r>
            <w:r w:rsidR="004C0CD7" w:rsidRPr="00275FBD">
              <w:rPr>
                <w:szCs w:val="20"/>
                <w:lang w:val="sl-SI"/>
              </w:rPr>
              <w:t>ca</w:t>
            </w:r>
          </w:p>
        </w:tc>
        <w:tc>
          <w:tcPr>
            <w:tcW w:w="1950" w:type="dxa"/>
            <w:shd w:val="clear" w:color="auto" w:fill="auto"/>
          </w:tcPr>
          <w:p w14:paraId="70861F5D" w14:textId="0D420F6C" w:rsidR="00AB339C" w:rsidRPr="00275FBD" w:rsidRDefault="00AB339C" w:rsidP="00712267">
            <w:pPr>
              <w:spacing w:before="60" w:after="60"/>
              <w:rPr>
                <w:szCs w:val="20"/>
                <w:lang w:val="sl-SI"/>
              </w:rPr>
            </w:pPr>
            <w:r w:rsidRPr="00275FBD">
              <w:rPr>
                <w:szCs w:val="20"/>
                <w:lang w:val="sl-SI"/>
              </w:rPr>
              <w:t>PSR3-NEK-4.1</w:t>
            </w:r>
          </w:p>
        </w:tc>
      </w:tr>
      <w:tr w:rsidR="00AB339C" w:rsidRPr="00275FBD" w14:paraId="1847385D" w14:textId="77777777" w:rsidTr="004C0CD7">
        <w:trPr>
          <w:jc w:val="center"/>
        </w:trPr>
        <w:tc>
          <w:tcPr>
            <w:tcW w:w="6334" w:type="dxa"/>
            <w:shd w:val="clear" w:color="auto" w:fill="auto"/>
          </w:tcPr>
          <w:p w14:paraId="35758D92" w14:textId="2D75F412" w:rsidR="00AB339C" w:rsidRPr="00275FBD" w:rsidRDefault="00AB339C" w:rsidP="00712267">
            <w:pPr>
              <w:spacing w:before="60" w:after="60"/>
              <w:jc w:val="left"/>
              <w:rPr>
                <w:szCs w:val="20"/>
                <w:lang w:val="sl-SI"/>
              </w:rPr>
            </w:pPr>
            <w:r w:rsidRPr="00275FBD">
              <w:rPr>
                <w:szCs w:val="20"/>
                <w:lang w:val="sl-SI"/>
              </w:rPr>
              <w:t xml:space="preserve">(11) </w:t>
            </w:r>
            <w:r w:rsidR="007072CE" w:rsidRPr="00275FBD">
              <w:rPr>
                <w:szCs w:val="20"/>
                <w:lang w:val="sl-SI"/>
              </w:rPr>
              <w:t>Varnostna k</w:t>
            </w:r>
            <w:r w:rsidRPr="00275FBD">
              <w:rPr>
                <w:szCs w:val="20"/>
                <w:lang w:val="sl-SI"/>
              </w:rPr>
              <w:t>ultur</w:t>
            </w:r>
            <w:r w:rsidR="007072CE" w:rsidRPr="00275FBD">
              <w:rPr>
                <w:szCs w:val="20"/>
                <w:lang w:val="sl-SI"/>
              </w:rPr>
              <w:t>a</w:t>
            </w:r>
          </w:p>
        </w:tc>
        <w:tc>
          <w:tcPr>
            <w:tcW w:w="1950" w:type="dxa"/>
            <w:shd w:val="clear" w:color="auto" w:fill="auto"/>
          </w:tcPr>
          <w:p w14:paraId="79C4E198" w14:textId="33A33BC0" w:rsidR="00AB339C" w:rsidRPr="00275FBD" w:rsidRDefault="00AB339C" w:rsidP="00712267">
            <w:pPr>
              <w:spacing w:before="60" w:after="60"/>
              <w:rPr>
                <w:szCs w:val="20"/>
                <w:lang w:val="sl-SI"/>
              </w:rPr>
            </w:pPr>
            <w:r w:rsidRPr="00275FBD">
              <w:rPr>
                <w:szCs w:val="20"/>
                <w:lang w:val="sl-SI"/>
              </w:rPr>
              <w:t>PSR3-NEK-4.2</w:t>
            </w:r>
          </w:p>
        </w:tc>
      </w:tr>
      <w:tr w:rsidR="00AB339C" w:rsidRPr="00275FBD" w14:paraId="53981223" w14:textId="77777777" w:rsidTr="004C0CD7">
        <w:trPr>
          <w:jc w:val="center"/>
        </w:trPr>
        <w:tc>
          <w:tcPr>
            <w:tcW w:w="6334" w:type="dxa"/>
            <w:shd w:val="clear" w:color="auto" w:fill="auto"/>
          </w:tcPr>
          <w:p w14:paraId="7F4A1542" w14:textId="61013B84" w:rsidR="00AB339C" w:rsidRPr="00275FBD" w:rsidRDefault="00AB339C" w:rsidP="00712267">
            <w:pPr>
              <w:spacing w:before="60" w:after="60"/>
              <w:jc w:val="left"/>
              <w:rPr>
                <w:szCs w:val="20"/>
                <w:lang w:val="sl-SI"/>
              </w:rPr>
            </w:pPr>
            <w:r w:rsidRPr="00275FBD">
              <w:rPr>
                <w:szCs w:val="20"/>
                <w:lang w:val="sl-SI"/>
              </w:rPr>
              <w:t xml:space="preserve">(12) </w:t>
            </w:r>
            <w:r w:rsidR="007072CE" w:rsidRPr="00275FBD">
              <w:rPr>
                <w:szCs w:val="20"/>
                <w:lang w:val="sl-SI"/>
              </w:rPr>
              <w:t>Pisni postopki upravljavca</w:t>
            </w:r>
          </w:p>
        </w:tc>
        <w:tc>
          <w:tcPr>
            <w:tcW w:w="1950" w:type="dxa"/>
            <w:shd w:val="clear" w:color="auto" w:fill="auto"/>
          </w:tcPr>
          <w:p w14:paraId="581E7E22" w14:textId="24646EE2" w:rsidR="00AB339C" w:rsidRPr="00275FBD" w:rsidRDefault="00AB339C" w:rsidP="00712267">
            <w:pPr>
              <w:spacing w:before="60" w:after="60"/>
              <w:rPr>
                <w:szCs w:val="20"/>
                <w:lang w:val="sl-SI"/>
              </w:rPr>
            </w:pPr>
            <w:r w:rsidRPr="00275FBD">
              <w:rPr>
                <w:szCs w:val="20"/>
                <w:lang w:val="sl-SI"/>
              </w:rPr>
              <w:t>PSR3-NEK-4.3</w:t>
            </w:r>
          </w:p>
        </w:tc>
      </w:tr>
      <w:tr w:rsidR="00AB339C" w:rsidRPr="00275FBD" w14:paraId="02B11E34" w14:textId="77777777" w:rsidTr="004C0CD7">
        <w:trPr>
          <w:jc w:val="center"/>
        </w:trPr>
        <w:tc>
          <w:tcPr>
            <w:tcW w:w="6334" w:type="dxa"/>
            <w:shd w:val="clear" w:color="auto" w:fill="auto"/>
          </w:tcPr>
          <w:p w14:paraId="0BFCBC55" w14:textId="1AA336DF" w:rsidR="00AB339C" w:rsidRPr="00275FBD" w:rsidRDefault="00AB339C" w:rsidP="00FA42C7">
            <w:pPr>
              <w:spacing w:before="60" w:after="60"/>
              <w:jc w:val="left"/>
              <w:rPr>
                <w:szCs w:val="20"/>
                <w:lang w:val="sl-SI"/>
              </w:rPr>
            </w:pPr>
            <w:r w:rsidRPr="00275FBD">
              <w:rPr>
                <w:szCs w:val="20"/>
                <w:lang w:val="sl-SI"/>
              </w:rPr>
              <w:t xml:space="preserve">(13) </w:t>
            </w:r>
            <w:r w:rsidR="001D65DF" w:rsidRPr="001D65DF">
              <w:rPr>
                <w:szCs w:val="20"/>
                <w:lang w:val="sl-SI"/>
              </w:rPr>
              <w:t xml:space="preserve">Vpliv dejavnosti osebja – </w:t>
            </w:r>
            <w:r w:rsidR="001D65DF">
              <w:rPr>
                <w:szCs w:val="20"/>
                <w:lang w:val="sl-SI"/>
              </w:rPr>
              <w:t>č</w:t>
            </w:r>
            <w:r w:rsidR="007072CE" w:rsidRPr="00275FBD">
              <w:rPr>
                <w:szCs w:val="20"/>
                <w:lang w:val="sl-SI"/>
              </w:rPr>
              <w:t>loveški dejavnik</w:t>
            </w:r>
          </w:p>
        </w:tc>
        <w:tc>
          <w:tcPr>
            <w:tcW w:w="1950" w:type="dxa"/>
            <w:shd w:val="clear" w:color="auto" w:fill="auto"/>
          </w:tcPr>
          <w:p w14:paraId="79D1C6C4" w14:textId="4E84C790" w:rsidR="00AB339C" w:rsidRPr="00275FBD" w:rsidRDefault="00AB339C" w:rsidP="00712267">
            <w:pPr>
              <w:spacing w:before="60" w:after="60"/>
              <w:rPr>
                <w:szCs w:val="20"/>
                <w:lang w:val="sl-SI"/>
              </w:rPr>
            </w:pPr>
            <w:r w:rsidRPr="00275FBD">
              <w:rPr>
                <w:szCs w:val="20"/>
                <w:lang w:val="sl-SI"/>
              </w:rPr>
              <w:t>PSR3-NEK-4.4</w:t>
            </w:r>
          </w:p>
        </w:tc>
      </w:tr>
      <w:tr w:rsidR="00AB339C" w:rsidRPr="00275FBD" w14:paraId="3B435279" w14:textId="77777777" w:rsidTr="004C0CD7">
        <w:trPr>
          <w:jc w:val="center"/>
        </w:trPr>
        <w:tc>
          <w:tcPr>
            <w:tcW w:w="6334" w:type="dxa"/>
            <w:shd w:val="clear" w:color="auto" w:fill="auto"/>
          </w:tcPr>
          <w:p w14:paraId="5FE06D82" w14:textId="34935349" w:rsidR="00AB339C" w:rsidRPr="00275FBD" w:rsidRDefault="00AB339C" w:rsidP="00712267">
            <w:pPr>
              <w:spacing w:before="60" w:after="60"/>
              <w:jc w:val="left"/>
              <w:rPr>
                <w:szCs w:val="20"/>
                <w:lang w:val="sl-SI"/>
              </w:rPr>
            </w:pPr>
            <w:r w:rsidRPr="00275FBD">
              <w:rPr>
                <w:szCs w:val="20"/>
                <w:lang w:val="sl-SI"/>
              </w:rPr>
              <w:t xml:space="preserve">(14) </w:t>
            </w:r>
            <w:r w:rsidR="007072CE" w:rsidRPr="00275FBD">
              <w:rPr>
                <w:szCs w:val="20"/>
                <w:lang w:val="sl-SI"/>
              </w:rPr>
              <w:t>Načrt zaščite in reševanja</w:t>
            </w:r>
          </w:p>
        </w:tc>
        <w:tc>
          <w:tcPr>
            <w:tcW w:w="1950" w:type="dxa"/>
            <w:shd w:val="clear" w:color="auto" w:fill="auto"/>
          </w:tcPr>
          <w:p w14:paraId="3FD5EC0C" w14:textId="0F582BDF" w:rsidR="00AB339C" w:rsidRPr="00275FBD" w:rsidRDefault="00AB339C" w:rsidP="00712267">
            <w:pPr>
              <w:spacing w:before="60" w:after="60"/>
              <w:rPr>
                <w:szCs w:val="20"/>
                <w:lang w:val="sl-SI"/>
              </w:rPr>
            </w:pPr>
            <w:r w:rsidRPr="00275FBD">
              <w:rPr>
                <w:szCs w:val="20"/>
                <w:lang w:val="sl-SI"/>
              </w:rPr>
              <w:t>PSR3-NEK-4.5</w:t>
            </w:r>
          </w:p>
        </w:tc>
      </w:tr>
      <w:tr w:rsidR="00AB339C" w:rsidRPr="00275FBD" w14:paraId="4B6C102A" w14:textId="77777777" w:rsidTr="004C0CD7">
        <w:trPr>
          <w:jc w:val="center"/>
        </w:trPr>
        <w:tc>
          <w:tcPr>
            <w:tcW w:w="6334" w:type="dxa"/>
            <w:shd w:val="clear" w:color="auto" w:fill="auto"/>
          </w:tcPr>
          <w:p w14:paraId="20BFB0E5" w14:textId="6A337B87" w:rsidR="00AB339C" w:rsidRPr="00275FBD" w:rsidRDefault="00AB339C" w:rsidP="00712267">
            <w:pPr>
              <w:spacing w:before="60" w:after="60"/>
              <w:ind w:left="371" w:hanging="371"/>
              <w:jc w:val="left"/>
              <w:rPr>
                <w:szCs w:val="20"/>
                <w:lang w:val="sl-SI"/>
              </w:rPr>
            </w:pPr>
            <w:r w:rsidRPr="00275FBD">
              <w:rPr>
                <w:szCs w:val="20"/>
                <w:lang w:val="sl-SI"/>
              </w:rPr>
              <w:t xml:space="preserve">(15) </w:t>
            </w:r>
            <w:r w:rsidR="007072CE" w:rsidRPr="00275FBD">
              <w:rPr>
                <w:szCs w:val="20"/>
                <w:lang w:val="sl-SI"/>
              </w:rPr>
              <w:t>Radiološki vplivi na okolje</w:t>
            </w:r>
          </w:p>
        </w:tc>
        <w:tc>
          <w:tcPr>
            <w:tcW w:w="1950" w:type="dxa"/>
            <w:shd w:val="clear" w:color="auto" w:fill="auto"/>
          </w:tcPr>
          <w:p w14:paraId="74F1F8DC" w14:textId="3BAB360A" w:rsidR="00AB339C" w:rsidRPr="00275FBD" w:rsidRDefault="00AB339C" w:rsidP="00712267">
            <w:pPr>
              <w:spacing w:before="60" w:after="60"/>
              <w:rPr>
                <w:szCs w:val="20"/>
                <w:lang w:val="sl-SI"/>
              </w:rPr>
            </w:pPr>
            <w:r w:rsidRPr="00275FBD">
              <w:rPr>
                <w:szCs w:val="20"/>
                <w:lang w:val="sl-SI"/>
              </w:rPr>
              <w:t>PSR3-NEK-5.1</w:t>
            </w:r>
          </w:p>
        </w:tc>
      </w:tr>
      <w:tr w:rsidR="00AB339C" w:rsidRPr="00275FBD" w14:paraId="475290C4" w14:textId="77777777" w:rsidTr="004C0CD7">
        <w:trPr>
          <w:jc w:val="center"/>
        </w:trPr>
        <w:tc>
          <w:tcPr>
            <w:tcW w:w="6334" w:type="dxa"/>
            <w:shd w:val="clear" w:color="auto" w:fill="auto"/>
          </w:tcPr>
          <w:p w14:paraId="0BB4E60B" w14:textId="28F43A94" w:rsidR="00AB339C" w:rsidRPr="00275FBD" w:rsidRDefault="00AB339C" w:rsidP="00712267">
            <w:pPr>
              <w:spacing w:before="60" w:after="60"/>
              <w:ind w:left="371" w:hanging="371"/>
              <w:jc w:val="left"/>
              <w:rPr>
                <w:szCs w:val="20"/>
                <w:lang w:val="sl-SI"/>
              </w:rPr>
            </w:pPr>
            <w:r w:rsidRPr="00275FBD">
              <w:rPr>
                <w:szCs w:val="20"/>
                <w:lang w:val="sl-SI"/>
              </w:rPr>
              <w:t xml:space="preserve">(16) </w:t>
            </w:r>
            <w:r w:rsidR="007072CE" w:rsidRPr="00275FBD">
              <w:rPr>
                <w:szCs w:val="20"/>
                <w:lang w:val="sl-SI"/>
              </w:rPr>
              <w:t xml:space="preserve">Radioaktivni odpadki in izrabljeno </w:t>
            </w:r>
            <w:r w:rsidR="001D65DF">
              <w:rPr>
                <w:szCs w:val="20"/>
                <w:lang w:val="sl-SI"/>
              </w:rPr>
              <w:t xml:space="preserve">jedrsko </w:t>
            </w:r>
            <w:r w:rsidR="007072CE" w:rsidRPr="00275FBD">
              <w:rPr>
                <w:szCs w:val="20"/>
                <w:lang w:val="sl-SI"/>
              </w:rPr>
              <w:t>gorivo</w:t>
            </w:r>
          </w:p>
        </w:tc>
        <w:tc>
          <w:tcPr>
            <w:tcW w:w="1950" w:type="dxa"/>
            <w:shd w:val="clear" w:color="auto" w:fill="auto"/>
          </w:tcPr>
          <w:p w14:paraId="35E9E2C1" w14:textId="59A37959" w:rsidR="00AB339C" w:rsidRPr="00275FBD" w:rsidRDefault="00AB339C" w:rsidP="00712267">
            <w:pPr>
              <w:spacing w:before="60" w:after="60"/>
              <w:rPr>
                <w:szCs w:val="20"/>
                <w:lang w:val="sl-SI"/>
              </w:rPr>
            </w:pPr>
            <w:r w:rsidRPr="00275FBD">
              <w:rPr>
                <w:szCs w:val="20"/>
                <w:lang w:val="sl-SI"/>
              </w:rPr>
              <w:t>PSR3-NEK-5.2</w:t>
            </w:r>
          </w:p>
        </w:tc>
      </w:tr>
      <w:tr w:rsidR="00AB339C" w:rsidRPr="00275FBD" w14:paraId="5F7EA954" w14:textId="77777777" w:rsidTr="004C0CD7">
        <w:trPr>
          <w:jc w:val="center"/>
        </w:trPr>
        <w:tc>
          <w:tcPr>
            <w:tcW w:w="6334" w:type="dxa"/>
            <w:shd w:val="clear" w:color="auto" w:fill="auto"/>
          </w:tcPr>
          <w:p w14:paraId="45888C30" w14:textId="3248F1FA" w:rsidR="00AB339C" w:rsidRPr="00275FBD" w:rsidRDefault="00AB339C" w:rsidP="00712267">
            <w:pPr>
              <w:spacing w:before="60" w:after="60"/>
              <w:jc w:val="left"/>
              <w:rPr>
                <w:szCs w:val="20"/>
                <w:lang w:val="sl-SI"/>
              </w:rPr>
            </w:pPr>
            <w:r w:rsidRPr="00275FBD">
              <w:rPr>
                <w:szCs w:val="20"/>
                <w:lang w:val="sl-SI"/>
              </w:rPr>
              <w:t xml:space="preserve">(17) </w:t>
            </w:r>
            <w:r w:rsidR="003703C4" w:rsidRPr="00275FBD">
              <w:rPr>
                <w:szCs w:val="20"/>
                <w:lang w:val="sl-SI"/>
              </w:rPr>
              <w:t>Fizično varovanje</w:t>
            </w:r>
          </w:p>
        </w:tc>
        <w:tc>
          <w:tcPr>
            <w:tcW w:w="1950" w:type="dxa"/>
            <w:shd w:val="clear" w:color="auto" w:fill="auto"/>
          </w:tcPr>
          <w:p w14:paraId="2276F73D" w14:textId="3377C9E1" w:rsidR="00AB339C" w:rsidRPr="00275FBD" w:rsidRDefault="00A47F4C" w:rsidP="00712267">
            <w:pPr>
              <w:spacing w:before="60" w:after="60"/>
              <w:rPr>
                <w:szCs w:val="20"/>
                <w:lang w:val="sl-SI"/>
              </w:rPr>
            </w:pPr>
            <w:r w:rsidRPr="00275FBD">
              <w:rPr>
                <w:szCs w:val="20"/>
                <w:lang w:val="sl-SI"/>
              </w:rPr>
              <w:t>PSR3-NEK-6.1 (</w:t>
            </w:r>
            <w:r w:rsidR="00B067B9" w:rsidRPr="00275FBD">
              <w:rPr>
                <w:szCs w:val="20"/>
                <w:lang w:val="sl-SI"/>
              </w:rPr>
              <w:t>zaupno</w:t>
            </w:r>
            <w:r w:rsidRPr="00275FBD">
              <w:rPr>
                <w:szCs w:val="20"/>
                <w:lang w:val="sl-SI"/>
              </w:rPr>
              <w:t>)</w:t>
            </w:r>
          </w:p>
        </w:tc>
      </w:tr>
      <w:tr w:rsidR="00AB339C" w:rsidRPr="00275FBD" w14:paraId="49802F14" w14:textId="77777777" w:rsidTr="004C0CD7">
        <w:trPr>
          <w:jc w:val="center"/>
        </w:trPr>
        <w:tc>
          <w:tcPr>
            <w:tcW w:w="6334" w:type="dxa"/>
            <w:shd w:val="clear" w:color="auto" w:fill="auto"/>
          </w:tcPr>
          <w:p w14:paraId="1932F32E" w14:textId="4D15AA06" w:rsidR="00AB339C" w:rsidRPr="00275FBD" w:rsidRDefault="00AB339C" w:rsidP="00712267">
            <w:pPr>
              <w:spacing w:before="60" w:after="60"/>
              <w:jc w:val="left"/>
              <w:rPr>
                <w:szCs w:val="20"/>
                <w:lang w:val="sl-SI"/>
              </w:rPr>
            </w:pPr>
            <w:r w:rsidRPr="00275FBD">
              <w:rPr>
                <w:szCs w:val="20"/>
                <w:lang w:val="sl-SI"/>
              </w:rPr>
              <w:t xml:space="preserve">(18) </w:t>
            </w:r>
            <w:r w:rsidR="009C3C92" w:rsidRPr="009C3C92">
              <w:rPr>
                <w:szCs w:val="20"/>
                <w:lang w:val="sl-SI"/>
              </w:rPr>
              <w:t xml:space="preserve">Varstvo </w:t>
            </w:r>
            <w:r w:rsidR="003703C4" w:rsidRPr="00275FBD">
              <w:rPr>
                <w:szCs w:val="20"/>
                <w:lang w:val="sl-SI"/>
              </w:rPr>
              <w:t>pred sevanji</w:t>
            </w:r>
          </w:p>
        </w:tc>
        <w:tc>
          <w:tcPr>
            <w:tcW w:w="1950" w:type="dxa"/>
            <w:shd w:val="clear" w:color="auto" w:fill="auto"/>
          </w:tcPr>
          <w:p w14:paraId="52A7E242" w14:textId="14DDD25B" w:rsidR="00AB339C" w:rsidRPr="00275FBD" w:rsidRDefault="00AB339C" w:rsidP="00712267">
            <w:pPr>
              <w:spacing w:before="60" w:after="60"/>
              <w:rPr>
                <w:szCs w:val="20"/>
                <w:lang w:val="sl-SI"/>
              </w:rPr>
            </w:pPr>
            <w:r w:rsidRPr="00275FBD">
              <w:rPr>
                <w:szCs w:val="20"/>
                <w:lang w:val="sl-SI"/>
              </w:rPr>
              <w:t>PSR3-NEK-7.1</w:t>
            </w:r>
          </w:p>
        </w:tc>
      </w:tr>
      <w:tr w:rsidR="00AB339C" w:rsidRPr="00275FBD" w14:paraId="0DD19A45" w14:textId="77777777" w:rsidTr="004C0CD7">
        <w:trPr>
          <w:jc w:val="center"/>
        </w:trPr>
        <w:tc>
          <w:tcPr>
            <w:tcW w:w="6334" w:type="dxa"/>
            <w:shd w:val="clear" w:color="auto" w:fill="auto"/>
          </w:tcPr>
          <w:p w14:paraId="559AEFDA" w14:textId="200BC53C" w:rsidR="00AB339C" w:rsidRPr="00275FBD" w:rsidRDefault="001D65DF" w:rsidP="00712267">
            <w:pPr>
              <w:spacing w:before="60" w:after="60"/>
              <w:jc w:val="left"/>
              <w:rPr>
                <w:szCs w:val="20"/>
                <w:lang w:val="sl-SI"/>
              </w:rPr>
            </w:pPr>
            <w:r>
              <w:rPr>
                <w:szCs w:val="20"/>
                <w:lang w:val="sl-SI"/>
              </w:rPr>
              <w:t>Sklad</w:t>
            </w:r>
            <w:r w:rsidRPr="00275FBD">
              <w:rPr>
                <w:szCs w:val="20"/>
                <w:lang w:val="sl-SI"/>
              </w:rPr>
              <w:t xml:space="preserve">nost </w:t>
            </w:r>
            <w:r w:rsidR="007072CE" w:rsidRPr="00275FBD">
              <w:rPr>
                <w:szCs w:val="20"/>
                <w:lang w:val="sl-SI"/>
              </w:rPr>
              <w:t xml:space="preserve">z </w:t>
            </w:r>
            <w:r>
              <w:rPr>
                <w:szCs w:val="20"/>
                <w:lang w:val="sl-SI"/>
              </w:rPr>
              <w:t>zakonskimi</w:t>
            </w:r>
            <w:r w:rsidR="007072CE" w:rsidRPr="00275FBD">
              <w:rPr>
                <w:szCs w:val="20"/>
                <w:lang w:val="sl-SI"/>
              </w:rPr>
              <w:t xml:space="preserve"> </w:t>
            </w:r>
            <w:r>
              <w:rPr>
                <w:szCs w:val="20"/>
                <w:lang w:val="sl-SI"/>
              </w:rPr>
              <w:t xml:space="preserve">in upravnimi </w:t>
            </w:r>
            <w:r w:rsidR="007072CE" w:rsidRPr="00275FBD">
              <w:rPr>
                <w:szCs w:val="20"/>
                <w:lang w:val="sl-SI"/>
              </w:rPr>
              <w:t>zahtevami</w:t>
            </w:r>
          </w:p>
        </w:tc>
        <w:tc>
          <w:tcPr>
            <w:tcW w:w="1950" w:type="dxa"/>
            <w:shd w:val="clear" w:color="auto" w:fill="auto"/>
          </w:tcPr>
          <w:p w14:paraId="33F05304" w14:textId="127946AD" w:rsidR="00AB339C" w:rsidRPr="00275FBD" w:rsidRDefault="00AB339C" w:rsidP="00712267">
            <w:pPr>
              <w:spacing w:before="60" w:after="60"/>
              <w:rPr>
                <w:szCs w:val="20"/>
                <w:lang w:val="sl-SI"/>
              </w:rPr>
            </w:pPr>
            <w:r w:rsidRPr="00275FBD">
              <w:rPr>
                <w:szCs w:val="20"/>
                <w:lang w:val="sl-SI"/>
              </w:rPr>
              <w:t>PSR3-NEK-8.0</w:t>
            </w:r>
          </w:p>
        </w:tc>
      </w:tr>
    </w:tbl>
    <w:p w14:paraId="3D17FE31" w14:textId="77777777" w:rsidR="00E552C7" w:rsidRPr="00275FBD" w:rsidRDefault="00E552C7" w:rsidP="00712267">
      <w:pPr>
        <w:rPr>
          <w:lang w:val="sl-SI"/>
        </w:rPr>
      </w:pPr>
    </w:p>
    <w:p w14:paraId="5C7F6F52" w14:textId="77777777" w:rsidR="00E552C7" w:rsidRPr="00275FBD" w:rsidRDefault="00E552C7">
      <w:pPr>
        <w:spacing w:before="0" w:after="0"/>
        <w:jc w:val="left"/>
        <w:rPr>
          <w:lang w:val="sl-SI"/>
        </w:rPr>
      </w:pPr>
      <w:r w:rsidRPr="00275FBD">
        <w:rPr>
          <w:lang w:val="sl-SI"/>
        </w:rPr>
        <w:br w:type="page"/>
      </w:r>
    </w:p>
    <w:p w14:paraId="1FDE8E9C" w14:textId="77777777" w:rsidR="00712267" w:rsidRPr="00275FBD" w:rsidRDefault="00712267" w:rsidP="00712267">
      <w:pPr>
        <w:rPr>
          <w:lang w:val="sl-SI"/>
        </w:rPr>
      </w:pPr>
    </w:p>
    <w:p w14:paraId="72039CB6" w14:textId="30CA6852" w:rsidR="007B5DD5" w:rsidRPr="00275FBD" w:rsidRDefault="007B5DD5" w:rsidP="007B5DD5">
      <w:pPr>
        <w:pStyle w:val="Napis"/>
        <w:rPr>
          <w:lang w:val="sl-SI"/>
        </w:rPr>
      </w:pPr>
      <w:bookmarkStart w:id="22" w:name="_Ref138239761"/>
      <w:bookmarkStart w:id="23" w:name="_Toc163197437"/>
      <w:r w:rsidRPr="00275FBD">
        <w:rPr>
          <w:lang w:val="sl-SI"/>
        </w:rPr>
        <w:t xml:space="preserve">Tabela </w:t>
      </w:r>
      <w:r w:rsidR="00D51CB7" w:rsidRPr="00275FBD">
        <w:rPr>
          <w:lang w:val="sl-SI"/>
        </w:rPr>
        <w:fldChar w:fldCharType="begin"/>
      </w:r>
      <w:r w:rsidR="00D51CB7" w:rsidRPr="00275FBD">
        <w:rPr>
          <w:lang w:val="sl-SI"/>
        </w:rPr>
        <w:instrText xml:space="preserve"> STYLEREF 1 \s </w:instrText>
      </w:r>
      <w:r w:rsidR="00D51CB7" w:rsidRPr="00275FBD">
        <w:rPr>
          <w:lang w:val="sl-SI"/>
        </w:rPr>
        <w:fldChar w:fldCharType="separate"/>
      </w:r>
      <w:r w:rsidR="00BA25CD">
        <w:rPr>
          <w:noProof/>
          <w:lang w:val="sl-SI"/>
        </w:rPr>
        <w:t>1</w:t>
      </w:r>
      <w:r w:rsidR="00D51CB7" w:rsidRPr="00275FBD">
        <w:rPr>
          <w:lang w:val="sl-SI"/>
        </w:rPr>
        <w:fldChar w:fldCharType="end"/>
      </w:r>
      <w:r w:rsidR="00D51CB7" w:rsidRPr="00275FBD">
        <w:rPr>
          <w:lang w:val="sl-SI"/>
        </w:rPr>
        <w:noBreakHyphen/>
      </w:r>
      <w:r w:rsidR="00D51CB7" w:rsidRPr="00275FBD">
        <w:rPr>
          <w:lang w:val="sl-SI"/>
        </w:rPr>
        <w:fldChar w:fldCharType="begin"/>
      </w:r>
      <w:r w:rsidR="00D51CB7" w:rsidRPr="00275FBD">
        <w:rPr>
          <w:lang w:val="sl-SI"/>
        </w:rPr>
        <w:instrText xml:space="preserve"> SEQ Tabela \* ARABIC \s 1 </w:instrText>
      </w:r>
      <w:r w:rsidR="00D51CB7" w:rsidRPr="00275FBD">
        <w:rPr>
          <w:lang w:val="sl-SI"/>
        </w:rPr>
        <w:fldChar w:fldCharType="separate"/>
      </w:r>
      <w:r w:rsidR="00BA25CD">
        <w:rPr>
          <w:noProof/>
          <w:lang w:val="sl-SI"/>
        </w:rPr>
        <w:t>2</w:t>
      </w:r>
      <w:r w:rsidR="00D51CB7" w:rsidRPr="00275FBD">
        <w:rPr>
          <w:lang w:val="sl-SI"/>
        </w:rPr>
        <w:fldChar w:fldCharType="end"/>
      </w:r>
      <w:bookmarkEnd w:id="22"/>
      <w:r w:rsidRPr="00275FBD">
        <w:rPr>
          <w:lang w:val="sl-SI"/>
        </w:rPr>
        <w:t xml:space="preserve">: </w:t>
      </w:r>
      <w:r w:rsidR="00D96AA0" w:rsidRPr="00275FBD">
        <w:rPr>
          <w:lang w:val="sl-SI"/>
        </w:rPr>
        <w:t xml:space="preserve">Pregled poročil iz faze razvrščanja najdb po pomembnosti, s celovito oceno </w:t>
      </w:r>
      <w:r w:rsidR="00FD3159">
        <w:rPr>
          <w:lang w:val="sl-SI"/>
        </w:rPr>
        <w:t>varnosti</w:t>
      </w:r>
      <w:r w:rsidR="00FD3159" w:rsidRPr="00275FBD">
        <w:rPr>
          <w:lang w:val="sl-SI"/>
        </w:rPr>
        <w:t xml:space="preserve"> </w:t>
      </w:r>
      <w:r w:rsidR="00D96AA0" w:rsidRPr="00275FBD">
        <w:rPr>
          <w:lang w:val="sl-SI"/>
        </w:rPr>
        <w:t>elektrarne</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5"/>
        <w:gridCol w:w="1961"/>
      </w:tblGrid>
      <w:tr w:rsidR="000B0253" w:rsidRPr="00275FBD" w14:paraId="3FAFA61E" w14:textId="77777777" w:rsidTr="003E5EB4">
        <w:trPr>
          <w:jc w:val="center"/>
        </w:trPr>
        <w:tc>
          <w:tcPr>
            <w:tcW w:w="5545" w:type="dxa"/>
            <w:shd w:val="clear" w:color="auto" w:fill="D9D9D9"/>
          </w:tcPr>
          <w:p w14:paraId="1837EB4D" w14:textId="25C3A5FE" w:rsidR="000B0253" w:rsidRPr="00275FBD" w:rsidRDefault="003C44AC" w:rsidP="00712267">
            <w:pPr>
              <w:spacing w:before="60" w:after="60"/>
              <w:jc w:val="left"/>
              <w:rPr>
                <w:b/>
                <w:szCs w:val="20"/>
                <w:lang w:val="sl-SI"/>
              </w:rPr>
            </w:pPr>
            <w:r>
              <w:rPr>
                <w:b/>
                <w:szCs w:val="20"/>
                <w:lang w:val="sl-SI"/>
              </w:rPr>
              <w:t>Naslov p</w:t>
            </w:r>
            <w:r w:rsidRPr="003C44AC">
              <w:rPr>
                <w:b/>
                <w:szCs w:val="20"/>
                <w:lang w:val="sl-SI"/>
              </w:rPr>
              <w:t>oročil</w:t>
            </w:r>
            <w:r>
              <w:rPr>
                <w:b/>
                <w:szCs w:val="20"/>
                <w:lang w:val="sl-SI"/>
              </w:rPr>
              <w:t>a</w:t>
            </w:r>
          </w:p>
        </w:tc>
        <w:tc>
          <w:tcPr>
            <w:tcW w:w="1961" w:type="dxa"/>
            <w:shd w:val="clear" w:color="auto" w:fill="D9D9D9"/>
          </w:tcPr>
          <w:p w14:paraId="344A95A2" w14:textId="4CE244B9" w:rsidR="000B0253" w:rsidRPr="00275FBD" w:rsidRDefault="003C44AC" w:rsidP="00712267">
            <w:pPr>
              <w:spacing w:before="60" w:after="60"/>
              <w:rPr>
                <w:b/>
                <w:szCs w:val="20"/>
                <w:lang w:val="sl-SI"/>
              </w:rPr>
            </w:pPr>
            <w:r w:rsidRPr="003C44AC">
              <w:rPr>
                <w:b/>
                <w:szCs w:val="20"/>
                <w:lang w:val="sl-SI"/>
              </w:rPr>
              <w:t>Poročilo</w:t>
            </w:r>
          </w:p>
        </w:tc>
      </w:tr>
      <w:tr w:rsidR="000B0253" w:rsidRPr="00275FBD" w14:paraId="1198716C" w14:textId="77777777" w:rsidTr="003E5EB4">
        <w:trPr>
          <w:jc w:val="center"/>
        </w:trPr>
        <w:tc>
          <w:tcPr>
            <w:tcW w:w="5545" w:type="dxa"/>
            <w:shd w:val="clear" w:color="auto" w:fill="auto"/>
          </w:tcPr>
          <w:p w14:paraId="50849F65" w14:textId="03759499" w:rsidR="000B0253" w:rsidRPr="00275FBD" w:rsidRDefault="007072CE" w:rsidP="00712267">
            <w:pPr>
              <w:spacing w:before="60" w:after="60"/>
              <w:jc w:val="left"/>
              <w:rPr>
                <w:szCs w:val="20"/>
                <w:lang w:val="sl-SI"/>
              </w:rPr>
            </w:pPr>
            <w:r w:rsidRPr="00275FBD">
              <w:rPr>
                <w:lang w:val="sl-SI"/>
              </w:rPr>
              <w:t xml:space="preserve">Končna široka in podrobna razvrstitev varnostnih </w:t>
            </w:r>
            <w:r w:rsidR="00BD3CF4" w:rsidRPr="00275FBD">
              <w:rPr>
                <w:lang w:val="sl-SI"/>
              </w:rPr>
              <w:t>na</w:t>
            </w:r>
            <w:r w:rsidR="00D72C7C" w:rsidRPr="00275FBD">
              <w:rPr>
                <w:lang w:val="sl-SI"/>
              </w:rPr>
              <w:t>j</w:t>
            </w:r>
            <w:r w:rsidR="00BD3CF4" w:rsidRPr="00275FBD">
              <w:rPr>
                <w:lang w:val="sl-SI"/>
              </w:rPr>
              <w:t>db</w:t>
            </w:r>
            <w:r w:rsidRPr="00275FBD">
              <w:rPr>
                <w:lang w:val="sl-SI"/>
              </w:rPr>
              <w:t>; identifikacija in določanje prednostnih korektivnih ukrepov</w:t>
            </w:r>
          </w:p>
        </w:tc>
        <w:tc>
          <w:tcPr>
            <w:tcW w:w="1961" w:type="dxa"/>
            <w:shd w:val="clear" w:color="auto" w:fill="auto"/>
          </w:tcPr>
          <w:p w14:paraId="0AE3BF02" w14:textId="77777777" w:rsidR="000B0253" w:rsidRPr="00275FBD" w:rsidRDefault="000B0253" w:rsidP="00712267">
            <w:pPr>
              <w:spacing w:before="60" w:after="60"/>
              <w:rPr>
                <w:szCs w:val="20"/>
                <w:lang w:val="sl-SI"/>
              </w:rPr>
            </w:pPr>
            <w:r w:rsidRPr="00275FBD">
              <w:rPr>
                <w:szCs w:val="20"/>
                <w:lang w:val="sl-SI"/>
              </w:rPr>
              <w:t>PSR3-NEK-9.1</w:t>
            </w:r>
          </w:p>
        </w:tc>
      </w:tr>
      <w:tr w:rsidR="000B0253" w:rsidRPr="00275FBD" w14:paraId="4BC5FB85" w14:textId="77777777" w:rsidTr="003E5EB4">
        <w:trPr>
          <w:jc w:val="center"/>
        </w:trPr>
        <w:tc>
          <w:tcPr>
            <w:tcW w:w="5545" w:type="dxa"/>
            <w:shd w:val="clear" w:color="auto" w:fill="auto"/>
          </w:tcPr>
          <w:p w14:paraId="204407D7" w14:textId="7F7DE01D" w:rsidR="000B0253" w:rsidRPr="00275FBD" w:rsidRDefault="007072CE" w:rsidP="00712267">
            <w:pPr>
              <w:spacing w:before="60" w:after="60"/>
              <w:jc w:val="left"/>
              <w:rPr>
                <w:szCs w:val="20"/>
                <w:lang w:val="sl-SI"/>
              </w:rPr>
            </w:pPr>
            <w:r w:rsidRPr="00275FBD">
              <w:rPr>
                <w:lang w:val="sl-SI"/>
              </w:rPr>
              <w:t>Načrt izvedbe ukrepov</w:t>
            </w:r>
          </w:p>
        </w:tc>
        <w:tc>
          <w:tcPr>
            <w:tcW w:w="1961" w:type="dxa"/>
            <w:shd w:val="clear" w:color="auto" w:fill="auto"/>
          </w:tcPr>
          <w:p w14:paraId="6CED8125" w14:textId="77777777" w:rsidR="000B0253" w:rsidRPr="00275FBD" w:rsidRDefault="000B0253" w:rsidP="00712267">
            <w:pPr>
              <w:spacing w:before="60" w:after="60"/>
              <w:rPr>
                <w:szCs w:val="20"/>
                <w:lang w:val="sl-SI"/>
              </w:rPr>
            </w:pPr>
            <w:r w:rsidRPr="00275FBD">
              <w:rPr>
                <w:szCs w:val="20"/>
                <w:lang w:val="sl-SI"/>
              </w:rPr>
              <w:t>PSR3-NEK-9.2</w:t>
            </w:r>
          </w:p>
        </w:tc>
      </w:tr>
      <w:tr w:rsidR="000B0253" w:rsidRPr="00275FBD" w14:paraId="6B20AA25" w14:textId="77777777" w:rsidTr="003E5EB4">
        <w:trPr>
          <w:jc w:val="center"/>
        </w:trPr>
        <w:tc>
          <w:tcPr>
            <w:tcW w:w="5545" w:type="dxa"/>
            <w:shd w:val="clear" w:color="auto" w:fill="auto"/>
          </w:tcPr>
          <w:p w14:paraId="054F010D" w14:textId="1BC1CD9C" w:rsidR="000B0253" w:rsidRPr="00275FBD" w:rsidRDefault="009C4BB0" w:rsidP="00BF68A1">
            <w:pPr>
              <w:spacing w:before="60" w:after="60"/>
              <w:jc w:val="left"/>
              <w:rPr>
                <w:szCs w:val="20"/>
                <w:lang w:val="sl-SI"/>
              </w:rPr>
            </w:pPr>
            <w:r w:rsidRPr="00275FBD">
              <w:rPr>
                <w:szCs w:val="20"/>
                <w:lang w:val="sl-SI"/>
              </w:rPr>
              <w:t xml:space="preserve">Tretji </w:t>
            </w:r>
            <w:r w:rsidR="003C44AC" w:rsidRPr="003C44AC">
              <w:rPr>
                <w:szCs w:val="20"/>
                <w:lang w:val="sl-SI"/>
              </w:rPr>
              <w:t>občasn</w:t>
            </w:r>
            <w:r w:rsidR="003C44AC">
              <w:rPr>
                <w:szCs w:val="20"/>
                <w:lang w:val="sl-SI"/>
              </w:rPr>
              <w:t>i</w:t>
            </w:r>
            <w:r w:rsidRPr="00275FBD">
              <w:rPr>
                <w:szCs w:val="20"/>
                <w:lang w:val="sl-SI"/>
              </w:rPr>
              <w:t xml:space="preserve"> varnostni pregled NEK </w:t>
            </w:r>
            <w:r w:rsidR="001D65DF">
              <w:rPr>
                <w:szCs w:val="20"/>
                <w:lang w:val="sl-SI"/>
              </w:rPr>
              <w:t>–</w:t>
            </w:r>
            <w:r w:rsidRPr="00275FBD">
              <w:rPr>
                <w:szCs w:val="20"/>
                <w:lang w:val="sl-SI"/>
              </w:rPr>
              <w:t xml:space="preserve"> zbirno poročilo in celovita ocena </w:t>
            </w:r>
            <w:r w:rsidR="003E5EB4">
              <w:rPr>
                <w:szCs w:val="20"/>
                <w:lang w:val="sl-SI"/>
              </w:rPr>
              <w:t>varnosti</w:t>
            </w:r>
            <w:r w:rsidR="003E5EB4" w:rsidRPr="00275FBD">
              <w:rPr>
                <w:szCs w:val="20"/>
                <w:lang w:val="sl-SI"/>
              </w:rPr>
              <w:t xml:space="preserve"> </w:t>
            </w:r>
            <w:r w:rsidRPr="00275FBD">
              <w:rPr>
                <w:szCs w:val="20"/>
                <w:lang w:val="sl-SI"/>
              </w:rPr>
              <w:t>elektrarne</w:t>
            </w:r>
          </w:p>
        </w:tc>
        <w:tc>
          <w:tcPr>
            <w:tcW w:w="1961" w:type="dxa"/>
            <w:shd w:val="clear" w:color="auto" w:fill="auto"/>
          </w:tcPr>
          <w:p w14:paraId="42E7FA22" w14:textId="77777777" w:rsidR="000B0253" w:rsidRPr="00275FBD" w:rsidRDefault="000B0253" w:rsidP="00712267">
            <w:pPr>
              <w:spacing w:before="60" w:after="60"/>
              <w:rPr>
                <w:szCs w:val="20"/>
                <w:lang w:val="sl-SI"/>
              </w:rPr>
            </w:pPr>
            <w:r w:rsidRPr="00275FBD">
              <w:rPr>
                <w:szCs w:val="20"/>
                <w:lang w:val="sl-SI"/>
              </w:rPr>
              <w:t>PSR3-NEK-9.3</w:t>
            </w:r>
          </w:p>
        </w:tc>
      </w:tr>
      <w:tr w:rsidR="000B0253" w:rsidRPr="00275FBD" w14:paraId="3D58C219" w14:textId="77777777" w:rsidTr="003E5EB4">
        <w:trPr>
          <w:trHeight w:val="613"/>
          <w:jc w:val="center"/>
        </w:trPr>
        <w:tc>
          <w:tcPr>
            <w:tcW w:w="5545" w:type="dxa"/>
            <w:shd w:val="clear" w:color="auto" w:fill="auto"/>
          </w:tcPr>
          <w:p w14:paraId="5F2C3B0F" w14:textId="1D8C104A" w:rsidR="000B0253" w:rsidRPr="00275FBD" w:rsidRDefault="00DE0BE1" w:rsidP="00712267">
            <w:pPr>
              <w:spacing w:before="60" w:after="60"/>
              <w:jc w:val="left"/>
              <w:rPr>
                <w:szCs w:val="20"/>
                <w:lang w:val="sl-SI"/>
              </w:rPr>
            </w:pPr>
            <w:r w:rsidRPr="00275FBD">
              <w:rPr>
                <w:szCs w:val="20"/>
                <w:lang w:val="sl-SI"/>
              </w:rPr>
              <w:t xml:space="preserve">Povzetek zbirnega poročila o tretjem občasnem varnostnem pregledu </w:t>
            </w:r>
            <w:r w:rsidR="00452B81">
              <w:rPr>
                <w:szCs w:val="20"/>
                <w:lang w:val="sl-SI"/>
              </w:rPr>
              <w:t>s celovito</w:t>
            </w:r>
            <w:r w:rsidRPr="00275FBD">
              <w:rPr>
                <w:szCs w:val="20"/>
                <w:lang w:val="sl-SI"/>
              </w:rPr>
              <w:t xml:space="preserve"> oceno varnosti NEK</w:t>
            </w:r>
          </w:p>
        </w:tc>
        <w:tc>
          <w:tcPr>
            <w:tcW w:w="1961" w:type="dxa"/>
            <w:shd w:val="clear" w:color="auto" w:fill="auto"/>
          </w:tcPr>
          <w:p w14:paraId="17D79F6A" w14:textId="3B66D069" w:rsidR="000B0253" w:rsidRPr="00275FBD" w:rsidRDefault="000B0253" w:rsidP="003E5EB4">
            <w:pPr>
              <w:spacing w:before="60" w:after="60"/>
              <w:rPr>
                <w:szCs w:val="20"/>
                <w:lang w:val="sl-SI"/>
              </w:rPr>
            </w:pPr>
            <w:r w:rsidRPr="00275FBD">
              <w:rPr>
                <w:szCs w:val="20"/>
                <w:lang w:val="sl-SI"/>
              </w:rPr>
              <w:t>PSR3-NEK-</w:t>
            </w:r>
            <w:r w:rsidR="00DE0BE1" w:rsidRPr="00275FBD">
              <w:rPr>
                <w:szCs w:val="20"/>
                <w:lang w:val="sl-SI"/>
              </w:rPr>
              <w:t>10</w:t>
            </w:r>
            <w:r w:rsidRPr="00275FBD">
              <w:rPr>
                <w:szCs w:val="20"/>
                <w:lang w:val="sl-SI"/>
              </w:rPr>
              <w:t>.</w:t>
            </w:r>
            <w:r w:rsidR="00DE0BE1" w:rsidRPr="00275FBD">
              <w:rPr>
                <w:szCs w:val="20"/>
                <w:lang w:val="sl-SI"/>
              </w:rPr>
              <w:t>0</w:t>
            </w:r>
          </w:p>
        </w:tc>
      </w:tr>
    </w:tbl>
    <w:p w14:paraId="1C661FEA" w14:textId="64F4A71D" w:rsidR="006C4EF9" w:rsidRPr="00275FBD" w:rsidRDefault="006C4EF9" w:rsidP="007072CE">
      <w:pPr>
        <w:rPr>
          <w:lang w:val="sl-SI"/>
        </w:rPr>
      </w:pPr>
    </w:p>
    <w:p w14:paraId="6729B49E" w14:textId="77777777" w:rsidR="006C4EF9" w:rsidRPr="00275FBD" w:rsidRDefault="006C4EF9" w:rsidP="00A855B6">
      <w:pPr>
        <w:rPr>
          <w:lang w:val="sl-SI"/>
        </w:rPr>
      </w:pPr>
    </w:p>
    <w:p w14:paraId="6FB45CC7" w14:textId="77777777" w:rsidR="00BF5371" w:rsidRPr="00275FBD" w:rsidRDefault="00BF5371">
      <w:pPr>
        <w:spacing w:before="0" w:after="0"/>
        <w:jc w:val="left"/>
        <w:rPr>
          <w:sz w:val="2"/>
          <w:szCs w:val="2"/>
          <w:lang w:val="sl-SI"/>
        </w:rPr>
      </w:pPr>
      <w:r w:rsidRPr="00275FBD">
        <w:rPr>
          <w:lang w:val="sl-SI"/>
        </w:rPr>
        <w:br w:type="page"/>
      </w:r>
    </w:p>
    <w:p w14:paraId="75583E31" w14:textId="21C73769" w:rsidR="000C0516" w:rsidRPr="00A747F2" w:rsidRDefault="009C4BB0" w:rsidP="003A64FD">
      <w:pPr>
        <w:pStyle w:val="Naslov1"/>
        <w:rPr>
          <w:rFonts w:cs="Times New Roman"/>
          <w:lang w:val="sl-SI"/>
        </w:rPr>
      </w:pPr>
      <w:bookmarkStart w:id="24" w:name="_Toc342051682"/>
      <w:bookmarkStart w:id="25" w:name="_Toc163197418"/>
      <w:bookmarkEnd w:id="24"/>
      <w:r w:rsidRPr="00A747F2">
        <w:rPr>
          <w:rFonts w:cs="Times New Roman"/>
          <w:lang w:val="sl-SI"/>
        </w:rPr>
        <w:lastRenderedPageBreak/>
        <w:t>Pregled pristopa k izvajanju PSR</w:t>
      </w:r>
      <w:bookmarkEnd w:id="25"/>
    </w:p>
    <w:p w14:paraId="42811BB1" w14:textId="32011B0D" w:rsidR="00BF76EA" w:rsidRPr="00275FBD" w:rsidRDefault="00BF76EA" w:rsidP="00FF4675">
      <w:pPr>
        <w:rPr>
          <w:lang w:val="sl-SI"/>
        </w:rPr>
      </w:pPr>
      <w:r w:rsidRPr="00275FBD">
        <w:rPr>
          <w:lang w:val="sl-SI"/>
        </w:rPr>
        <w:t>V tem poglavju je z organizacijskega in metodološkega vidika strnjeno predstavljen pregled pristopa k NEK PSR3. Podrobnejši opis je na voljo v Programu</w:t>
      </w:r>
      <w:r w:rsidR="00594FC5">
        <w:rPr>
          <w:lang w:val="sl-SI"/>
        </w:rPr>
        <w:t xml:space="preserve"> PSR3</w:t>
      </w:r>
      <w:r w:rsidRPr="00275FBD">
        <w:rPr>
          <w:lang w:val="sl-SI"/>
        </w:rPr>
        <w:t xml:space="preserve"> </w:t>
      </w:r>
      <w:r w:rsidRPr="00275FBD">
        <w:rPr>
          <w:lang w:val="sl-SI"/>
        </w:rPr>
        <w:fldChar w:fldCharType="begin"/>
      </w:r>
      <w:r w:rsidRPr="00275FBD">
        <w:rPr>
          <w:lang w:val="sl-SI"/>
        </w:rPr>
        <w:instrText xml:space="preserve"> REF _Ref133222751 \r \h </w:instrText>
      </w:r>
      <w:r w:rsidRPr="00275FBD">
        <w:rPr>
          <w:lang w:val="sl-SI"/>
        </w:rPr>
      </w:r>
      <w:r w:rsidRPr="00275FBD">
        <w:rPr>
          <w:lang w:val="sl-SI"/>
        </w:rPr>
        <w:fldChar w:fldCharType="separate"/>
      </w:r>
      <w:r w:rsidR="00BA25CD">
        <w:rPr>
          <w:lang w:val="sl-SI"/>
        </w:rPr>
        <w:t>[1]</w:t>
      </w:r>
      <w:r w:rsidRPr="00275FBD">
        <w:rPr>
          <w:lang w:val="sl-SI"/>
        </w:rPr>
        <w:fldChar w:fldCharType="end"/>
      </w:r>
      <w:r w:rsidRPr="00275FBD">
        <w:rPr>
          <w:lang w:val="sl-SI"/>
        </w:rPr>
        <w:t xml:space="preserve">, poročilu PSR3-NEK-9.1 </w:t>
      </w:r>
      <w:r w:rsidRPr="00275FBD">
        <w:rPr>
          <w:lang w:val="sl-SI"/>
        </w:rPr>
        <w:fldChar w:fldCharType="begin"/>
      </w:r>
      <w:r w:rsidRPr="00275FBD">
        <w:rPr>
          <w:lang w:val="sl-SI"/>
        </w:rPr>
        <w:instrText xml:space="preserve"> REF _Ref131143634 \r \h </w:instrText>
      </w:r>
      <w:r w:rsidRPr="00275FBD">
        <w:rPr>
          <w:lang w:val="sl-SI"/>
        </w:rPr>
      </w:r>
      <w:r w:rsidRPr="00275FBD">
        <w:rPr>
          <w:lang w:val="sl-SI"/>
        </w:rPr>
        <w:fldChar w:fldCharType="separate"/>
      </w:r>
      <w:r w:rsidR="00BA25CD">
        <w:rPr>
          <w:lang w:val="sl-SI"/>
        </w:rPr>
        <w:t>[9]</w:t>
      </w:r>
      <w:r w:rsidRPr="00275FBD">
        <w:rPr>
          <w:lang w:val="sl-SI"/>
        </w:rPr>
        <w:fldChar w:fldCharType="end"/>
      </w:r>
      <w:r w:rsidRPr="00275FBD">
        <w:rPr>
          <w:lang w:val="sl-SI"/>
        </w:rPr>
        <w:t xml:space="preserve"> ter v drugih tematskih poročilih PSR3 (</w:t>
      </w:r>
      <w:r w:rsidRPr="00275FBD">
        <w:rPr>
          <w:lang w:val="sl-SI"/>
        </w:rPr>
        <w:fldChar w:fldCharType="begin"/>
      </w:r>
      <w:r w:rsidRPr="00275FBD">
        <w:rPr>
          <w:lang w:val="sl-SI"/>
        </w:rPr>
        <w:instrText xml:space="preserve"> REF _Ref133228738 \r \h </w:instrText>
      </w:r>
      <w:r w:rsidRPr="00275FBD">
        <w:rPr>
          <w:lang w:val="sl-SI"/>
        </w:rPr>
      </w:r>
      <w:r w:rsidRPr="00275FBD">
        <w:rPr>
          <w:lang w:val="sl-SI"/>
        </w:rPr>
        <w:fldChar w:fldCharType="separate"/>
      </w:r>
      <w:r w:rsidR="00BA25CD">
        <w:rPr>
          <w:lang w:val="sl-SI"/>
        </w:rPr>
        <w:t>[12]</w:t>
      </w:r>
      <w:r w:rsidRPr="00275FBD">
        <w:rPr>
          <w:lang w:val="sl-SI"/>
        </w:rPr>
        <w:fldChar w:fldCharType="end"/>
      </w:r>
      <w:r w:rsidRPr="00275FBD">
        <w:rPr>
          <w:lang w:val="sl-SI"/>
        </w:rPr>
        <w:t xml:space="preserve"> do </w:t>
      </w:r>
      <w:r w:rsidRPr="00275FBD">
        <w:rPr>
          <w:lang w:val="sl-SI"/>
        </w:rPr>
        <w:fldChar w:fldCharType="begin"/>
      </w:r>
      <w:r w:rsidRPr="00275FBD">
        <w:rPr>
          <w:lang w:val="sl-SI"/>
        </w:rPr>
        <w:instrText xml:space="preserve"> REF _Ref133228758 \r \h </w:instrText>
      </w:r>
      <w:r w:rsidRPr="00275FBD">
        <w:rPr>
          <w:lang w:val="sl-SI"/>
        </w:rPr>
      </w:r>
      <w:r w:rsidRPr="00275FBD">
        <w:rPr>
          <w:lang w:val="sl-SI"/>
        </w:rPr>
        <w:fldChar w:fldCharType="separate"/>
      </w:r>
      <w:r w:rsidR="00BA25CD">
        <w:rPr>
          <w:lang w:val="sl-SI"/>
        </w:rPr>
        <w:t>[30]</w:t>
      </w:r>
      <w:r w:rsidRPr="00275FBD">
        <w:rPr>
          <w:lang w:val="sl-SI"/>
        </w:rPr>
        <w:fldChar w:fldCharType="end"/>
      </w:r>
      <w:r w:rsidRPr="00275FBD">
        <w:rPr>
          <w:lang w:val="sl-SI"/>
        </w:rPr>
        <w:t>).</w:t>
      </w:r>
    </w:p>
    <w:p w14:paraId="00EB99FA" w14:textId="6224FB51" w:rsidR="00FF4675" w:rsidRPr="00275FBD" w:rsidRDefault="00FF4675" w:rsidP="00FF4675">
      <w:pPr>
        <w:pStyle w:val="Naslov2"/>
        <w:tabs>
          <w:tab w:val="left" w:pos="794"/>
        </w:tabs>
        <w:rPr>
          <w:lang w:val="sl-SI"/>
        </w:rPr>
      </w:pPr>
      <w:bookmarkStart w:id="26" w:name="_Toc163197419"/>
      <w:r w:rsidRPr="00275FBD">
        <w:rPr>
          <w:lang w:val="sl-SI"/>
        </w:rPr>
        <w:t>Organiza</w:t>
      </w:r>
      <w:r w:rsidR="00733CD6" w:rsidRPr="00275FBD">
        <w:rPr>
          <w:lang w:val="sl-SI"/>
        </w:rPr>
        <w:t>cijski</w:t>
      </w:r>
      <w:r w:rsidRPr="00275FBD">
        <w:rPr>
          <w:lang w:val="sl-SI"/>
        </w:rPr>
        <w:t xml:space="preserve"> </w:t>
      </w:r>
      <w:r w:rsidR="00733CD6" w:rsidRPr="00275FBD">
        <w:rPr>
          <w:lang w:val="sl-SI"/>
        </w:rPr>
        <w:t>pristop</w:t>
      </w:r>
      <w:bookmarkEnd w:id="26"/>
    </w:p>
    <w:p w14:paraId="7A0ED1DD" w14:textId="5C466AFF" w:rsidR="00733CD6" w:rsidRPr="00275FBD" w:rsidRDefault="00733CD6" w:rsidP="00733CD6">
      <w:pPr>
        <w:rPr>
          <w:lang w:val="sl-SI"/>
        </w:rPr>
      </w:pPr>
      <w:r w:rsidRPr="00275FBD">
        <w:rPr>
          <w:lang w:val="sl-SI"/>
        </w:rPr>
        <w:t xml:space="preserve">Z organizacijskega vidika lahko PSR razdelimo na naslednje </w:t>
      </w:r>
      <w:r w:rsidR="00594FC5">
        <w:rPr>
          <w:lang w:val="sl-SI"/>
        </w:rPr>
        <w:t>korake</w:t>
      </w:r>
      <w:r w:rsidRPr="00275FBD">
        <w:rPr>
          <w:lang w:val="sl-SI"/>
        </w:rPr>
        <w:t>:</w:t>
      </w:r>
    </w:p>
    <w:p w14:paraId="259609B1" w14:textId="09F371D6" w:rsidR="00733CD6" w:rsidRPr="00275FBD" w:rsidRDefault="00733CD6" w:rsidP="003C3F53">
      <w:pPr>
        <w:numPr>
          <w:ilvl w:val="0"/>
          <w:numId w:val="9"/>
        </w:numPr>
        <w:rPr>
          <w:lang w:val="sl-SI"/>
        </w:rPr>
      </w:pPr>
      <w:r w:rsidRPr="00275FBD">
        <w:rPr>
          <w:lang w:val="sl-SI"/>
        </w:rPr>
        <w:t>Priprava pregleda</w:t>
      </w:r>
      <w:r w:rsidR="003C3F53" w:rsidRPr="00275FBD">
        <w:rPr>
          <w:lang w:val="sl-SI"/>
        </w:rPr>
        <w:t>;</w:t>
      </w:r>
    </w:p>
    <w:p w14:paraId="07FE8F44" w14:textId="5B62E09A" w:rsidR="00733CD6" w:rsidRPr="00275FBD" w:rsidRDefault="00733CD6" w:rsidP="003C3F53">
      <w:pPr>
        <w:numPr>
          <w:ilvl w:val="0"/>
          <w:numId w:val="9"/>
        </w:numPr>
        <w:rPr>
          <w:lang w:val="sl-SI"/>
        </w:rPr>
      </w:pPr>
      <w:r w:rsidRPr="00275FBD">
        <w:rPr>
          <w:lang w:val="sl-SI"/>
        </w:rPr>
        <w:t>Pregled</w:t>
      </w:r>
      <w:r w:rsidR="003C3F53" w:rsidRPr="00275FBD">
        <w:rPr>
          <w:lang w:val="sl-SI"/>
        </w:rPr>
        <w:t>;</w:t>
      </w:r>
    </w:p>
    <w:p w14:paraId="4BCACD83" w14:textId="15A26A3D" w:rsidR="00733CD6" w:rsidRPr="00275FBD" w:rsidRDefault="00733CD6" w:rsidP="003C3F53">
      <w:pPr>
        <w:numPr>
          <w:ilvl w:val="0"/>
          <w:numId w:val="9"/>
        </w:numPr>
        <w:rPr>
          <w:lang w:val="sl-SI"/>
        </w:rPr>
      </w:pPr>
      <w:r w:rsidRPr="00275FBD">
        <w:rPr>
          <w:lang w:val="sl-SI"/>
        </w:rPr>
        <w:t>Regulat</w:t>
      </w:r>
      <w:r w:rsidR="00594FC5">
        <w:rPr>
          <w:lang w:val="sl-SI"/>
        </w:rPr>
        <w:t>or</w:t>
      </w:r>
      <w:r w:rsidRPr="00275FBD">
        <w:rPr>
          <w:lang w:val="sl-SI"/>
        </w:rPr>
        <w:t>na ocena</w:t>
      </w:r>
      <w:r w:rsidR="003C3F53" w:rsidRPr="00275FBD">
        <w:rPr>
          <w:lang w:val="sl-SI"/>
        </w:rPr>
        <w:t>;</w:t>
      </w:r>
    </w:p>
    <w:p w14:paraId="3E3B0211" w14:textId="7C740512" w:rsidR="00733CD6" w:rsidRPr="00275FBD" w:rsidRDefault="00733CD6" w:rsidP="003C3F53">
      <w:pPr>
        <w:numPr>
          <w:ilvl w:val="0"/>
          <w:numId w:val="9"/>
        </w:numPr>
        <w:rPr>
          <w:lang w:val="sl-SI"/>
        </w:rPr>
      </w:pPr>
      <w:r w:rsidRPr="00275FBD">
        <w:rPr>
          <w:lang w:val="sl-SI"/>
        </w:rPr>
        <w:t>Program izvajanja korektivnih ukrepov.</w:t>
      </w:r>
    </w:p>
    <w:p w14:paraId="3B43D7D3" w14:textId="5605C99E" w:rsidR="00733CD6" w:rsidRPr="00275FBD" w:rsidRDefault="00733CD6" w:rsidP="00733CD6">
      <w:pPr>
        <w:rPr>
          <w:lang w:val="sl-SI"/>
        </w:rPr>
      </w:pPr>
      <w:r w:rsidRPr="00275FBD">
        <w:rPr>
          <w:lang w:val="sl-SI"/>
        </w:rPr>
        <w:t>Priprava pregleda je vključevala osnovne elemente načrtovanja in organizacije, značilne za velike projekte presoje varnosti. Vzpostavljen je bil potreben okvir za izvedbo pregleda. Program</w:t>
      </w:r>
      <w:r w:rsidR="00594FC5">
        <w:rPr>
          <w:lang w:val="sl-SI"/>
        </w:rPr>
        <w:t xml:space="preserve"> PSR3</w:t>
      </w:r>
      <w:r w:rsidRPr="00275FBD">
        <w:rPr>
          <w:lang w:val="sl-SI"/>
        </w:rPr>
        <w:t xml:space="preserve"> </w:t>
      </w:r>
      <w:r w:rsidR="003C3F53" w:rsidRPr="00275FBD">
        <w:rPr>
          <w:lang w:val="sl-SI"/>
        </w:rPr>
        <w:fldChar w:fldCharType="begin"/>
      </w:r>
      <w:r w:rsidR="003C3F53" w:rsidRPr="00275FBD">
        <w:rPr>
          <w:lang w:val="sl-SI"/>
        </w:rPr>
        <w:instrText xml:space="preserve"> REF _Ref133222751 \r \h </w:instrText>
      </w:r>
      <w:r w:rsidR="003C3F53" w:rsidRPr="00275FBD">
        <w:rPr>
          <w:lang w:val="sl-SI"/>
        </w:rPr>
      </w:r>
      <w:r w:rsidR="003C3F53" w:rsidRPr="00275FBD">
        <w:rPr>
          <w:lang w:val="sl-SI"/>
        </w:rPr>
        <w:fldChar w:fldCharType="separate"/>
      </w:r>
      <w:r w:rsidR="00BA25CD">
        <w:rPr>
          <w:lang w:val="sl-SI"/>
        </w:rPr>
        <w:t>[1]</w:t>
      </w:r>
      <w:r w:rsidR="003C3F53" w:rsidRPr="00275FBD">
        <w:rPr>
          <w:lang w:val="sl-SI"/>
        </w:rPr>
        <w:fldChar w:fldCharType="end"/>
      </w:r>
      <w:r w:rsidRPr="00275FBD">
        <w:rPr>
          <w:lang w:val="sl-SI"/>
        </w:rPr>
        <w:t xml:space="preserve"> je imel pomembno vlogo pri opredelitvi relevantnih ključnih elementov PSR</w:t>
      </w:r>
      <w:r w:rsidR="003C3F53" w:rsidRPr="00275FBD">
        <w:rPr>
          <w:lang w:val="sl-SI"/>
        </w:rPr>
        <w:t>3</w:t>
      </w:r>
      <w:r w:rsidRPr="00275FBD">
        <w:rPr>
          <w:lang w:val="sl-SI"/>
        </w:rPr>
        <w:t xml:space="preserve"> in pri predstavitvi teh elementov URSJV</w:t>
      </w:r>
      <w:r w:rsidR="00594FC5">
        <w:rPr>
          <w:lang w:val="sl-SI"/>
        </w:rPr>
        <w:t>, ki je program odobril z odločbo</w:t>
      </w:r>
      <w:r w:rsidRPr="00275FBD">
        <w:rPr>
          <w:lang w:val="sl-SI"/>
        </w:rPr>
        <w:t>.</w:t>
      </w:r>
    </w:p>
    <w:p w14:paraId="5BD22A55" w14:textId="14468BB4" w:rsidR="003C3F53" w:rsidRPr="00275FBD" w:rsidRDefault="003C3F53" w:rsidP="003C3F53">
      <w:pPr>
        <w:rPr>
          <w:lang w:val="sl-SI"/>
        </w:rPr>
      </w:pPr>
      <w:r w:rsidRPr="00275FBD">
        <w:rPr>
          <w:lang w:val="sl-SI"/>
        </w:rPr>
        <w:t xml:space="preserve">Faza pregleda je vključevala zbiranje </w:t>
      </w:r>
      <w:r w:rsidR="00594FC5">
        <w:rPr>
          <w:lang w:val="sl-SI"/>
        </w:rPr>
        <w:t>značil</w:t>
      </w:r>
      <w:r w:rsidR="00594FC5" w:rsidRPr="00275FBD">
        <w:rPr>
          <w:lang w:val="sl-SI"/>
        </w:rPr>
        <w:t xml:space="preserve">nih </w:t>
      </w:r>
      <w:r w:rsidRPr="00275FBD">
        <w:rPr>
          <w:lang w:val="sl-SI"/>
        </w:rPr>
        <w:t>podatkov o elektrarni in oceno trenutne varnosti obratovanja. Glavni rezultat te</w:t>
      </w:r>
      <w:r w:rsidR="00CA6A8E">
        <w:rPr>
          <w:lang w:val="sl-SI"/>
        </w:rPr>
        <w:t xml:space="preserve">ga koraka </w:t>
      </w:r>
      <w:r w:rsidRPr="00275FBD">
        <w:rPr>
          <w:lang w:val="sl-SI"/>
        </w:rPr>
        <w:t xml:space="preserve">je seznam najdb </w:t>
      </w:r>
      <w:r w:rsidR="00CA6A8E">
        <w:rPr>
          <w:lang w:val="sl-SI"/>
        </w:rPr>
        <w:t>povezanih z</w:t>
      </w:r>
      <w:r w:rsidR="00CA6A8E" w:rsidRPr="00275FBD">
        <w:rPr>
          <w:lang w:val="sl-SI"/>
        </w:rPr>
        <w:t xml:space="preserve"> </w:t>
      </w:r>
      <w:r w:rsidRPr="00275FBD">
        <w:rPr>
          <w:lang w:val="sl-SI"/>
        </w:rPr>
        <w:t>varnost</w:t>
      </w:r>
      <w:r w:rsidR="00CA6A8E">
        <w:rPr>
          <w:lang w:val="sl-SI"/>
        </w:rPr>
        <w:t>jo</w:t>
      </w:r>
      <w:r w:rsidRPr="00275FBD">
        <w:rPr>
          <w:lang w:val="sl-SI"/>
        </w:rPr>
        <w:t xml:space="preserve"> elektrarne in varnostni</w:t>
      </w:r>
      <w:r w:rsidR="00CA6A8E">
        <w:rPr>
          <w:lang w:val="sl-SI"/>
        </w:rPr>
        <w:t>mi</w:t>
      </w:r>
      <w:r w:rsidRPr="00275FBD">
        <w:rPr>
          <w:lang w:val="sl-SI"/>
        </w:rPr>
        <w:t xml:space="preserve"> meril</w:t>
      </w:r>
      <w:r w:rsidR="00CA6A8E">
        <w:rPr>
          <w:lang w:val="sl-SI"/>
        </w:rPr>
        <w:t>i</w:t>
      </w:r>
      <w:r w:rsidRPr="00275FBD">
        <w:rPr>
          <w:lang w:val="sl-SI"/>
        </w:rPr>
        <w:t xml:space="preserve">, </w:t>
      </w:r>
      <w:r w:rsidR="00DC549D">
        <w:rPr>
          <w:lang w:val="sl-SI"/>
        </w:rPr>
        <w:t>določ</w:t>
      </w:r>
      <w:r w:rsidR="00DC549D" w:rsidRPr="00275FBD">
        <w:rPr>
          <w:lang w:val="sl-SI"/>
        </w:rPr>
        <w:t>eni</w:t>
      </w:r>
      <w:r w:rsidR="00CA6A8E">
        <w:rPr>
          <w:lang w:val="sl-SI"/>
        </w:rPr>
        <w:t>mi</w:t>
      </w:r>
      <w:r w:rsidR="00DC549D" w:rsidRPr="00275FBD">
        <w:rPr>
          <w:lang w:val="sl-SI"/>
        </w:rPr>
        <w:t xml:space="preserve"> </w:t>
      </w:r>
      <w:r w:rsidRPr="00275FBD">
        <w:rPr>
          <w:lang w:val="sl-SI"/>
        </w:rPr>
        <w:t>za vsako varnostno področje</w:t>
      </w:r>
      <w:r w:rsidR="00CA6A8E">
        <w:rPr>
          <w:lang w:val="sl-SI"/>
        </w:rPr>
        <w:t xml:space="preserve"> posebej</w:t>
      </w:r>
      <w:r w:rsidRPr="00275FBD">
        <w:rPr>
          <w:lang w:val="sl-SI"/>
        </w:rPr>
        <w:t xml:space="preserve">. Za ugotovljene pomanjkljivosti so bili predlagani korektivni ukrepi. Celotna izvedba NEK PSR3 je </w:t>
      </w:r>
      <w:r w:rsidR="003703C4" w:rsidRPr="00275FBD">
        <w:rPr>
          <w:lang w:val="sl-SI"/>
        </w:rPr>
        <w:t xml:space="preserve">bila </w:t>
      </w:r>
      <w:r w:rsidRPr="00275FBD">
        <w:rPr>
          <w:lang w:val="sl-SI"/>
        </w:rPr>
        <w:t>v splošnem razdeljena na dve osnovni fazi:</w:t>
      </w:r>
    </w:p>
    <w:p w14:paraId="28AEDF2A" w14:textId="716A2DA9" w:rsidR="003C3F53" w:rsidRPr="00275FBD" w:rsidRDefault="003C3F53" w:rsidP="003C3F53">
      <w:pPr>
        <w:numPr>
          <w:ilvl w:val="0"/>
          <w:numId w:val="10"/>
        </w:numPr>
        <w:rPr>
          <w:lang w:val="sl-SI"/>
        </w:rPr>
      </w:pPr>
      <w:r w:rsidRPr="00275FBD">
        <w:rPr>
          <w:lang w:val="sl-SI"/>
        </w:rPr>
        <w:t xml:space="preserve">Faza pregleda varnostnih </w:t>
      </w:r>
      <w:bookmarkStart w:id="27" w:name="_Hlk159659462"/>
      <w:r w:rsidR="001D65DF">
        <w:rPr>
          <w:lang w:val="sl-SI"/>
        </w:rPr>
        <w:t>vsebin</w:t>
      </w:r>
      <w:bookmarkEnd w:id="27"/>
      <w:r w:rsidRPr="00275FBD">
        <w:rPr>
          <w:lang w:val="sl-SI"/>
        </w:rPr>
        <w:t>;</w:t>
      </w:r>
    </w:p>
    <w:p w14:paraId="57B41164" w14:textId="53F07FB0" w:rsidR="003C3F53" w:rsidRPr="00275FBD" w:rsidRDefault="003C3F53" w:rsidP="003C3F53">
      <w:pPr>
        <w:numPr>
          <w:ilvl w:val="0"/>
          <w:numId w:val="10"/>
        </w:numPr>
        <w:rPr>
          <w:lang w:val="sl-SI"/>
        </w:rPr>
      </w:pPr>
      <w:r w:rsidRPr="00275FBD">
        <w:rPr>
          <w:lang w:val="sl-SI"/>
        </w:rPr>
        <w:t>Faza razvrščanja</w:t>
      </w:r>
      <w:r w:rsidR="00CA6A8E">
        <w:rPr>
          <w:lang w:val="sl-SI"/>
        </w:rPr>
        <w:t xml:space="preserve"> najdb</w:t>
      </w:r>
      <w:r w:rsidRPr="00275FBD">
        <w:rPr>
          <w:lang w:val="sl-SI"/>
        </w:rPr>
        <w:t>, določanja prednosti in ocene</w:t>
      </w:r>
      <w:r w:rsidR="00CA6A8E" w:rsidRPr="00CA6A8E">
        <w:rPr>
          <w:lang w:val="sl-SI"/>
        </w:rPr>
        <w:t xml:space="preserve"> </w:t>
      </w:r>
      <w:r w:rsidR="00CA6A8E">
        <w:rPr>
          <w:lang w:val="sl-SI"/>
        </w:rPr>
        <w:t>varnostne pomembnosti</w:t>
      </w:r>
      <w:r w:rsidRPr="00275FBD">
        <w:rPr>
          <w:lang w:val="sl-SI"/>
        </w:rPr>
        <w:t>.</w:t>
      </w:r>
    </w:p>
    <w:p w14:paraId="320C1FF1" w14:textId="66FA34A0" w:rsidR="003C3F53" w:rsidRPr="00275FBD" w:rsidRDefault="003C3F53" w:rsidP="003C3F53">
      <w:pPr>
        <w:rPr>
          <w:lang w:val="sl-SI"/>
        </w:rPr>
      </w:pPr>
      <w:r w:rsidRPr="00275FBD">
        <w:rPr>
          <w:lang w:val="sl-SI"/>
        </w:rPr>
        <w:t xml:space="preserve">Prva faza je vključevala sistematično ovrednotenje vseh varnostnih </w:t>
      </w:r>
      <w:r w:rsidR="001D65DF">
        <w:rPr>
          <w:lang w:val="sl-SI"/>
        </w:rPr>
        <w:t>vsebin</w:t>
      </w:r>
      <w:r w:rsidRPr="00275FBD">
        <w:rPr>
          <w:lang w:val="sl-SI"/>
        </w:rPr>
        <w:t xml:space="preserve"> z uporabo </w:t>
      </w:r>
      <w:r w:rsidR="001D65DF" w:rsidRPr="00275FBD">
        <w:rPr>
          <w:lang w:val="sl-SI"/>
        </w:rPr>
        <w:t>sodobn</w:t>
      </w:r>
      <w:r w:rsidR="001D65DF">
        <w:rPr>
          <w:lang w:val="sl-SI"/>
        </w:rPr>
        <w:t>ih</w:t>
      </w:r>
      <w:r w:rsidR="001D65DF" w:rsidRPr="00275FBD">
        <w:rPr>
          <w:lang w:val="sl-SI"/>
        </w:rPr>
        <w:t xml:space="preserve"> </w:t>
      </w:r>
      <w:r w:rsidR="00CA6A8E">
        <w:rPr>
          <w:lang w:val="sl-SI"/>
        </w:rPr>
        <w:t>u</w:t>
      </w:r>
      <w:r w:rsidR="005744B0" w:rsidRPr="00275FBD">
        <w:rPr>
          <w:lang w:val="sl-SI"/>
        </w:rPr>
        <w:t>veljav</w:t>
      </w:r>
      <w:r w:rsidR="00CA6A8E">
        <w:rPr>
          <w:lang w:val="sl-SI"/>
        </w:rPr>
        <w:t>lje</w:t>
      </w:r>
      <w:r w:rsidR="005744B0" w:rsidRPr="00275FBD">
        <w:rPr>
          <w:lang w:val="sl-SI"/>
        </w:rPr>
        <w:t>nih</w:t>
      </w:r>
      <w:r w:rsidRPr="00275FBD">
        <w:rPr>
          <w:lang w:val="sl-SI"/>
        </w:rPr>
        <w:t xml:space="preserve"> metod in dejanskih podatkov o </w:t>
      </w:r>
      <w:r w:rsidR="00A12A59" w:rsidRPr="00275FBD">
        <w:rPr>
          <w:lang w:val="sl-SI"/>
        </w:rPr>
        <w:t>objektu</w:t>
      </w:r>
      <w:r w:rsidRPr="00275FBD">
        <w:rPr>
          <w:lang w:val="sl-SI"/>
        </w:rPr>
        <w:t xml:space="preserve">. Primerjava z varnostnimi standardi in praksami je bila osnovni element te ocene. Ta korak je bil osredotočen na identifikacijo varnostnih </w:t>
      </w:r>
      <w:r w:rsidR="00CB6B10">
        <w:rPr>
          <w:lang w:val="sl-SI"/>
        </w:rPr>
        <w:t>neskladij</w:t>
      </w:r>
      <w:r w:rsidRPr="00275FBD">
        <w:rPr>
          <w:lang w:val="sl-SI"/>
        </w:rPr>
        <w:t xml:space="preserve">, vendar je vključeval tudi takojšnjo oceno </w:t>
      </w:r>
      <w:r w:rsidR="00CB6B10" w:rsidRPr="00275FBD">
        <w:rPr>
          <w:lang w:val="sl-SI"/>
        </w:rPr>
        <w:t xml:space="preserve">najdb </w:t>
      </w:r>
      <w:r w:rsidRPr="00275FBD">
        <w:rPr>
          <w:lang w:val="sl-SI"/>
        </w:rPr>
        <w:t>glede na njihov</w:t>
      </w:r>
      <w:r w:rsidR="00400B86">
        <w:rPr>
          <w:lang w:val="sl-SI"/>
        </w:rPr>
        <w:t>o</w:t>
      </w:r>
      <w:r w:rsidRPr="00275FBD">
        <w:rPr>
          <w:lang w:val="sl-SI"/>
        </w:rPr>
        <w:t xml:space="preserve"> </w:t>
      </w:r>
      <w:r w:rsidR="00400B86" w:rsidRPr="00275FBD">
        <w:rPr>
          <w:lang w:val="sl-SI"/>
        </w:rPr>
        <w:t>varnostn</w:t>
      </w:r>
      <w:r w:rsidR="00400B86">
        <w:rPr>
          <w:lang w:val="sl-SI"/>
        </w:rPr>
        <w:t>o</w:t>
      </w:r>
      <w:r w:rsidR="00400B86" w:rsidRPr="00275FBD">
        <w:rPr>
          <w:lang w:val="sl-SI"/>
        </w:rPr>
        <w:t xml:space="preserve"> </w:t>
      </w:r>
      <w:r w:rsidR="00400B86" w:rsidRPr="00275FBD">
        <w:rPr>
          <w:lang w:val="sl-SI" w:eastAsia="en-GB"/>
        </w:rPr>
        <w:t>pome</w:t>
      </w:r>
      <w:r w:rsidR="00400B86">
        <w:rPr>
          <w:lang w:val="sl-SI" w:eastAsia="en-GB"/>
        </w:rPr>
        <w:t xml:space="preserve">mbnost </w:t>
      </w:r>
      <w:r w:rsidRPr="00275FBD">
        <w:rPr>
          <w:lang w:val="sl-SI"/>
        </w:rPr>
        <w:t xml:space="preserve">in nakazal možne korektivne ukrepe. V primeru </w:t>
      </w:r>
      <w:r w:rsidR="005744B0" w:rsidRPr="00275FBD">
        <w:rPr>
          <w:lang w:val="sl-SI"/>
        </w:rPr>
        <w:t xml:space="preserve">NEK </w:t>
      </w:r>
      <w:r w:rsidRPr="00275FBD">
        <w:rPr>
          <w:lang w:val="sl-SI"/>
        </w:rPr>
        <w:t>PSR</w:t>
      </w:r>
      <w:r w:rsidR="005744B0" w:rsidRPr="00275FBD">
        <w:rPr>
          <w:lang w:val="sl-SI"/>
        </w:rPr>
        <w:t>3</w:t>
      </w:r>
      <w:r w:rsidRPr="00275FBD">
        <w:rPr>
          <w:lang w:val="sl-SI"/>
        </w:rPr>
        <w:t xml:space="preserve"> je izvedba te faze temeljila na pomembnih </w:t>
      </w:r>
      <w:r w:rsidR="005744B0" w:rsidRPr="00275FBD">
        <w:rPr>
          <w:lang w:val="sl-SI"/>
        </w:rPr>
        <w:t>podatkih o</w:t>
      </w:r>
      <w:r w:rsidRPr="00275FBD">
        <w:rPr>
          <w:lang w:val="sl-SI"/>
        </w:rPr>
        <w:t xml:space="preserve"> trenutnih aktivnosti</w:t>
      </w:r>
      <w:r w:rsidR="00CA6A8E">
        <w:rPr>
          <w:lang w:val="sl-SI"/>
        </w:rPr>
        <w:t>h</w:t>
      </w:r>
      <w:r w:rsidRPr="00275FBD">
        <w:rPr>
          <w:lang w:val="sl-SI"/>
        </w:rPr>
        <w:t xml:space="preserve"> varnostnega nadzora, ki se redno izvajajo v NEK.</w:t>
      </w:r>
    </w:p>
    <w:p w14:paraId="086A5BCA" w14:textId="704004F1" w:rsidR="003C3F53" w:rsidRPr="00275FBD" w:rsidRDefault="003C3F53" w:rsidP="003C3F53">
      <w:pPr>
        <w:rPr>
          <w:lang w:val="sl-SI"/>
        </w:rPr>
      </w:pPr>
      <w:r w:rsidRPr="00275FBD">
        <w:rPr>
          <w:lang w:val="sl-SI"/>
        </w:rPr>
        <w:t xml:space="preserve">Druga faza je vključevala </w:t>
      </w:r>
      <w:r w:rsidR="000C7C28">
        <w:rPr>
          <w:lang w:val="sl-SI"/>
        </w:rPr>
        <w:t>celovito</w:t>
      </w:r>
      <w:r w:rsidR="000C7C28" w:rsidRPr="00275FBD">
        <w:rPr>
          <w:lang w:val="sl-SI"/>
        </w:rPr>
        <w:t xml:space="preserve"> </w:t>
      </w:r>
      <w:r w:rsidRPr="00275FBD">
        <w:rPr>
          <w:lang w:val="sl-SI"/>
        </w:rPr>
        <w:t>oceno prepoznanih prednosti in pomanjkljivosti. Ocenjeni so bili korektivni ukrepi in predlagan program izvedbe korektivnih ukrepov. Postopek odločanja je vključeval vse pomembne vidike, tj. vpliv tveganja, vključene stroške, čas izvedbe in težav</w:t>
      </w:r>
      <w:r w:rsidR="00CB6B10">
        <w:rPr>
          <w:lang w:val="sl-SI"/>
        </w:rPr>
        <w:t>nost izvedbe</w:t>
      </w:r>
      <w:r w:rsidRPr="00275FBD">
        <w:rPr>
          <w:lang w:val="sl-SI"/>
        </w:rPr>
        <w:t xml:space="preserve"> itd. in je bil podprt z analizo stroškov in koristi. Pomemben del tega koraka je presoja sprejemljivosti individualnega in skupnega prispevka k tveganju, povezanega z nadaljnjim obratovanjem </w:t>
      </w:r>
      <w:r w:rsidR="005744B0" w:rsidRPr="00275FBD">
        <w:rPr>
          <w:lang w:val="sl-SI"/>
        </w:rPr>
        <w:t>elektrarne</w:t>
      </w:r>
      <w:r w:rsidRPr="00275FBD">
        <w:rPr>
          <w:lang w:val="sl-SI"/>
        </w:rPr>
        <w:t xml:space="preserve"> ob prisotnosti vseh </w:t>
      </w:r>
      <w:proofErr w:type="spellStart"/>
      <w:r w:rsidRPr="00275FBD">
        <w:rPr>
          <w:lang w:val="sl-SI"/>
        </w:rPr>
        <w:t>neodpravljenih</w:t>
      </w:r>
      <w:proofErr w:type="spellEnd"/>
      <w:r w:rsidRPr="00275FBD">
        <w:rPr>
          <w:lang w:val="sl-SI"/>
        </w:rPr>
        <w:t xml:space="preserve"> pomanjkljivosti.</w:t>
      </w:r>
    </w:p>
    <w:p w14:paraId="444840BC" w14:textId="19ECAA9A" w:rsidR="005744B0" w:rsidRPr="00275FBD" w:rsidRDefault="005744B0" w:rsidP="005744B0">
      <w:pPr>
        <w:rPr>
          <w:lang w:val="sl-SI"/>
        </w:rPr>
      </w:pPr>
      <w:r w:rsidRPr="00275FBD">
        <w:rPr>
          <w:lang w:val="sl-SI"/>
        </w:rPr>
        <w:t xml:space="preserve">URSJV je bil vključen v obe fazi pregleda. </w:t>
      </w:r>
      <w:r w:rsidR="00CA6A8E">
        <w:rPr>
          <w:lang w:val="sl-SI"/>
        </w:rPr>
        <w:t>P</w:t>
      </w:r>
      <w:r w:rsidRPr="00275FBD">
        <w:rPr>
          <w:lang w:val="sl-SI"/>
        </w:rPr>
        <w:t xml:space="preserve">ri celotnem procesu pregleda je URSJV </w:t>
      </w:r>
      <w:r w:rsidR="00CA6A8E">
        <w:rPr>
          <w:lang w:val="sl-SI"/>
        </w:rPr>
        <w:t xml:space="preserve">po pregledu tematskih poročil </w:t>
      </w:r>
      <w:r w:rsidRPr="00275FBD">
        <w:rPr>
          <w:lang w:val="sl-SI"/>
        </w:rPr>
        <w:t xml:space="preserve">posredoval </w:t>
      </w:r>
      <w:r w:rsidR="00CA6A8E">
        <w:rPr>
          <w:lang w:val="sl-SI"/>
        </w:rPr>
        <w:t>pripombe in varnostna vprašanja glede</w:t>
      </w:r>
      <w:r w:rsidRPr="00275FBD">
        <w:rPr>
          <w:lang w:val="sl-SI"/>
        </w:rPr>
        <w:t xml:space="preserve"> </w:t>
      </w:r>
      <w:r w:rsidR="00CA6A8E">
        <w:rPr>
          <w:lang w:val="sl-SI"/>
        </w:rPr>
        <w:t>posameznih</w:t>
      </w:r>
      <w:r w:rsidR="00CA6A8E" w:rsidRPr="00275FBD">
        <w:rPr>
          <w:lang w:val="sl-SI"/>
        </w:rPr>
        <w:t xml:space="preserve"> </w:t>
      </w:r>
      <w:r w:rsidRPr="00275FBD">
        <w:rPr>
          <w:lang w:val="sl-SI"/>
        </w:rPr>
        <w:t xml:space="preserve">varnostnih </w:t>
      </w:r>
      <w:r w:rsidR="00716249">
        <w:rPr>
          <w:lang w:val="sl-SI"/>
        </w:rPr>
        <w:t>vsebin</w:t>
      </w:r>
      <w:r w:rsidRPr="00275FBD">
        <w:rPr>
          <w:lang w:val="sl-SI"/>
        </w:rPr>
        <w:t xml:space="preserve">. Kot je </w:t>
      </w:r>
      <w:r w:rsidR="00DC549D">
        <w:rPr>
          <w:lang w:val="sl-SI"/>
        </w:rPr>
        <w:t>določ</w:t>
      </w:r>
      <w:r w:rsidR="00DC549D" w:rsidRPr="00275FBD">
        <w:rPr>
          <w:lang w:val="sl-SI"/>
        </w:rPr>
        <w:t xml:space="preserve">eno </w:t>
      </w:r>
      <w:r w:rsidRPr="00275FBD">
        <w:rPr>
          <w:lang w:val="sl-SI"/>
        </w:rPr>
        <w:t xml:space="preserve">v Programu NEK PSR3 </w:t>
      </w:r>
      <w:r w:rsidRPr="00275FBD">
        <w:rPr>
          <w:lang w:val="sl-SI"/>
        </w:rPr>
        <w:fldChar w:fldCharType="begin"/>
      </w:r>
      <w:r w:rsidRPr="00275FBD">
        <w:rPr>
          <w:lang w:val="sl-SI"/>
        </w:rPr>
        <w:instrText xml:space="preserve"> REF _Ref133222751 \r \h </w:instrText>
      </w:r>
      <w:r w:rsidRPr="00275FBD">
        <w:rPr>
          <w:lang w:val="sl-SI"/>
        </w:rPr>
      </w:r>
      <w:r w:rsidRPr="00275FBD">
        <w:rPr>
          <w:lang w:val="sl-SI"/>
        </w:rPr>
        <w:fldChar w:fldCharType="separate"/>
      </w:r>
      <w:r w:rsidR="00BA25CD">
        <w:rPr>
          <w:lang w:val="sl-SI"/>
        </w:rPr>
        <w:t>[1]</w:t>
      </w:r>
      <w:r w:rsidRPr="00275FBD">
        <w:rPr>
          <w:lang w:val="sl-SI"/>
        </w:rPr>
        <w:fldChar w:fldCharType="end"/>
      </w:r>
      <w:r w:rsidR="000D177A">
        <w:rPr>
          <w:lang w:val="sl-SI"/>
        </w:rPr>
        <w:t>,</w:t>
      </w:r>
      <w:r w:rsidRPr="00275FBD">
        <w:rPr>
          <w:lang w:val="sl-SI"/>
        </w:rPr>
        <w:t xml:space="preserve"> bi bil URSJV nemudoma obveščen tudi, če bi se med pregledom pojavil</w:t>
      </w:r>
      <w:r w:rsidR="007B58D8" w:rsidRPr="00275FBD">
        <w:rPr>
          <w:lang w:val="sl-SI"/>
        </w:rPr>
        <w:t>e</w:t>
      </w:r>
      <w:r w:rsidRPr="00275FBD">
        <w:rPr>
          <w:lang w:val="sl-SI"/>
        </w:rPr>
        <w:t xml:space="preserve"> pomembn</w:t>
      </w:r>
      <w:r w:rsidR="00BD3CF4" w:rsidRPr="00275FBD">
        <w:rPr>
          <w:lang w:val="sl-SI"/>
        </w:rPr>
        <w:t>e</w:t>
      </w:r>
      <w:r w:rsidRPr="00275FBD">
        <w:rPr>
          <w:lang w:val="sl-SI"/>
        </w:rPr>
        <w:t xml:space="preserve"> </w:t>
      </w:r>
      <w:r w:rsidR="00BD3CF4" w:rsidRPr="00275FBD">
        <w:rPr>
          <w:lang w:val="sl-SI"/>
        </w:rPr>
        <w:t>najdbe</w:t>
      </w:r>
      <w:r w:rsidRPr="00275FBD">
        <w:rPr>
          <w:lang w:val="sl-SI"/>
        </w:rPr>
        <w:t xml:space="preserve">. V skladu s Pravilnikom JV9 </w:t>
      </w:r>
      <w:r w:rsidRPr="00275FBD">
        <w:rPr>
          <w:lang w:val="sl-SI"/>
        </w:rPr>
        <w:fldChar w:fldCharType="begin"/>
      </w:r>
      <w:r w:rsidRPr="00275FBD">
        <w:rPr>
          <w:lang w:val="sl-SI"/>
        </w:rPr>
        <w:instrText xml:space="preserve"> REF _Ref129601022 \r \h </w:instrText>
      </w:r>
      <w:r w:rsidRPr="00275FBD">
        <w:rPr>
          <w:lang w:val="sl-SI"/>
        </w:rPr>
      </w:r>
      <w:r w:rsidRPr="00275FBD">
        <w:rPr>
          <w:lang w:val="sl-SI"/>
        </w:rPr>
        <w:fldChar w:fldCharType="separate"/>
      </w:r>
      <w:r w:rsidR="00BA25CD">
        <w:rPr>
          <w:lang w:val="sl-SI"/>
        </w:rPr>
        <w:t>[6]</w:t>
      </w:r>
      <w:r w:rsidRPr="00275FBD">
        <w:rPr>
          <w:lang w:val="sl-SI"/>
        </w:rPr>
        <w:fldChar w:fldCharType="end"/>
      </w:r>
      <w:r w:rsidRPr="00275FBD">
        <w:rPr>
          <w:lang w:val="sl-SI"/>
        </w:rPr>
        <w:t xml:space="preserve"> so bila URSJV posredovana tematska poročila za vsak</w:t>
      </w:r>
      <w:r w:rsidR="00FE4C6E">
        <w:rPr>
          <w:lang w:val="sl-SI"/>
        </w:rPr>
        <w:t>o</w:t>
      </w:r>
      <w:r w:rsidRPr="00275FBD">
        <w:rPr>
          <w:lang w:val="sl-SI"/>
        </w:rPr>
        <w:t xml:space="preserve"> varnostn</w:t>
      </w:r>
      <w:r w:rsidR="00FE4C6E">
        <w:rPr>
          <w:lang w:val="sl-SI"/>
        </w:rPr>
        <w:t>o</w:t>
      </w:r>
      <w:r w:rsidRPr="00275FBD">
        <w:rPr>
          <w:lang w:val="sl-SI"/>
        </w:rPr>
        <w:t xml:space="preserve"> </w:t>
      </w:r>
      <w:r w:rsidR="00FE4C6E">
        <w:rPr>
          <w:lang w:val="sl-SI"/>
        </w:rPr>
        <w:t>vsebino</w:t>
      </w:r>
      <w:r w:rsidR="00FE4C6E" w:rsidRPr="00275FBD">
        <w:rPr>
          <w:lang w:val="sl-SI"/>
        </w:rPr>
        <w:t xml:space="preserve"> </w:t>
      </w:r>
      <w:r w:rsidRPr="00275FBD">
        <w:rPr>
          <w:lang w:val="sl-SI"/>
        </w:rPr>
        <w:t xml:space="preserve">ter </w:t>
      </w:r>
      <w:r w:rsidR="00CA6A8E">
        <w:rPr>
          <w:lang w:val="sl-SI"/>
        </w:rPr>
        <w:t xml:space="preserve">v drugi fazi še </w:t>
      </w:r>
      <w:r w:rsidRPr="00275FBD">
        <w:rPr>
          <w:lang w:val="sl-SI"/>
        </w:rPr>
        <w:t xml:space="preserve">poročila </w:t>
      </w:r>
      <w:r w:rsidR="00CA6A8E">
        <w:rPr>
          <w:lang w:val="sl-SI"/>
        </w:rPr>
        <w:t>o</w:t>
      </w:r>
      <w:r w:rsidRPr="00275FBD">
        <w:rPr>
          <w:lang w:val="sl-SI"/>
        </w:rPr>
        <w:t xml:space="preserve"> ocenjevanj</w:t>
      </w:r>
      <w:r w:rsidR="000D177A">
        <w:rPr>
          <w:lang w:val="sl-SI"/>
        </w:rPr>
        <w:t>u</w:t>
      </w:r>
      <w:r w:rsidRPr="00275FBD">
        <w:rPr>
          <w:lang w:val="sl-SI"/>
        </w:rPr>
        <w:t xml:space="preserve"> </w:t>
      </w:r>
      <w:r w:rsidR="00CA6A8E">
        <w:rPr>
          <w:lang w:val="sl-SI"/>
        </w:rPr>
        <w:t xml:space="preserve">varnostne pomembnosti </w:t>
      </w:r>
      <w:r w:rsidR="00DC549D">
        <w:rPr>
          <w:lang w:val="sl-SI"/>
        </w:rPr>
        <w:t xml:space="preserve">najdb </w:t>
      </w:r>
      <w:r w:rsidRPr="00275FBD">
        <w:rPr>
          <w:lang w:val="sl-SI"/>
        </w:rPr>
        <w:t xml:space="preserve">in </w:t>
      </w:r>
      <w:r w:rsidR="00B33492" w:rsidRPr="00275FBD">
        <w:rPr>
          <w:iCs/>
          <w:lang w:val="sl-SI"/>
        </w:rPr>
        <w:t xml:space="preserve">določanja </w:t>
      </w:r>
      <w:bookmarkStart w:id="28" w:name="_Hlk144195983"/>
      <w:r w:rsidR="00B33492" w:rsidRPr="00275FBD">
        <w:rPr>
          <w:iCs/>
          <w:lang w:val="sl-SI"/>
        </w:rPr>
        <w:t>prednosti</w:t>
      </w:r>
      <w:bookmarkEnd w:id="28"/>
      <w:r w:rsidRPr="00275FBD">
        <w:rPr>
          <w:lang w:val="sl-SI"/>
        </w:rPr>
        <w:t xml:space="preserve">. Vprašanja in pojasnila, ki jih je izpostavil </w:t>
      </w:r>
      <w:r w:rsidR="000D7D8A">
        <w:rPr>
          <w:lang w:val="sl-SI"/>
        </w:rPr>
        <w:t>upravni organ</w:t>
      </w:r>
      <w:r w:rsidRPr="00275FBD">
        <w:rPr>
          <w:lang w:val="sl-SI"/>
        </w:rPr>
        <w:t>, so bila razrešena</w:t>
      </w:r>
      <w:r w:rsidR="00CA6A8E">
        <w:rPr>
          <w:lang w:val="sl-SI"/>
        </w:rPr>
        <w:t xml:space="preserve"> </w:t>
      </w:r>
      <w:r w:rsidRPr="00275FBD">
        <w:rPr>
          <w:lang w:val="sl-SI"/>
        </w:rPr>
        <w:t>pred izda</w:t>
      </w:r>
      <w:r w:rsidR="00CA6A8E">
        <w:rPr>
          <w:lang w:val="sl-SI"/>
        </w:rPr>
        <w:t>jo</w:t>
      </w:r>
      <w:r w:rsidRPr="00275FBD">
        <w:rPr>
          <w:lang w:val="sl-SI"/>
        </w:rPr>
        <w:t xml:space="preserve"> </w:t>
      </w:r>
      <w:r w:rsidR="00CA6A8E" w:rsidRPr="00275FBD">
        <w:rPr>
          <w:lang w:val="sl-SI"/>
        </w:rPr>
        <w:t>končn</w:t>
      </w:r>
      <w:r w:rsidR="00CA6A8E">
        <w:rPr>
          <w:lang w:val="sl-SI"/>
        </w:rPr>
        <w:t>ih</w:t>
      </w:r>
      <w:r w:rsidR="00CA6A8E" w:rsidRPr="00275FBD">
        <w:rPr>
          <w:lang w:val="sl-SI"/>
        </w:rPr>
        <w:t xml:space="preserve"> </w:t>
      </w:r>
      <w:r w:rsidRPr="00275FBD">
        <w:rPr>
          <w:lang w:val="sl-SI"/>
        </w:rPr>
        <w:t>različic poročil.</w:t>
      </w:r>
    </w:p>
    <w:p w14:paraId="562EFABC" w14:textId="3CAF8F63" w:rsidR="005744B0" w:rsidRPr="00275FBD" w:rsidRDefault="005744B0" w:rsidP="005744B0">
      <w:pPr>
        <w:rPr>
          <w:lang w:val="sl-SI"/>
        </w:rPr>
      </w:pPr>
      <w:r w:rsidRPr="00275FBD">
        <w:rPr>
          <w:lang w:val="sl-SI"/>
        </w:rPr>
        <w:t xml:space="preserve">Program izvajanja korektivnih ukrepov </w:t>
      </w:r>
      <w:r w:rsidR="00CA6A8E">
        <w:rPr>
          <w:lang w:val="sl-SI"/>
        </w:rPr>
        <w:t>je bil</w:t>
      </w:r>
      <w:r w:rsidR="00CA6A8E" w:rsidRPr="00275FBD">
        <w:rPr>
          <w:lang w:val="sl-SI"/>
        </w:rPr>
        <w:t xml:space="preserve"> </w:t>
      </w:r>
      <w:r w:rsidRPr="00275FBD">
        <w:rPr>
          <w:lang w:val="sl-SI"/>
        </w:rPr>
        <w:t xml:space="preserve">dokončno oblikovan glede na </w:t>
      </w:r>
      <w:r w:rsidR="00F70C1F" w:rsidRPr="00275FBD">
        <w:rPr>
          <w:lang w:val="sl-SI"/>
        </w:rPr>
        <w:t xml:space="preserve">širši </w:t>
      </w:r>
      <w:r w:rsidRPr="00275FBD">
        <w:rPr>
          <w:lang w:val="sl-SI"/>
        </w:rPr>
        <w:t xml:space="preserve">proces določanja </w:t>
      </w:r>
      <w:r w:rsidR="00297FE2" w:rsidRPr="00297FE2">
        <w:rPr>
          <w:lang w:val="sl-SI"/>
        </w:rPr>
        <w:t>prednosti</w:t>
      </w:r>
      <w:r w:rsidR="00F70C1F" w:rsidRPr="00275FBD">
        <w:rPr>
          <w:lang w:val="sl-SI"/>
        </w:rPr>
        <w:t xml:space="preserve"> in razpoložljiv</w:t>
      </w:r>
      <w:r w:rsidR="00B33492" w:rsidRPr="00275FBD">
        <w:rPr>
          <w:lang w:val="sl-SI"/>
        </w:rPr>
        <w:t>a</w:t>
      </w:r>
      <w:r w:rsidR="00F70C1F" w:rsidRPr="00275FBD">
        <w:rPr>
          <w:lang w:val="sl-SI"/>
        </w:rPr>
        <w:t xml:space="preserve"> </w:t>
      </w:r>
      <w:r w:rsidR="00B33492" w:rsidRPr="00275FBD">
        <w:rPr>
          <w:lang w:val="sl-SI"/>
        </w:rPr>
        <w:t>sredstva</w:t>
      </w:r>
      <w:r w:rsidRPr="00275FBD">
        <w:rPr>
          <w:lang w:val="sl-SI"/>
        </w:rPr>
        <w:t xml:space="preserve">. </w:t>
      </w:r>
      <w:r w:rsidR="00F70C1F" w:rsidRPr="00275FBD">
        <w:rPr>
          <w:lang w:val="sl-SI"/>
        </w:rPr>
        <w:t>D</w:t>
      </w:r>
      <w:r w:rsidRPr="00275FBD">
        <w:rPr>
          <w:lang w:val="sl-SI"/>
        </w:rPr>
        <w:t xml:space="preserve">elo na vzpostavitvi podrobnega tehničnega pristopa k izvedbi </w:t>
      </w:r>
      <w:r w:rsidR="00A747F2">
        <w:rPr>
          <w:lang w:val="sl-SI"/>
        </w:rPr>
        <w:t>je zaključeno</w:t>
      </w:r>
      <w:r w:rsidRPr="00275FBD">
        <w:rPr>
          <w:lang w:val="sl-SI"/>
        </w:rPr>
        <w:t>.</w:t>
      </w:r>
    </w:p>
    <w:p w14:paraId="4DEFBEB3" w14:textId="77777777" w:rsidR="005744B0" w:rsidRPr="00275FBD" w:rsidRDefault="005744B0" w:rsidP="008806B3">
      <w:pPr>
        <w:rPr>
          <w:lang w:val="sl-SI"/>
        </w:rPr>
      </w:pPr>
    </w:p>
    <w:p w14:paraId="722B8134" w14:textId="39A56E36" w:rsidR="00FF4675" w:rsidRPr="00275FBD" w:rsidRDefault="00F70C1F" w:rsidP="00FF4675">
      <w:pPr>
        <w:pStyle w:val="Naslov2"/>
        <w:tabs>
          <w:tab w:val="left" w:pos="794"/>
        </w:tabs>
        <w:rPr>
          <w:lang w:val="sl-SI"/>
        </w:rPr>
      </w:pPr>
      <w:bookmarkStart w:id="29" w:name="_Toc163197420"/>
      <w:r w:rsidRPr="00275FBD">
        <w:rPr>
          <w:lang w:val="sl-SI"/>
        </w:rPr>
        <w:lastRenderedPageBreak/>
        <w:t>Metodološki pristop</w:t>
      </w:r>
      <w:bookmarkEnd w:id="29"/>
    </w:p>
    <w:p w14:paraId="538DDCCE" w14:textId="53B0616B" w:rsidR="00F70C1F" w:rsidRPr="00275FBD" w:rsidRDefault="00F70C1F" w:rsidP="00804A01">
      <w:pPr>
        <w:rPr>
          <w:lang w:val="sl-SI"/>
        </w:rPr>
      </w:pPr>
      <w:r w:rsidRPr="00275FBD">
        <w:rPr>
          <w:lang w:val="sl-SI"/>
        </w:rPr>
        <w:t xml:space="preserve">Metodološki pristopi pri izvedbi NEK PSR3 so bili </w:t>
      </w:r>
      <w:r w:rsidR="00DC549D">
        <w:rPr>
          <w:lang w:val="sl-SI"/>
        </w:rPr>
        <w:t>določ</w:t>
      </w:r>
      <w:r w:rsidR="00DC549D" w:rsidRPr="00275FBD">
        <w:rPr>
          <w:lang w:val="sl-SI"/>
        </w:rPr>
        <w:t xml:space="preserve">eni </w:t>
      </w:r>
      <w:r w:rsidRPr="00275FBD">
        <w:rPr>
          <w:lang w:val="sl-SI"/>
        </w:rPr>
        <w:t xml:space="preserve">v Programu </w:t>
      </w:r>
      <w:r w:rsidR="00A747F2">
        <w:rPr>
          <w:lang w:val="sl-SI"/>
        </w:rPr>
        <w:t>PSR3</w:t>
      </w:r>
      <w:r w:rsidRPr="00275FBD">
        <w:rPr>
          <w:lang w:val="sl-SI"/>
        </w:rPr>
        <w:t xml:space="preserve"> </w:t>
      </w:r>
      <w:r w:rsidRPr="00275FBD">
        <w:rPr>
          <w:lang w:val="sl-SI"/>
        </w:rPr>
        <w:fldChar w:fldCharType="begin"/>
      </w:r>
      <w:r w:rsidRPr="00275FBD">
        <w:rPr>
          <w:lang w:val="sl-SI"/>
        </w:rPr>
        <w:instrText xml:space="preserve"> REF _Ref133222751 \r \h </w:instrText>
      </w:r>
      <w:r w:rsidRPr="00275FBD">
        <w:rPr>
          <w:lang w:val="sl-SI"/>
        </w:rPr>
      </w:r>
      <w:r w:rsidRPr="00275FBD">
        <w:rPr>
          <w:lang w:val="sl-SI"/>
        </w:rPr>
        <w:fldChar w:fldCharType="separate"/>
      </w:r>
      <w:r w:rsidR="00BA25CD">
        <w:rPr>
          <w:lang w:val="sl-SI"/>
        </w:rPr>
        <w:t>[1]</w:t>
      </w:r>
      <w:r w:rsidRPr="00275FBD">
        <w:rPr>
          <w:lang w:val="sl-SI"/>
        </w:rPr>
        <w:fldChar w:fldCharType="end"/>
      </w:r>
      <w:r w:rsidR="00A747F2">
        <w:rPr>
          <w:lang w:val="sl-SI"/>
        </w:rPr>
        <w:t xml:space="preserve"> v</w:t>
      </w:r>
      <w:r w:rsidRPr="00275FBD">
        <w:rPr>
          <w:lang w:val="sl-SI"/>
        </w:rPr>
        <w:t xml:space="preserve"> skladu z metodologijo, podano v </w:t>
      </w:r>
      <w:r w:rsidR="000713B4">
        <w:rPr>
          <w:lang w:val="sl-SI"/>
        </w:rPr>
        <w:t>smernici</w:t>
      </w:r>
      <w:r w:rsidR="000713B4" w:rsidRPr="00275FBD">
        <w:rPr>
          <w:lang w:val="sl-SI"/>
        </w:rPr>
        <w:t xml:space="preserve"> </w:t>
      </w:r>
      <w:r w:rsidRPr="00275FBD">
        <w:rPr>
          <w:lang w:val="sl-SI"/>
        </w:rPr>
        <w:t xml:space="preserve">IAEA </w:t>
      </w:r>
      <w:r w:rsidRPr="00275FBD">
        <w:rPr>
          <w:lang w:val="sl-SI"/>
        </w:rPr>
        <w:fldChar w:fldCharType="begin"/>
      </w:r>
      <w:r w:rsidRPr="00275FBD">
        <w:rPr>
          <w:lang w:val="sl-SI"/>
        </w:rPr>
        <w:instrText xml:space="preserve"> REF _Ref129855843 \r \h </w:instrText>
      </w:r>
      <w:r w:rsidRPr="00275FBD">
        <w:rPr>
          <w:lang w:val="sl-SI"/>
        </w:rPr>
      </w:r>
      <w:r w:rsidRPr="00275FBD">
        <w:rPr>
          <w:lang w:val="sl-SI"/>
        </w:rPr>
        <w:fldChar w:fldCharType="separate"/>
      </w:r>
      <w:r w:rsidR="00BA25CD">
        <w:rPr>
          <w:lang w:val="sl-SI"/>
        </w:rPr>
        <w:t>[8]</w:t>
      </w:r>
      <w:r w:rsidRPr="00275FBD">
        <w:rPr>
          <w:lang w:val="sl-SI"/>
        </w:rPr>
        <w:fldChar w:fldCharType="end"/>
      </w:r>
      <w:r w:rsidR="00A747F2">
        <w:rPr>
          <w:lang w:val="sl-SI"/>
        </w:rPr>
        <w:t xml:space="preserve"> ter pravilnikom JV9 in praktičnimi smernicami URSJV</w:t>
      </w:r>
      <w:r w:rsidRPr="00275FBD">
        <w:rPr>
          <w:lang w:val="sl-SI"/>
        </w:rPr>
        <w:t>.</w:t>
      </w:r>
    </w:p>
    <w:p w14:paraId="081CFE5E" w14:textId="678401ED" w:rsidR="00804A01" w:rsidRPr="00275FBD" w:rsidRDefault="00170248" w:rsidP="006E2E84">
      <w:pPr>
        <w:pStyle w:val="Naslov3"/>
        <w:rPr>
          <w:lang w:val="sl-SI"/>
        </w:rPr>
      </w:pPr>
      <w:bookmarkStart w:id="30" w:name="_Toc163197421"/>
      <w:r w:rsidRPr="00275FBD">
        <w:rPr>
          <w:lang w:val="sl-SI"/>
        </w:rPr>
        <w:t xml:space="preserve">Pregled varnostnih </w:t>
      </w:r>
      <w:r w:rsidR="001D65DF" w:rsidRPr="001D65DF">
        <w:rPr>
          <w:lang w:val="sl-SI"/>
        </w:rPr>
        <w:t>vsebin</w:t>
      </w:r>
      <w:bookmarkEnd w:id="30"/>
    </w:p>
    <w:p w14:paraId="4D08804D" w14:textId="0C50C384" w:rsidR="00170248" w:rsidRPr="00275FBD" w:rsidRDefault="00170248" w:rsidP="00170248">
      <w:pPr>
        <w:rPr>
          <w:lang w:val="sl-SI"/>
        </w:rPr>
      </w:pPr>
      <w:r w:rsidRPr="00275FBD">
        <w:rPr>
          <w:lang w:val="sl-SI"/>
        </w:rPr>
        <w:t xml:space="preserve">Pregled varnostnih </w:t>
      </w:r>
      <w:r w:rsidR="001D65DF">
        <w:rPr>
          <w:lang w:val="sl-SI"/>
        </w:rPr>
        <w:t>vsebin</w:t>
      </w:r>
      <w:r w:rsidR="00A747F2">
        <w:rPr>
          <w:lang w:val="sl-SI"/>
        </w:rPr>
        <w:t xml:space="preserve"> </w:t>
      </w:r>
      <w:r w:rsidRPr="00275FBD">
        <w:rPr>
          <w:lang w:val="sl-SI"/>
        </w:rPr>
        <w:t xml:space="preserve">je bil osredotočen na identifikacijo varnostnega statusa elektrarne ob upoštevanju specifičnih elementov vsake varnostne </w:t>
      </w:r>
      <w:r w:rsidR="001D65DF">
        <w:rPr>
          <w:lang w:val="sl-SI"/>
        </w:rPr>
        <w:t>vsebine</w:t>
      </w:r>
      <w:r w:rsidRPr="00275FBD">
        <w:rPr>
          <w:lang w:val="sl-SI"/>
        </w:rPr>
        <w:t xml:space="preserve">, kot je </w:t>
      </w:r>
      <w:r w:rsidR="00DC549D">
        <w:rPr>
          <w:lang w:val="sl-SI"/>
        </w:rPr>
        <w:t>določ</w:t>
      </w:r>
      <w:r w:rsidR="00DC549D" w:rsidRPr="00275FBD">
        <w:rPr>
          <w:lang w:val="sl-SI"/>
        </w:rPr>
        <w:t xml:space="preserve">eno </w:t>
      </w:r>
      <w:r w:rsidRPr="00275FBD">
        <w:rPr>
          <w:lang w:val="sl-SI"/>
        </w:rPr>
        <w:t xml:space="preserve">v </w:t>
      </w:r>
      <w:r w:rsidR="00A747F2">
        <w:rPr>
          <w:lang w:val="sl-SI"/>
        </w:rPr>
        <w:t>programu PSR3</w:t>
      </w:r>
      <w:r w:rsidRPr="00275FBD">
        <w:rPr>
          <w:lang w:val="sl-SI"/>
        </w:rPr>
        <w:t xml:space="preserve"> </w:t>
      </w:r>
      <w:r w:rsidRPr="00275FBD">
        <w:rPr>
          <w:lang w:val="sl-SI"/>
        </w:rPr>
        <w:fldChar w:fldCharType="begin"/>
      </w:r>
      <w:r w:rsidRPr="00275FBD">
        <w:rPr>
          <w:lang w:val="sl-SI"/>
        </w:rPr>
        <w:instrText xml:space="preserve"> REF _Ref133222751 \r \h </w:instrText>
      </w:r>
      <w:r w:rsidRPr="00275FBD">
        <w:rPr>
          <w:lang w:val="sl-SI"/>
        </w:rPr>
      </w:r>
      <w:r w:rsidRPr="00275FBD">
        <w:rPr>
          <w:lang w:val="sl-SI"/>
        </w:rPr>
        <w:fldChar w:fldCharType="separate"/>
      </w:r>
      <w:r w:rsidR="00BA25CD">
        <w:rPr>
          <w:lang w:val="sl-SI"/>
        </w:rPr>
        <w:t>[1]</w:t>
      </w:r>
      <w:r w:rsidRPr="00275FBD">
        <w:rPr>
          <w:lang w:val="sl-SI"/>
        </w:rPr>
        <w:fldChar w:fldCharType="end"/>
      </w:r>
      <w:r w:rsidRPr="00275FBD">
        <w:rPr>
          <w:lang w:val="sl-SI"/>
        </w:rPr>
        <w:t>.</w:t>
      </w:r>
    </w:p>
    <w:p w14:paraId="5A2EDC2B" w14:textId="433C03A8" w:rsidR="00170248" w:rsidRPr="00275FBD" w:rsidRDefault="00170248" w:rsidP="00170248">
      <w:pPr>
        <w:rPr>
          <w:lang w:val="sl-SI"/>
        </w:rPr>
      </w:pPr>
      <w:r w:rsidRPr="00275FBD">
        <w:rPr>
          <w:lang w:val="sl-SI"/>
        </w:rPr>
        <w:t xml:space="preserve">Po </w:t>
      </w:r>
      <w:r w:rsidR="00A747F2">
        <w:rPr>
          <w:lang w:val="sl-SI"/>
        </w:rPr>
        <w:t xml:space="preserve">zaključenem </w:t>
      </w:r>
      <w:r w:rsidRPr="00275FBD">
        <w:rPr>
          <w:lang w:val="sl-SI"/>
        </w:rPr>
        <w:t>NEK</w:t>
      </w:r>
      <w:r w:rsidR="00A16F53" w:rsidRPr="00275FBD">
        <w:rPr>
          <w:lang w:val="sl-SI"/>
        </w:rPr>
        <w:t xml:space="preserve"> PSR2</w:t>
      </w:r>
      <w:r w:rsidRPr="00275FBD">
        <w:rPr>
          <w:lang w:val="sl-SI"/>
        </w:rPr>
        <w:t>, v katerem so bil</w:t>
      </w:r>
      <w:r w:rsidR="00FE4C6E">
        <w:rPr>
          <w:lang w:val="sl-SI"/>
        </w:rPr>
        <w:t>e</w:t>
      </w:r>
      <w:r w:rsidRPr="00275FBD">
        <w:rPr>
          <w:lang w:val="sl-SI"/>
        </w:rPr>
        <w:t xml:space="preserve"> varnostn</w:t>
      </w:r>
      <w:r w:rsidR="00FE4C6E">
        <w:rPr>
          <w:lang w:val="sl-SI"/>
        </w:rPr>
        <w:t>e</w:t>
      </w:r>
      <w:r w:rsidRPr="00275FBD">
        <w:rPr>
          <w:lang w:val="sl-SI"/>
        </w:rPr>
        <w:t xml:space="preserve"> </w:t>
      </w:r>
      <w:r w:rsidR="00FE4C6E">
        <w:rPr>
          <w:lang w:val="sl-SI"/>
        </w:rPr>
        <w:t>vsebine</w:t>
      </w:r>
      <w:r w:rsidR="00FE4C6E" w:rsidRPr="00275FBD">
        <w:rPr>
          <w:lang w:val="sl-SI"/>
        </w:rPr>
        <w:t xml:space="preserve"> </w:t>
      </w:r>
      <w:r w:rsidRPr="00275FBD">
        <w:rPr>
          <w:lang w:val="sl-SI"/>
        </w:rPr>
        <w:t>upoštevan</w:t>
      </w:r>
      <w:r w:rsidR="00FE4C6E">
        <w:rPr>
          <w:lang w:val="sl-SI"/>
        </w:rPr>
        <w:t>e</w:t>
      </w:r>
      <w:r w:rsidRPr="00275FBD">
        <w:rPr>
          <w:lang w:val="sl-SI"/>
        </w:rPr>
        <w:t xml:space="preserve"> in utemeljen</w:t>
      </w:r>
      <w:r w:rsidR="00FE4C6E">
        <w:rPr>
          <w:lang w:val="sl-SI"/>
        </w:rPr>
        <w:t>e</w:t>
      </w:r>
      <w:r w:rsidRPr="00275FBD">
        <w:rPr>
          <w:lang w:val="sl-SI"/>
        </w:rPr>
        <w:t xml:space="preserve"> glede na takrat veljavne varnostne in </w:t>
      </w:r>
      <w:r w:rsidR="00A16F53" w:rsidRPr="00275FBD">
        <w:rPr>
          <w:lang w:val="sl-SI"/>
        </w:rPr>
        <w:t>projektne</w:t>
      </w:r>
      <w:r w:rsidRPr="00275FBD">
        <w:rPr>
          <w:lang w:val="sl-SI"/>
        </w:rPr>
        <w:t xml:space="preserve"> standarde, je bilo treba upoštevati le še spremembe standardov in procesov</w:t>
      </w:r>
      <w:r w:rsidR="00A16F53" w:rsidRPr="00275FBD">
        <w:rPr>
          <w:lang w:val="sl-SI"/>
        </w:rPr>
        <w:t xml:space="preserve"> </w:t>
      </w:r>
      <w:r w:rsidRPr="00275FBD">
        <w:rPr>
          <w:lang w:val="sl-SI"/>
        </w:rPr>
        <w:t>/</w:t>
      </w:r>
      <w:r w:rsidR="00A16F53" w:rsidRPr="00275FBD">
        <w:rPr>
          <w:lang w:val="sl-SI"/>
        </w:rPr>
        <w:t xml:space="preserve"> </w:t>
      </w:r>
      <w:r w:rsidRPr="00275FBD">
        <w:rPr>
          <w:lang w:val="sl-SI"/>
        </w:rPr>
        <w:t>programov</w:t>
      </w:r>
      <w:r w:rsidR="00A16F53" w:rsidRPr="00275FBD">
        <w:rPr>
          <w:lang w:val="sl-SI"/>
        </w:rPr>
        <w:t xml:space="preserve"> </w:t>
      </w:r>
      <w:r w:rsidRPr="00275FBD">
        <w:rPr>
          <w:lang w:val="sl-SI"/>
        </w:rPr>
        <w:t>/</w:t>
      </w:r>
      <w:r w:rsidR="00A16F53" w:rsidRPr="00275FBD">
        <w:rPr>
          <w:lang w:val="sl-SI"/>
        </w:rPr>
        <w:t xml:space="preserve"> </w:t>
      </w:r>
      <w:r w:rsidRPr="00275FBD">
        <w:rPr>
          <w:lang w:val="sl-SI"/>
        </w:rPr>
        <w:t>postopkov</w:t>
      </w:r>
      <w:r w:rsidR="00A16F53" w:rsidRPr="00275FBD">
        <w:rPr>
          <w:lang w:val="sl-SI"/>
        </w:rPr>
        <w:t xml:space="preserve"> </w:t>
      </w:r>
      <w:r w:rsidRPr="00275FBD">
        <w:rPr>
          <w:lang w:val="sl-SI"/>
        </w:rPr>
        <w:t>/</w:t>
      </w:r>
      <w:r w:rsidR="00A16F53" w:rsidRPr="00275FBD">
        <w:rPr>
          <w:lang w:val="sl-SI"/>
        </w:rPr>
        <w:t xml:space="preserve"> </w:t>
      </w:r>
      <w:r w:rsidRPr="00275FBD">
        <w:rPr>
          <w:lang w:val="sl-SI"/>
        </w:rPr>
        <w:t xml:space="preserve">zapisov v elektrarni od prejšnjega PSR, </w:t>
      </w:r>
      <w:r w:rsidR="00A747F2">
        <w:rPr>
          <w:lang w:val="sl-SI"/>
        </w:rPr>
        <w:t xml:space="preserve">tako </w:t>
      </w:r>
      <w:r w:rsidR="00A16F53" w:rsidRPr="00275FBD">
        <w:rPr>
          <w:lang w:val="sl-SI"/>
        </w:rPr>
        <w:t>kot je</w:t>
      </w:r>
      <w:r w:rsidRPr="00275FBD">
        <w:rPr>
          <w:lang w:val="sl-SI"/>
        </w:rPr>
        <w:t xml:space="preserve"> </w:t>
      </w:r>
      <w:r w:rsidR="00A747F2">
        <w:rPr>
          <w:lang w:val="sl-SI"/>
        </w:rPr>
        <w:t xml:space="preserve">to </w:t>
      </w:r>
      <w:r w:rsidR="00DC549D">
        <w:rPr>
          <w:lang w:val="sl-SI"/>
        </w:rPr>
        <w:t>določ</w:t>
      </w:r>
      <w:r w:rsidR="00DC549D" w:rsidRPr="00275FBD">
        <w:rPr>
          <w:lang w:val="sl-SI"/>
        </w:rPr>
        <w:t xml:space="preserve">eno </w:t>
      </w:r>
      <w:r w:rsidRPr="00275FBD">
        <w:rPr>
          <w:lang w:val="sl-SI"/>
        </w:rPr>
        <w:t xml:space="preserve">v </w:t>
      </w:r>
      <w:r w:rsidR="00A16F53" w:rsidRPr="00275FBD">
        <w:rPr>
          <w:lang w:val="sl-SI"/>
        </w:rPr>
        <w:t>v</w:t>
      </w:r>
      <w:r w:rsidRPr="00275FBD">
        <w:rPr>
          <w:lang w:val="sl-SI"/>
        </w:rPr>
        <w:t>arnostn</w:t>
      </w:r>
      <w:r w:rsidR="00FE4C6E">
        <w:rPr>
          <w:lang w:val="sl-SI"/>
        </w:rPr>
        <w:t>i</w:t>
      </w:r>
      <w:r w:rsidRPr="00275FBD">
        <w:rPr>
          <w:lang w:val="sl-SI"/>
        </w:rPr>
        <w:t xml:space="preserve"> </w:t>
      </w:r>
      <w:r w:rsidR="00FE4C6E">
        <w:rPr>
          <w:lang w:val="sl-SI"/>
        </w:rPr>
        <w:t>smernici</w:t>
      </w:r>
      <w:r w:rsidR="00FE4C6E" w:rsidRPr="00275FBD">
        <w:rPr>
          <w:lang w:val="sl-SI"/>
        </w:rPr>
        <w:t xml:space="preserve"> </w:t>
      </w:r>
      <w:r w:rsidRPr="00275FBD">
        <w:rPr>
          <w:lang w:val="sl-SI"/>
        </w:rPr>
        <w:t xml:space="preserve">IAEA za PSR </w:t>
      </w:r>
      <w:r w:rsidR="00A16F53" w:rsidRPr="00275FBD">
        <w:rPr>
          <w:lang w:val="sl-SI"/>
        </w:rPr>
        <w:fldChar w:fldCharType="begin"/>
      </w:r>
      <w:r w:rsidR="00A16F53" w:rsidRPr="00275FBD">
        <w:rPr>
          <w:lang w:val="sl-SI"/>
        </w:rPr>
        <w:instrText xml:space="preserve"> REF _Ref129855843 \r \h </w:instrText>
      </w:r>
      <w:r w:rsidR="00A16F53" w:rsidRPr="00275FBD">
        <w:rPr>
          <w:lang w:val="sl-SI"/>
        </w:rPr>
      </w:r>
      <w:r w:rsidR="00A16F53" w:rsidRPr="00275FBD">
        <w:rPr>
          <w:lang w:val="sl-SI"/>
        </w:rPr>
        <w:fldChar w:fldCharType="separate"/>
      </w:r>
      <w:r w:rsidR="00BA25CD">
        <w:rPr>
          <w:lang w:val="sl-SI"/>
        </w:rPr>
        <w:t>[8]</w:t>
      </w:r>
      <w:r w:rsidR="00A16F53" w:rsidRPr="00275FBD">
        <w:rPr>
          <w:lang w:val="sl-SI"/>
        </w:rPr>
        <w:fldChar w:fldCharType="end"/>
      </w:r>
      <w:r w:rsidRPr="00275FBD">
        <w:rPr>
          <w:lang w:val="sl-SI"/>
        </w:rPr>
        <w:t xml:space="preserve">. V skladu s tem je bila ocena vsake varnostne </w:t>
      </w:r>
      <w:r w:rsidR="00716249">
        <w:rPr>
          <w:lang w:val="sl-SI"/>
        </w:rPr>
        <w:t>vsebine</w:t>
      </w:r>
      <w:r w:rsidR="00716249" w:rsidRPr="00275FBD">
        <w:rPr>
          <w:lang w:val="sl-SI"/>
        </w:rPr>
        <w:t xml:space="preserve"> </w:t>
      </w:r>
      <w:r w:rsidRPr="00275FBD">
        <w:rPr>
          <w:lang w:val="sl-SI"/>
        </w:rPr>
        <w:t xml:space="preserve">(naštete v </w:t>
      </w:r>
      <w:r w:rsidR="00A12A59" w:rsidRPr="00275FBD">
        <w:rPr>
          <w:lang w:val="sl-SI"/>
        </w:rPr>
        <w:t xml:space="preserve">poglavju </w:t>
      </w:r>
      <w:r w:rsidR="00A16F53" w:rsidRPr="00275FBD">
        <w:rPr>
          <w:lang w:val="sl-SI"/>
        </w:rPr>
        <w:fldChar w:fldCharType="begin"/>
      </w:r>
      <w:r w:rsidR="00A16F53" w:rsidRPr="00275FBD">
        <w:rPr>
          <w:lang w:val="sl-SI"/>
        </w:rPr>
        <w:instrText xml:space="preserve"> REF _Ref138276729 \r \h </w:instrText>
      </w:r>
      <w:r w:rsidR="00A16F53" w:rsidRPr="00275FBD">
        <w:rPr>
          <w:lang w:val="sl-SI"/>
        </w:rPr>
      </w:r>
      <w:r w:rsidR="00A16F53" w:rsidRPr="00275FBD">
        <w:rPr>
          <w:lang w:val="sl-SI"/>
        </w:rPr>
        <w:fldChar w:fldCharType="separate"/>
      </w:r>
      <w:r w:rsidR="00BA25CD">
        <w:rPr>
          <w:lang w:val="sl-SI"/>
        </w:rPr>
        <w:t>1.2</w:t>
      </w:r>
      <w:r w:rsidR="00A16F53" w:rsidRPr="00275FBD">
        <w:rPr>
          <w:lang w:val="sl-SI"/>
        </w:rPr>
        <w:fldChar w:fldCharType="end"/>
      </w:r>
      <w:r w:rsidRPr="00275FBD">
        <w:rPr>
          <w:lang w:val="sl-SI"/>
        </w:rPr>
        <w:t>) osredotočena na iskanje razlik v:</w:t>
      </w:r>
    </w:p>
    <w:p w14:paraId="52C1416D" w14:textId="4757444D" w:rsidR="00170248" w:rsidRPr="00275FBD" w:rsidRDefault="00170248" w:rsidP="00A16F53">
      <w:pPr>
        <w:numPr>
          <w:ilvl w:val="0"/>
          <w:numId w:val="13"/>
        </w:numPr>
        <w:rPr>
          <w:lang w:val="sl-SI"/>
        </w:rPr>
      </w:pPr>
      <w:r w:rsidRPr="00275FBD">
        <w:rPr>
          <w:lang w:val="sl-SI"/>
        </w:rPr>
        <w:t>pregled</w:t>
      </w:r>
      <w:r w:rsidR="00A16F53" w:rsidRPr="00275FBD">
        <w:rPr>
          <w:lang w:val="sl-SI"/>
        </w:rPr>
        <w:t>ovalnih</w:t>
      </w:r>
      <w:r w:rsidRPr="00275FBD">
        <w:rPr>
          <w:lang w:val="sl-SI"/>
        </w:rPr>
        <w:t xml:space="preserve"> element</w:t>
      </w:r>
      <w:r w:rsidR="00A16F53" w:rsidRPr="00275FBD">
        <w:rPr>
          <w:lang w:val="sl-SI"/>
        </w:rPr>
        <w:t>ih</w:t>
      </w:r>
      <w:r w:rsidRPr="00275FBD">
        <w:rPr>
          <w:lang w:val="sl-SI"/>
        </w:rPr>
        <w:t xml:space="preserve">, </w:t>
      </w:r>
      <w:r w:rsidR="00DC549D">
        <w:rPr>
          <w:lang w:val="sl-SI"/>
        </w:rPr>
        <w:t>določ</w:t>
      </w:r>
      <w:r w:rsidR="00DC549D" w:rsidRPr="00275FBD">
        <w:rPr>
          <w:lang w:val="sl-SI"/>
        </w:rPr>
        <w:t xml:space="preserve">enih </w:t>
      </w:r>
      <w:r w:rsidR="00DC549D">
        <w:rPr>
          <w:lang w:val="sl-SI"/>
        </w:rPr>
        <w:t>s</w:t>
      </w:r>
      <w:r w:rsidR="00DC549D" w:rsidRPr="00275FBD">
        <w:rPr>
          <w:lang w:val="sl-SI"/>
        </w:rPr>
        <w:t xml:space="preserve"> </w:t>
      </w:r>
      <w:r w:rsidR="00DC549D">
        <w:rPr>
          <w:lang w:val="sl-SI"/>
        </w:rPr>
        <w:t>smernico</w:t>
      </w:r>
      <w:r w:rsidR="00DC549D" w:rsidRPr="00275FBD">
        <w:rPr>
          <w:lang w:val="sl-SI"/>
        </w:rPr>
        <w:t xml:space="preserve"> </w:t>
      </w:r>
      <w:r w:rsidRPr="00275FBD">
        <w:rPr>
          <w:lang w:val="sl-SI"/>
        </w:rPr>
        <w:t xml:space="preserve">IAEA </w:t>
      </w:r>
      <w:r w:rsidR="00A16F53" w:rsidRPr="00275FBD">
        <w:rPr>
          <w:lang w:val="sl-SI"/>
        </w:rPr>
        <w:t>za PSR (oziroma Praktičn</w:t>
      </w:r>
      <w:r w:rsidR="00B33492" w:rsidRPr="00275FBD">
        <w:rPr>
          <w:lang w:val="sl-SI"/>
        </w:rPr>
        <w:t>i</w:t>
      </w:r>
      <w:r w:rsidR="00A16F53" w:rsidRPr="00275FBD">
        <w:rPr>
          <w:lang w:val="sl-SI"/>
        </w:rPr>
        <w:t>mi smernicami URSJV)</w:t>
      </w:r>
      <w:r w:rsidRPr="00275FBD">
        <w:rPr>
          <w:lang w:val="sl-SI"/>
        </w:rPr>
        <w:t>, v primerjavi s prejšnjimi definicijami, oz</w:t>
      </w:r>
      <w:r w:rsidR="00A16F53" w:rsidRPr="00275FBD">
        <w:rPr>
          <w:lang w:val="sl-SI"/>
        </w:rPr>
        <w:t>iroma</w:t>
      </w:r>
    </w:p>
    <w:p w14:paraId="5AF7CA56" w14:textId="66505468" w:rsidR="00170248" w:rsidRPr="00275FBD" w:rsidRDefault="00170248" w:rsidP="00A16F53">
      <w:pPr>
        <w:numPr>
          <w:ilvl w:val="0"/>
          <w:numId w:val="13"/>
        </w:numPr>
        <w:rPr>
          <w:lang w:val="sl-SI"/>
        </w:rPr>
      </w:pPr>
      <w:r w:rsidRPr="00275FBD">
        <w:rPr>
          <w:lang w:val="sl-SI"/>
        </w:rPr>
        <w:t>sodobn</w:t>
      </w:r>
      <w:r w:rsidR="00B33492" w:rsidRPr="00275FBD">
        <w:rPr>
          <w:lang w:val="sl-SI"/>
        </w:rPr>
        <w:t>i</w:t>
      </w:r>
      <w:r w:rsidR="001E27D9">
        <w:rPr>
          <w:lang w:val="sl-SI"/>
        </w:rPr>
        <w:t>h</w:t>
      </w:r>
      <w:r w:rsidRPr="00275FBD">
        <w:rPr>
          <w:lang w:val="sl-SI"/>
        </w:rPr>
        <w:t xml:space="preserve"> standardi</w:t>
      </w:r>
      <w:r w:rsidR="001E27D9">
        <w:rPr>
          <w:lang w:val="sl-SI"/>
        </w:rPr>
        <w:t>h</w:t>
      </w:r>
      <w:r w:rsidRPr="00275FBD">
        <w:rPr>
          <w:lang w:val="sl-SI"/>
        </w:rPr>
        <w:t xml:space="preserve"> / normativi</w:t>
      </w:r>
      <w:r w:rsidR="001E27D9">
        <w:rPr>
          <w:lang w:val="sl-SI"/>
        </w:rPr>
        <w:t>h</w:t>
      </w:r>
      <w:r w:rsidRPr="00275FBD">
        <w:rPr>
          <w:lang w:val="sl-SI"/>
        </w:rPr>
        <w:t xml:space="preserve"> / zahtev</w:t>
      </w:r>
      <w:r w:rsidR="00A16F53" w:rsidRPr="00275FBD">
        <w:rPr>
          <w:lang w:val="sl-SI"/>
        </w:rPr>
        <w:t>a</w:t>
      </w:r>
      <w:r w:rsidR="001E27D9">
        <w:rPr>
          <w:lang w:val="sl-SI"/>
        </w:rPr>
        <w:t>h</w:t>
      </w:r>
      <w:r w:rsidRPr="00275FBD">
        <w:rPr>
          <w:lang w:val="sl-SI"/>
        </w:rPr>
        <w:t xml:space="preserve"> v primerjavi </w:t>
      </w:r>
      <w:r w:rsidR="00A747F2">
        <w:rPr>
          <w:lang w:val="sl-SI"/>
        </w:rPr>
        <w:t>s tistimi,</w:t>
      </w:r>
      <w:r w:rsidR="00A747F2" w:rsidRPr="00275FBD">
        <w:rPr>
          <w:lang w:val="sl-SI"/>
        </w:rPr>
        <w:t xml:space="preserve"> </w:t>
      </w:r>
      <w:r w:rsidRPr="00275FBD">
        <w:rPr>
          <w:lang w:val="sl-SI"/>
        </w:rPr>
        <w:t xml:space="preserve">ovrednotenimi v </w:t>
      </w:r>
      <w:r w:rsidR="00A16F53" w:rsidRPr="00275FBD">
        <w:rPr>
          <w:lang w:val="sl-SI"/>
        </w:rPr>
        <w:t>PSR2,</w:t>
      </w:r>
      <w:r w:rsidRPr="00275FBD">
        <w:rPr>
          <w:lang w:val="sl-SI"/>
        </w:rPr>
        <w:t xml:space="preserve"> oz</w:t>
      </w:r>
      <w:r w:rsidR="00A16F53" w:rsidRPr="00275FBD">
        <w:rPr>
          <w:lang w:val="sl-SI"/>
        </w:rPr>
        <w:t>iroma</w:t>
      </w:r>
    </w:p>
    <w:p w14:paraId="6F1A39FA" w14:textId="380CA32F" w:rsidR="00170248" w:rsidRPr="00A747F2" w:rsidRDefault="00170248" w:rsidP="00A16F53">
      <w:pPr>
        <w:numPr>
          <w:ilvl w:val="0"/>
          <w:numId w:val="13"/>
        </w:numPr>
        <w:rPr>
          <w:lang w:val="sl-SI"/>
        </w:rPr>
      </w:pPr>
      <w:r w:rsidRPr="00275FBD">
        <w:rPr>
          <w:lang w:val="sl-SI"/>
        </w:rPr>
        <w:t>procesi</w:t>
      </w:r>
      <w:r w:rsidR="001E27D9">
        <w:rPr>
          <w:lang w:val="sl-SI"/>
        </w:rPr>
        <w:t>h</w:t>
      </w:r>
      <w:r w:rsidRPr="00275FBD">
        <w:rPr>
          <w:lang w:val="sl-SI"/>
        </w:rPr>
        <w:t xml:space="preserve"> / programi</w:t>
      </w:r>
      <w:r w:rsidR="001E27D9">
        <w:rPr>
          <w:lang w:val="sl-SI"/>
        </w:rPr>
        <w:t>h</w:t>
      </w:r>
      <w:r w:rsidRPr="00275FBD">
        <w:rPr>
          <w:lang w:val="sl-SI"/>
        </w:rPr>
        <w:t xml:space="preserve"> / postopki</w:t>
      </w:r>
      <w:r w:rsidR="001E27D9">
        <w:rPr>
          <w:lang w:val="sl-SI"/>
        </w:rPr>
        <w:t>h</w:t>
      </w:r>
      <w:r w:rsidRPr="00275FBD">
        <w:rPr>
          <w:lang w:val="sl-SI"/>
        </w:rPr>
        <w:t xml:space="preserve"> / SS</w:t>
      </w:r>
      <w:r w:rsidR="00A16F53" w:rsidRPr="00275FBD">
        <w:rPr>
          <w:lang w:val="sl-SI"/>
        </w:rPr>
        <w:t>K</w:t>
      </w:r>
      <w:r w:rsidRPr="00275FBD">
        <w:rPr>
          <w:lang w:val="sl-SI"/>
        </w:rPr>
        <w:t xml:space="preserve"> v </w:t>
      </w:r>
      <w:r w:rsidR="00A16F53" w:rsidRPr="00275FBD">
        <w:rPr>
          <w:lang w:val="sl-SI"/>
        </w:rPr>
        <w:t>objektu</w:t>
      </w:r>
      <w:r w:rsidRPr="00275FBD">
        <w:rPr>
          <w:lang w:val="sl-SI"/>
        </w:rPr>
        <w:t xml:space="preserve">, kot so </w:t>
      </w:r>
      <w:r w:rsidR="00A16F53" w:rsidRPr="00275FBD">
        <w:rPr>
          <w:lang w:val="sl-SI"/>
        </w:rPr>
        <w:t xml:space="preserve">bili </w:t>
      </w:r>
      <w:r w:rsidRPr="00275FBD">
        <w:rPr>
          <w:lang w:val="sl-SI"/>
        </w:rPr>
        <w:t xml:space="preserve">ocenjeni in ovrednoteni v </w:t>
      </w:r>
      <w:r w:rsidRPr="00A747F2">
        <w:rPr>
          <w:lang w:val="sl-SI"/>
        </w:rPr>
        <w:t>PSR</w:t>
      </w:r>
      <w:r w:rsidR="00A16F53" w:rsidRPr="00A747F2">
        <w:rPr>
          <w:lang w:val="sl-SI"/>
        </w:rPr>
        <w:t>2</w:t>
      </w:r>
      <w:r w:rsidRPr="00A747F2">
        <w:rPr>
          <w:lang w:val="sl-SI"/>
        </w:rPr>
        <w:t>.</w:t>
      </w:r>
    </w:p>
    <w:p w14:paraId="5B0C2591" w14:textId="154FA31B" w:rsidR="00170248" w:rsidRPr="00275FBD" w:rsidRDefault="00170248" w:rsidP="00A16F53">
      <w:pPr>
        <w:rPr>
          <w:lang w:val="sl-SI"/>
        </w:rPr>
      </w:pPr>
      <w:r w:rsidRPr="00275FBD">
        <w:rPr>
          <w:lang w:val="sl-SI"/>
        </w:rPr>
        <w:t xml:space="preserve">Rezultat tega koraka je bil </w:t>
      </w:r>
      <w:r w:rsidR="00A747F2">
        <w:rPr>
          <w:lang w:val="sl-SI"/>
        </w:rPr>
        <w:t>nabor</w:t>
      </w:r>
      <w:r w:rsidR="00A747F2" w:rsidRPr="00275FBD">
        <w:rPr>
          <w:lang w:val="sl-SI"/>
        </w:rPr>
        <w:t xml:space="preserve"> </w:t>
      </w:r>
      <w:r w:rsidRPr="00275FBD">
        <w:rPr>
          <w:lang w:val="sl-SI"/>
        </w:rPr>
        <w:t xml:space="preserve">varnostnih </w:t>
      </w:r>
      <w:r w:rsidR="00BD5705" w:rsidRPr="00275FBD">
        <w:rPr>
          <w:lang w:val="sl-SI"/>
        </w:rPr>
        <w:t xml:space="preserve">najdb </w:t>
      </w:r>
      <w:r w:rsidRPr="00275FBD">
        <w:rPr>
          <w:lang w:val="sl-SI"/>
        </w:rPr>
        <w:t xml:space="preserve">za vsako varnostno </w:t>
      </w:r>
      <w:r w:rsidR="00A747F2">
        <w:rPr>
          <w:lang w:val="sl-SI"/>
        </w:rPr>
        <w:t>vsebino posebej</w:t>
      </w:r>
      <w:r w:rsidRPr="00275FBD">
        <w:rPr>
          <w:lang w:val="sl-SI"/>
        </w:rPr>
        <w:t xml:space="preserve">. </w:t>
      </w:r>
      <w:r w:rsidR="00A16F53" w:rsidRPr="00275FBD">
        <w:rPr>
          <w:lang w:val="sl-SI"/>
        </w:rPr>
        <w:fldChar w:fldCharType="begin"/>
      </w:r>
      <w:r w:rsidR="00A16F53" w:rsidRPr="00275FBD">
        <w:rPr>
          <w:lang w:val="sl-SI"/>
        </w:rPr>
        <w:instrText xml:space="preserve"> REF _Ref138277014 \h </w:instrText>
      </w:r>
      <w:r w:rsidR="00A16F53" w:rsidRPr="00275FBD">
        <w:rPr>
          <w:lang w:val="sl-SI"/>
        </w:rPr>
      </w:r>
      <w:r w:rsidR="00A16F53" w:rsidRPr="00275FBD">
        <w:rPr>
          <w:lang w:val="sl-SI"/>
        </w:rPr>
        <w:fldChar w:fldCharType="separate"/>
      </w:r>
      <w:r w:rsidR="00BA25CD" w:rsidRPr="00275FBD">
        <w:rPr>
          <w:lang w:val="sl-SI"/>
        </w:rPr>
        <w:t xml:space="preserve">Slika </w:t>
      </w:r>
      <w:r w:rsidR="00BA25CD">
        <w:rPr>
          <w:noProof/>
          <w:lang w:val="sl-SI"/>
        </w:rPr>
        <w:t>2</w:t>
      </w:r>
      <w:r w:rsidR="00BA25CD" w:rsidRPr="00275FBD">
        <w:rPr>
          <w:lang w:val="sl-SI"/>
        </w:rPr>
        <w:noBreakHyphen/>
      </w:r>
      <w:r w:rsidR="00BA25CD">
        <w:rPr>
          <w:noProof/>
          <w:lang w:val="sl-SI"/>
        </w:rPr>
        <w:t>1</w:t>
      </w:r>
      <w:r w:rsidR="00A16F53" w:rsidRPr="00275FBD">
        <w:rPr>
          <w:lang w:val="sl-SI"/>
        </w:rPr>
        <w:fldChar w:fldCharType="end"/>
      </w:r>
      <w:r w:rsidRPr="00275FBD">
        <w:rPr>
          <w:lang w:val="sl-SI"/>
        </w:rPr>
        <w:t xml:space="preserve"> prikazuje </w:t>
      </w:r>
      <w:r w:rsidR="00A747F2">
        <w:rPr>
          <w:lang w:val="sl-SI"/>
        </w:rPr>
        <w:t xml:space="preserve">ta </w:t>
      </w:r>
      <w:r w:rsidRPr="00275FBD">
        <w:rPr>
          <w:lang w:val="sl-SI"/>
        </w:rPr>
        <w:t>postopek.</w:t>
      </w:r>
    </w:p>
    <w:p w14:paraId="0B8EEE91" w14:textId="0BE4CCA1" w:rsidR="00274E15" w:rsidRPr="00275FBD" w:rsidRDefault="00274E15" w:rsidP="00274E15">
      <w:pPr>
        <w:rPr>
          <w:lang w:val="sl-SI"/>
        </w:rPr>
      </w:pPr>
      <w:r w:rsidRPr="00275FBD">
        <w:rPr>
          <w:lang w:val="sl-SI"/>
        </w:rPr>
        <w:t xml:space="preserve">V tej fazi je </w:t>
      </w:r>
      <w:r w:rsidR="0037359A" w:rsidRPr="00275FBD">
        <w:rPr>
          <w:lang w:val="sl-SI"/>
        </w:rPr>
        <w:t>bil</w:t>
      </w:r>
      <w:r w:rsidR="0037359A">
        <w:rPr>
          <w:lang w:val="sl-SI"/>
        </w:rPr>
        <w:t>o</w:t>
      </w:r>
      <w:r w:rsidR="0037359A" w:rsidRPr="00275FBD">
        <w:rPr>
          <w:lang w:val="sl-SI"/>
        </w:rPr>
        <w:t xml:space="preserve"> </w:t>
      </w:r>
      <w:r w:rsidRPr="00275FBD">
        <w:rPr>
          <w:lang w:val="sl-SI"/>
        </w:rPr>
        <w:t xml:space="preserve">izvedeno tudi preliminarno široko </w:t>
      </w:r>
      <w:proofErr w:type="spellStart"/>
      <w:r w:rsidRPr="00275FBD">
        <w:rPr>
          <w:lang w:val="sl-SI"/>
        </w:rPr>
        <w:t>rangiranje</w:t>
      </w:r>
      <w:proofErr w:type="spellEnd"/>
      <w:r w:rsidRPr="00275FBD">
        <w:rPr>
          <w:lang w:val="sl-SI"/>
        </w:rPr>
        <w:t xml:space="preserve"> identificiranih varnostnih </w:t>
      </w:r>
      <w:r w:rsidR="00BD5705" w:rsidRPr="00275FBD">
        <w:rPr>
          <w:lang w:val="sl-SI"/>
        </w:rPr>
        <w:t>najdb.</w:t>
      </w:r>
      <w:r w:rsidRPr="00275FBD">
        <w:rPr>
          <w:lang w:val="sl-SI"/>
        </w:rPr>
        <w:t xml:space="preserve"> Glavni pristop, uporabljen v tej fazi pregleda, je bila deterministična, formalna in na pravilih </w:t>
      </w:r>
      <w:r w:rsidR="00A747F2">
        <w:rPr>
          <w:lang w:val="sl-SI"/>
        </w:rPr>
        <w:t>u</w:t>
      </w:r>
      <w:r w:rsidRPr="00275FBD">
        <w:rPr>
          <w:lang w:val="sl-SI"/>
        </w:rPr>
        <w:t>temelj</w:t>
      </w:r>
      <w:r w:rsidR="00A747F2">
        <w:rPr>
          <w:lang w:val="sl-SI"/>
        </w:rPr>
        <w:t>en</w:t>
      </w:r>
      <w:r w:rsidRPr="00275FBD">
        <w:rPr>
          <w:lang w:val="sl-SI"/>
        </w:rPr>
        <w:t>a ocena (glede na mednarodno sprejete varnostne zahteve in standarde). Uporabljena so bila inženirska pravila in deterministični kriteriji, ki temeljijo na dobri praksi.</w:t>
      </w:r>
    </w:p>
    <w:p w14:paraId="54C5D62A" w14:textId="479E30F1" w:rsidR="00274E15" w:rsidRPr="00275FBD" w:rsidRDefault="00274E15" w:rsidP="00274E15">
      <w:pPr>
        <w:rPr>
          <w:lang w:val="sl-SI"/>
        </w:rPr>
      </w:pPr>
      <w:r w:rsidRPr="00275FBD">
        <w:rPr>
          <w:lang w:val="sl-SI"/>
        </w:rPr>
        <w:t xml:space="preserve">Deterministična ocena je bila osredotočena na ugotavljanje, ali trenutna zasnova in obratovanje elektrarne odražata dobro prakso, ali so vzpostavljeni ustrezni načini in postopki upravljanja ter ali je trenutna varnostna analiza celovita, ustrezno validirana in izkazuje zahtevano raven varnosti. Inženirska pravila in deterministični kriteriji, ki temeljijo na dobri praksi, uporabljeni v tej oceni, so bili </w:t>
      </w:r>
      <w:r w:rsidR="00A747F2">
        <w:rPr>
          <w:lang w:val="sl-SI"/>
        </w:rPr>
        <w:t>posebej določeni za različne</w:t>
      </w:r>
      <w:r w:rsidRPr="00275FBD">
        <w:rPr>
          <w:lang w:val="sl-SI"/>
        </w:rPr>
        <w:t xml:space="preserve"> varnostne </w:t>
      </w:r>
      <w:r w:rsidR="00716249">
        <w:rPr>
          <w:lang w:val="sl-SI"/>
        </w:rPr>
        <w:t>vsebine</w:t>
      </w:r>
      <w:r w:rsidRPr="00275FBD">
        <w:rPr>
          <w:lang w:val="sl-SI"/>
        </w:rPr>
        <w:t>.</w:t>
      </w:r>
    </w:p>
    <w:p w14:paraId="207BF509" w14:textId="330AFD9A" w:rsidR="00D11CD0" w:rsidRPr="00275FBD" w:rsidRDefault="00D11CD0" w:rsidP="00D11CD0">
      <w:pPr>
        <w:rPr>
          <w:lang w:val="sl-SI"/>
        </w:rPr>
      </w:pPr>
      <w:r w:rsidRPr="00275FBD">
        <w:rPr>
          <w:lang w:val="sl-SI"/>
        </w:rPr>
        <w:t xml:space="preserve">Splošni metodološki vidiki, ki veljajo za pregled </w:t>
      </w:r>
      <w:r w:rsidR="00716249">
        <w:rPr>
          <w:lang w:val="sl-SI"/>
        </w:rPr>
        <w:t>varnostnih vsebin</w:t>
      </w:r>
      <w:r w:rsidRPr="00275FBD">
        <w:rPr>
          <w:lang w:val="sl-SI"/>
        </w:rPr>
        <w:t xml:space="preserve"> elektrarne, so predstavljeni v </w:t>
      </w:r>
      <w:r w:rsidR="00A747F2">
        <w:rPr>
          <w:lang w:val="sl-SI"/>
        </w:rPr>
        <w:t>programu PSR3</w:t>
      </w:r>
      <w:r w:rsidRPr="00275FBD">
        <w:rPr>
          <w:lang w:val="sl-SI"/>
        </w:rPr>
        <w:t xml:space="preserve"> </w:t>
      </w:r>
      <w:r w:rsidRPr="00275FBD">
        <w:rPr>
          <w:lang w:val="sl-SI"/>
        </w:rPr>
        <w:fldChar w:fldCharType="begin"/>
      </w:r>
      <w:r w:rsidRPr="00275FBD">
        <w:rPr>
          <w:lang w:val="sl-SI"/>
        </w:rPr>
        <w:instrText xml:space="preserve"> REF _Ref133222751 \r \h </w:instrText>
      </w:r>
      <w:r w:rsidRPr="00275FBD">
        <w:rPr>
          <w:lang w:val="sl-SI"/>
        </w:rPr>
      </w:r>
      <w:r w:rsidRPr="00275FBD">
        <w:rPr>
          <w:lang w:val="sl-SI"/>
        </w:rPr>
        <w:fldChar w:fldCharType="separate"/>
      </w:r>
      <w:r w:rsidR="00BA25CD">
        <w:rPr>
          <w:lang w:val="sl-SI"/>
        </w:rPr>
        <w:t>[1]</w:t>
      </w:r>
      <w:r w:rsidRPr="00275FBD">
        <w:rPr>
          <w:lang w:val="sl-SI"/>
        </w:rPr>
        <w:fldChar w:fldCharType="end"/>
      </w:r>
      <w:r w:rsidRPr="00275FBD">
        <w:rPr>
          <w:lang w:val="sl-SI"/>
        </w:rPr>
        <w:t xml:space="preserve">. Splošni pristop, sprejet za NEK PSR3, je v skladu z elementi pregleda in metodologijo, podanimi v </w:t>
      </w:r>
      <w:r w:rsidR="00463518">
        <w:rPr>
          <w:lang w:val="sl-SI"/>
        </w:rPr>
        <w:t>smernici</w:t>
      </w:r>
      <w:r w:rsidR="00463518" w:rsidRPr="00275FBD">
        <w:rPr>
          <w:lang w:val="sl-SI"/>
        </w:rPr>
        <w:t xml:space="preserve"> </w:t>
      </w:r>
      <w:r w:rsidRPr="00275FBD">
        <w:rPr>
          <w:lang w:val="sl-SI"/>
        </w:rPr>
        <w:t xml:space="preserve">IAEA za PSR </w:t>
      </w:r>
      <w:r w:rsidRPr="00275FBD">
        <w:rPr>
          <w:lang w:val="sl-SI"/>
        </w:rPr>
        <w:fldChar w:fldCharType="begin"/>
      </w:r>
      <w:r w:rsidRPr="00275FBD">
        <w:rPr>
          <w:lang w:val="sl-SI"/>
        </w:rPr>
        <w:instrText xml:space="preserve"> REF _Ref129855843 \r \h </w:instrText>
      </w:r>
      <w:r w:rsidRPr="00275FBD">
        <w:rPr>
          <w:lang w:val="sl-SI"/>
        </w:rPr>
      </w:r>
      <w:r w:rsidRPr="00275FBD">
        <w:rPr>
          <w:lang w:val="sl-SI"/>
        </w:rPr>
        <w:fldChar w:fldCharType="separate"/>
      </w:r>
      <w:r w:rsidR="00BA25CD">
        <w:rPr>
          <w:lang w:val="sl-SI"/>
        </w:rPr>
        <w:t>[8]</w:t>
      </w:r>
      <w:r w:rsidRPr="00275FBD">
        <w:rPr>
          <w:lang w:val="sl-SI"/>
        </w:rPr>
        <w:fldChar w:fldCharType="end"/>
      </w:r>
      <w:r w:rsidRPr="00275FBD">
        <w:rPr>
          <w:lang w:val="sl-SI"/>
        </w:rPr>
        <w:t xml:space="preserve">. Po potrebi so bili uporabljeni tudi drugi </w:t>
      </w:r>
      <w:r w:rsidR="00192BA1" w:rsidRPr="00275FBD">
        <w:rPr>
          <w:lang w:val="sl-SI"/>
        </w:rPr>
        <w:t xml:space="preserve">pomembni </w:t>
      </w:r>
      <w:r w:rsidRPr="00275FBD">
        <w:rPr>
          <w:lang w:val="sl-SI"/>
        </w:rPr>
        <w:t xml:space="preserve">viri. </w:t>
      </w:r>
      <w:r w:rsidR="00192BA1" w:rsidRPr="00275FBD">
        <w:rPr>
          <w:lang w:val="sl-SI"/>
        </w:rPr>
        <w:t xml:space="preserve">Najpomembnejši viri </w:t>
      </w:r>
      <w:r w:rsidRPr="00275FBD">
        <w:rPr>
          <w:lang w:val="sl-SI"/>
        </w:rPr>
        <w:t xml:space="preserve">v zvezi s pregledom posamezne varnostne </w:t>
      </w:r>
      <w:r w:rsidR="00716249">
        <w:rPr>
          <w:lang w:val="sl-SI"/>
        </w:rPr>
        <w:t>vsebine</w:t>
      </w:r>
      <w:r w:rsidR="00716249" w:rsidRPr="00275FBD">
        <w:rPr>
          <w:lang w:val="sl-SI"/>
        </w:rPr>
        <w:t xml:space="preserve"> </w:t>
      </w:r>
      <w:r w:rsidRPr="00275FBD">
        <w:rPr>
          <w:lang w:val="sl-SI"/>
        </w:rPr>
        <w:t>so sistematično podan</w:t>
      </w:r>
      <w:r w:rsidR="00192BA1" w:rsidRPr="00275FBD">
        <w:rPr>
          <w:lang w:val="sl-SI"/>
        </w:rPr>
        <w:t>i</w:t>
      </w:r>
      <w:r w:rsidRPr="00275FBD">
        <w:rPr>
          <w:lang w:val="sl-SI"/>
        </w:rPr>
        <w:t xml:space="preserve"> v </w:t>
      </w:r>
      <w:r w:rsidR="00A747F2">
        <w:rPr>
          <w:lang w:val="sl-SI"/>
        </w:rPr>
        <w:t xml:space="preserve">tematskih </w:t>
      </w:r>
      <w:r w:rsidRPr="00275FBD">
        <w:rPr>
          <w:lang w:val="sl-SI"/>
        </w:rPr>
        <w:t>poročilih NEK PSR za vsak</w:t>
      </w:r>
      <w:r w:rsidR="00FE4C6E">
        <w:rPr>
          <w:lang w:val="sl-SI"/>
        </w:rPr>
        <w:t>o</w:t>
      </w:r>
      <w:r w:rsidRPr="00275FBD">
        <w:rPr>
          <w:lang w:val="sl-SI"/>
        </w:rPr>
        <w:t xml:space="preserve"> </w:t>
      </w:r>
      <w:r w:rsidR="00FE4C6E" w:rsidRPr="00275FBD">
        <w:rPr>
          <w:lang w:val="sl-SI"/>
        </w:rPr>
        <w:t>varnostn</w:t>
      </w:r>
      <w:r w:rsidR="00FE4C6E">
        <w:rPr>
          <w:lang w:val="sl-SI"/>
        </w:rPr>
        <w:t>o</w:t>
      </w:r>
      <w:r w:rsidR="00FE4C6E" w:rsidRPr="00275FBD">
        <w:rPr>
          <w:lang w:val="sl-SI"/>
        </w:rPr>
        <w:t xml:space="preserve"> </w:t>
      </w:r>
      <w:r w:rsidR="00FE4C6E">
        <w:rPr>
          <w:lang w:val="sl-SI"/>
        </w:rPr>
        <w:t>vsebino</w:t>
      </w:r>
      <w:r w:rsidRPr="00275FBD">
        <w:rPr>
          <w:lang w:val="sl-SI"/>
        </w:rPr>
        <w:t xml:space="preserve">, </w:t>
      </w:r>
      <w:r w:rsidR="00A747F2">
        <w:rPr>
          <w:lang w:val="sl-SI"/>
        </w:rPr>
        <w:t xml:space="preserve">tako </w:t>
      </w:r>
      <w:r w:rsidRPr="00275FBD">
        <w:rPr>
          <w:lang w:val="sl-SI"/>
        </w:rPr>
        <w:t xml:space="preserve">kot je bilo predstavljeno v Programu </w:t>
      </w:r>
      <w:r w:rsidR="00A747F2">
        <w:rPr>
          <w:lang w:val="sl-SI"/>
        </w:rPr>
        <w:t>PSR3</w:t>
      </w:r>
      <w:r w:rsidRPr="00275FBD">
        <w:rPr>
          <w:lang w:val="sl-SI"/>
        </w:rPr>
        <w:t xml:space="preserve"> </w:t>
      </w:r>
      <w:r w:rsidRPr="00275FBD">
        <w:rPr>
          <w:lang w:val="sl-SI"/>
        </w:rPr>
        <w:fldChar w:fldCharType="begin"/>
      </w:r>
      <w:r w:rsidRPr="00275FBD">
        <w:rPr>
          <w:lang w:val="sl-SI"/>
        </w:rPr>
        <w:instrText xml:space="preserve"> REF _Ref133222751 \r \h </w:instrText>
      </w:r>
      <w:r w:rsidRPr="00275FBD">
        <w:rPr>
          <w:lang w:val="sl-SI"/>
        </w:rPr>
      </w:r>
      <w:r w:rsidRPr="00275FBD">
        <w:rPr>
          <w:lang w:val="sl-SI"/>
        </w:rPr>
        <w:fldChar w:fldCharType="separate"/>
      </w:r>
      <w:r w:rsidR="00BA25CD">
        <w:rPr>
          <w:lang w:val="sl-SI"/>
        </w:rPr>
        <w:t>[1]</w:t>
      </w:r>
      <w:r w:rsidRPr="00275FBD">
        <w:rPr>
          <w:lang w:val="sl-SI"/>
        </w:rPr>
        <w:fldChar w:fldCharType="end"/>
      </w:r>
      <w:r w:rsidRPr="00275FBD">
        <w:rPr>
          <w:lang w:val="sl-SI"/>
        </w:rPr>
        <w:t>.</w:t>
      </w:r>
    </w:p>
    <w:p w14:paraId="595C5EA7" w14:textId="29919D2B" w:rsidR="00D11CD0" w:rsidRPr="00275FBD" w:rsidRDefault="00D11CD0" w:rsidP="00D11CD0">
      <w:pPr>
        <w:rPr>
          <w:lang w:val="sl-SI"/>
        </w:rPr>
      </w:pPr>
      <w:r w:rsidRPr="00275FBD">
        <w:rPr>
          <w:lang w:val="sl-SI"/>
        </w:rPr>
        <w:t xml:space="preserve">Opozoriti je </w:t>
      </w:r>
      <w:r w:rsidR="00A12A59" w:rsidRPr="00275FBD">
        <w:rPr>
          <w:lang w:val="sl-SI"/>
        </w:rPr>
        <w:t>potrebno</w:t>
      </w:r>
      <w:r w:rsidRPr="00275FBD">
        <w:rPr>
          <w:lang w:val="sl-SI"/>
        </w:rPr>
        <w:t>, da merila ocenjevanja, uporabljena v tej fazi pregleda, niso zelo natančna. V večini primerov je bila točka, na kateri je določen element pregleda pokazal zadostno odstopanje od „idealnega“, da bi bil razvrščen kot „varnostno vprašanje</w:t>
      </w:r>
      <w:r w:rsidR="00395621" w:rsidRPr="00275FBD">
        <w:rPr>
          <w:lang w:val="sl-SI"/>
        </w:rPr>
        <w:t xml:space="preserve"> </w:t>
      </w:r>
      <w:r w:rsidR="001D65DF">
        <w:rPr>
          <w:lang w:val="sl-SI"/>
        </w:rPr>
        <w:t>–</w:t>
      </w:r>
      <w:r w:rsidR="00395621" w:rsidRPr="00275FBD">
        <w:rPr>
          <w:lang w:val="sl-SI"/>
        </w:rPr>
        <w:t xml:space="preserve"> najdba</w:t>
      </w:r>
      <w:r w:rsidRPr="00275FBD">
        <w:rPr>
          <w:lang w:val="sl-SI"/>
        </w:rPr>
        <w:t>“, vprašanje strokovne presoje.</w:t>
      </w:r>
    </w:p>
    <w:p w14:paraId="14C672A0" w14:textId="1AC614FC" w:rsidR="00D11CD0" w:rsidRPr="00275FBD" w:rsidRDefault="001A56C8" w:rsidP="00D11CD0">
      <w:pPr>
        <w:rPr>
          <w:lang w:val="sl-SI"/>
        </w:rPr>
      </w:pPr>
      <w:r w:rsidRPr="001A56C8">
        <w:rPr>
          <w:noProof/>
        </w:rPr>
        <w:lastRenderedPageBreak/>
        <w:drawing>
          <wp:inline distT="0" distB="0" distL="0" distR="0" wp14:anchorId="59C32E6B" wp14:editId="7BE07E67">
            <wp:extent cx="5760720" cy="7978775"/>
            <wp:effectExtent l="0" t="0" r="0" b="3175"/>
            <wp:docPr id="4030688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68810" name="Picture 1">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7978775"/>
                    </a:xfrm>
                    <a:prstGeom prst="rect">
                      <a:avLst/>
                    </a:prstGeom>
                    <a:noFill/>
                    <a:ln>
                      <a:noFill/>
                    </a:ln>
                  </pic:spPr>
                </pic:pic>
              </a:graphicData>
            </a:graphic>
          </wp:inline>
        </w:drawing>
      </w:r>
    </w:p>
    <w:p w14:paraId="6AE8D1F0" w14:textId="5E5F42FF" w:rsidR="008F3200" w:rsidRPr="00275FBD" w:rsidRDefault="008F3200" w:rsidP="008F3200">
      <w:pPr>
        <w:rPr>
          <w:lang w:val="sl-SI"/>
        </w:rPr>
      </w:pPr>
    </w:p>
    <w:p w14:paraId="7F026C2D" w14:textId="122921CF" w:rsidR="00C0187A" w:rsidRPr="00275FBD" w:rsidRDefault="00D96AA0" w:rsidP="00D96AA0">
      <w:pPr>
        <w:pStyle w:val="Napis"/>
        <w:rPr>
          <w:lang w:val="sl-SI"/>
        </w:rPr>
      </w:pPr>
      <w:bookmarkStart w:id="31" w:name="_Ref138277014"/>
      <w:bookmarkStart w:id="32" w:name="_Toc163197450"/>
      <w:r w:rsidRPr="00275FBD">
        <w:rPr>
          <w:lang w:val="sl-SI"/>
        </w:rPr>
        <w:t xml:space="preserve">Slika </w:t>
      </w:r>
      <w:r w:rsidR="000A2C1E" w:rsidRPr="00275FBD">
        <w:rPr>
          <w:lang w:val="sl-SI"/>
        </w:rPr>
        <w:fldChar w:fldCharType="begin"/>
      </w:r>
      <w:r w:rsidR="000A2C1E" w:rsidRPr="00275FBD">
        <w:rPr>
          <w:lang w:val="sl-SI"/>
        </w:rPr>
        <w:instrText xml:space="preserve"> STYLEREF 1 \s </w:instrText>
      </w:r>
      <w:r w:rsidR="000A2C1E" w:rsidRPr="00275FBD">
        <w:rPr>
          <w:lang w:val="sl-SI"/>
        </w:rPr>
        <w:fldChar w:fldCharType="separate"/>
      </w:r>
      <w:r w:rsidR="00BA25CD">
        <w:rPr>
          <w:noProof/>
          <w:lang w:val="sl-SI"/>
        </w:rPr>
        <w:t>2</w:t>
      </w:r>
      <w:r w:rsidR="000A2C1E" w:rsidRPr="00275FBD">
        <w:rPr>
          <w:lang w:val="sl-SI"/>
        </w:rPr>
        <w:fldChar w:fldCharType="end"/>
      </w:r>
      <w:r w:rsidR="000A2C1E" w:rsidRPr="00275FBD">
        <w:rPr>
          <w:lang w:val="sl-SI"/>
        </w:rPr>
        <w:noBreakHyphen/>
      </w:r>
      <w:r w:rsidR="000A2C1E" w:rsidRPr="00275FBD">
        <w:rPr>
          <w:lang w:val="sl-SI"/>
        </w:rPr>
        <w:fldChar w:fldCharType="begin"/>
      </w:r>
      <w:r w:rsidR="000A2C1E" w:rsidRPr="00275FBD">
        <w:rPr>
          <w:lang w:val="sl-SI"/>
        </w:rPr>
        <w:instrText xml:space="preserve"> SEQ Slika \* ARABIC \s 1 </w:instrText>
      </w:r>
      <w:r w:rsidR="000A2C1E" w:rsidRPr="00275FBD">
        <w:rPr>
          <w:lang w:val="sl-SI"/>
        </w:rPr>
        <w:fldChar w:fldCharType="separate"/>
      </w:r>
      <w:r w:rsidR="00BA25CD">
        <w:rPr>
          <w:noProof/>
          <w:lang w:val="sl-SI"/>
        </w:rPr>
        <w:t>1</w:t>
      </w:r>
      <w:r w:rsidR="000A2C1E" w:rsidRPr="00275FBD">
        <w:rPr>
          <w:lang w:val="sl-SI"/>
        </w:rPr>
        <w:fldChar w:fldCharType="end"/>
      </w:r>
      <w:bookmarkEnd w:id="31"/>
      <w:r w:rsidRPr="00275FBD">
        <w:rPr>
          <w:lang w:val="sl-SI"/>
        </w:rPr>
        <w:t>: Postopek ocen</w:t>
      </w:r>
      <w:r w:rsidR="00B26B36" w:rsidRPr="00275FBD">
        <w:rPr>
          <w:lang w:val="sl-SI"/>
        </w:rPr>
        <w:t>jevanja</w:t>
      </w:r>
      <w:r w:rsidRPr="00275FBD">
        <w:rPr>
          <w:lang w:val="sl-SI"/>
        </w:rPr>
        <w:t xml:space="preserve"> posamezne varnostne </w:t>
      </w:r>
      <w:r w:rsidR="001D65DF">
        <w:rPr>
          <w:lang w:val="sl-SI"/>
        </w:rPr>
        <w:t>vsebine</w:t>
      </w:r>
      <w:bookmarkEnd w:id="32"/>
    </w:p>
    <w:p w14:paraId="1AFD04AB" w14:textId="77777777" w:rsidR="00C0187A" w:rsidRPr="00275FBD" w:rsidRDefault="00C0187A" w:rsidP="00722103">
      <w:pPr>
        <w:spacing w:before="0" w:after="0"/>
        <w:rPr>
          <w:lang w:val="sl-SI"/>
        </w:rPr>
      </w:pPr>
    </w:p>
    <w:p w14:paraId="77A8DEF9" w14:textId="5E53234A" w:rsidR="00E5697A" w:rsidRPr="001C1D18" w:rsidRDefault="00DF2AFD" w:rsidP="00E5697A">
      <w:pPr>
        <w:pStyle w:val="Naslov3"/>
        <w:rPr>
          <w:lang w:val="sl-SI"/>
        </w:rPr>
      </w:pPr>
      <w:bookmarkStart w:id="33" w:name="_Toc163197422"/>
      <w:r w:rsidRPr="001C1D18">
        <w:rPr>
          <w:lang w:val="sl-SI"/>
        </w:rPr>
        <w:lastRenderedPageBreak/>
        <w:t xml:space="preserve">Končni </w:t>
      </w:r>
      <w:r w:rsidR="00B10CD9" w:rsidRPr="001C1D18">
        <w:rPr>
          <w:lang w:val="sl-SI"/>
        </w:rPr>
        <w:t xml:space="preserve">široka </w:t>
      </w:r>
      <w:r w:rsidRPr="001C1D18">
        <w:rPr>
          <w:lang w:val="sl-SI"/>
        </w:rPr>
        <w:t xml:space="preserve">in </w:t>
      </w:r>
      <w:r w:rsidR="00B10CD9" w:rsidRPr="001C1D18">
        <w:rPr>
          <w:lang w:val="sl-SI"/>
        </w:rPr>
        <w:t xml:space="preserve">podrobna razvrstitev varnostnih </w:t>
      </w:r>
      <w:r w:rsidR="00BD3CF4" w:rsidRPr="001C1D18">
        <w:rPr>
          <w:lang w:val="sl-SI"/>
        </w:rPr>
        <w:t>najdb</w:t>
      </w:r>
      <w:bookmarkEnd w:id="33"/>
    </w:p>
    <w:p w14:paraId="22A4A09A" w14:textId="6EB9EBFA" w:rsidR="00B10CD9" w:rsidRPr="00275FBD" w:rsidRDefault="00B10CD9" w:rsidP="00B10CD9">
      <w:pPr>
        <w:rPr>
          <w:lang w:val="sl-SI" w:eastAsia="en-GB"/>
        </w:rPr>
      </w:pPr>
      <w:r w:rsidRPr="00275FBD">
        <w:rPr>
          <w:lang w:val="sl-SI" w:eastAsia="en-GB"/>
        </w:rPr>
        <w:t xml:space="preserve">Kot je že bilo omenjeno, je bil celoten proces razvrščanja </w:t>
      </w:r>
      <w:r w:rsidR="00BD5705" w:rsidRPr="00275FBD">
        <w:rPr>
          <w:lang w:val="sl-SI" w:eastAsia="en-GB"/>
        </w:rPr>
        <w:t xml:space="preserve">najdb </w:t>
      </w:r>
      <w:r w:rsidRPr="00275FBD">
        <w:rPr>
          <w:lang w:val="sl-SI" w:eastAsia="en-GB"/>
        </w:rPr>
        <w:t>PSR razdeljen na dva glavna koraka:</w:t>
      </w:r>
    </w:p>
    <w:p w14:paraId="20B209BE" w14:textId="52415624" w:rsidR="00B10CD9" w:rsidRPr="00275FBD" w:rsidRDefault="00B10CD9" w:rsidP="00B10CD9">
      <w:pPr>
        <w:ind w:left="426"/>
        <w:rPr>
          <w:lang w:val="sl-SI" w:eastAsia="en-GB"/>
        </w:rPr>
      </w:pPr>
      <w:r w:rsidRPr="00275FBD">
        <w:rPr>
          <w:lang w:val="sl-SI" w:eastAsia="en-GB"/>
        </w:rPr>
        <w:t xml:space="preserve">1. široka </w:t>
      </w:r>
      <w:r w:rsidR="00743FB5" w:rsidRPr="00275FBD">
        <w:rPr>
          <w:lang w:val="sl-SI" w:eastAsia="en-GB"/>
        </w:rPr>
        <w:t>razvrstitev</w:t>
      </w:r>
      <w:r w:rsidRPr="00275FBD">
        <w:rPr>
          <w:lang w:val="sl-SI" w:eastAsia="en-GB"/>
        </w:rPr>
        <w:t>, predhodna in končna;</w:t>
      </w:r>
    </w:p>
    <w:p w14:paraId="692C70AC" w14:textId="2175F90E" w:rsidR="00B10CD9" w:rsidRPr="00275FBD" w:rsidRDefault="00B10CD9" w:rsidP="00B10CD9">
      <w:pPr>
        <w:ind w:left="426"/>
        <w:rPr>
          <w:lang w:val="sl-SI" w:eastAsia="en-GB"/>
        </w:rPr>
      </w:pPr>
      <w:r w:rsidRPr="00275FBD">
        <w:rPr>
          <w:lang w:val="sl-SI" w:eastAsia="en-GB"/>
        </w:rPr>
        <w:t xml:space="preserve">2. podrobna </w:t>
      </w:r>
      <w:r w:rsidR="00743FB5" w:rsidRPr="00275FBD">
        <w:rPr>
          <w:lang w:val="sl-SI" w:eastAsia="en-GB"/>
        </w:rPr>
        <w:t>razvrstitev</w:t>
      </w:r>
      <w:r w:rsidRPr="00275FBD">
        <w:rPr>
          <w:lang w:val="sl-SI" w:eastAsia="en-GB"/>
        </w:rPr>
        <w:t>.</w:t>
      </w:r>
    </w:p>
    <w:p w14:paraId="68EB6E98" w14:textId="54974003" w:rsidR="00B10CD9" w:rsidRPr="00275FBD" w:rsidRDefault="00B10CD9" w:rsidP="00B10CD9">
      <w:pPr>
        <w:rPr>
          <w:lang w:val="sl-SI" w:eastAsia="en-GB"/>
        </w:rPr>
      </w:pPr>
      <w:r w:rsidRPr="00275FBD">
        <w:rPr>
          <w:lang w:val="sl-SI" w:eastAsia="en-GB"/>
        </w:rPr>
        <w:t xml:space="preserve">Široka </w:t>
      </w:r>
      <w:r w:rsidR="00743FB5" w:rsidRPr="00275FBD">
        <w:rPr>
          <w:lang w:val="sl-SI" w:eastAsia="en-GB"/>
        </w:rPr>
        <w:t>razvrstitev</w:t>
      </w:r>
      <w:r w:rsidRPr="00275FBD">
        <w:rPr>
          <w:lang w:val="sl-SI" w:eastAsia="en-GB"/>
        </w:rPr>
        <w:t xml:space="preserve"> je potekala v dveh fazah: predhodni in končni. Preliminarno oceno je dodelil </w:t>
      </w:r>
      <w:r w:rsidR="004E5530" w:rsidRPr="00275FBD">
        <w:rPr>
          <w:lang w:val="sl-SI" w:eastAsia="en-GB"/>
        </w:rPr>
        <w:t>pregledovalec</w:t>
      </w:r>
      <w:r w:rsidRPr="00275FBD">
        <w:rPr>
          <w:lang w:val="sl-SI" w:eastAsia="en-GB"/>
        </w:rPr>
        <w:t xml:space="preserve">, </w:t>
      </w:r>
      <w:r w:rsidR="00743FB5" w:rsidRPr="00275FBD">
        <w:rPr>
          <w:lang w:val="sl-SI" w:eastAsia="en-GB"/>
        </w:rPr>
        <w:t xml:space="preserve">dodeljen </w:t>
      </w:r>
      <w:r w:rsidRPr="00275FBD">
        <w:rPr>
          <w:lang w:val="sl-SI" w:eastAsia="en-GB"/>
        </w:rPr>
        <w:t>posebn</w:t>
      </w:r>
      <w:r w:rsidR="00FE4C6E">
        <w:rPr>
          <w:lang w:val="sl-SI" w:eastAsia="en-GB"/>
        </w:rPr>
        <w:t>i</w:t>
      </w:r>
      <w:r w:rsidRPr="00275FBD">
        <w:rPr>
          <w:lang w:val="sl-SI" w:eastAsia="en-GB"/>
        </w:rPr>
        <w:t xml:space="preserve"> varnostn</w:t>
      </w:r>
      <w:r w:rsidR="00FE4C6E">
        <w:rPr>
          <w:lang w:val="sl-SI" w:eastAsia="en-GB"/>
        </w:rPr>
        <w:t>i</w:t>
      </w:r>
      <w:r w:rsidRPr="00275FBD">
        <w:rPr>
          <w:lang w:val="sl-SI" w:eastAsia="en-GB"/>
        </w:rPr>
        <w:t xml:space="preserve"> </w:t>
      </w:r>
      <w:r w:rsidR="00FE4C6E">
        <w:rPr>
          <w:lang w:val="sl-SI"/>
        </w:rPr>
        <w:t>vsebini</w:t>
      </w:r>
      <w:r w:rsidRPr="00275FBD">
        <w:rPr>
          <w:lang w:val="sl-SI" w:eastAsia="en-GB"/>
        </w:rPr>
        <w:t xml:space="preserve">. Preliminarne uvrstitve vseh identificiranih </w:t>
      </w:r>
      <w:r w:rsidR="00CB6B10">
        <w:rPr>
          <w:lang w:val="sl-SI" w:eastAsia="en-GB"/>
        </w:rPr>
        <w:t>najdb</w:t>
      </w:r>
      <w:r w:rsidR="00CB6B10" w:rsidRPr="00275FBD">
        <w:rPr>
          <w:lang w:val="sl-SI" w:eastAsia="en-GB"/>
        </w:rPr>
        <w:t xml:space="preserve"> </w:t>
      </w:r>
      <w:r w:rsidRPr="00275FBD">
        <w:rPr>
          <w:lang w:val="sl-SI" w:eastAsia="en-GB"/>
        </w:rPr>
        <w:t xml:space="preserve">so bile podane v tematskih poročilih za ustrezne </w:t>
      </w:r>
      <w:r w:rsidR="00FE4C6E">
        <w:rPr>
          <w:lang w:val="sl-SI" w:eastAsia="en-GB"/>
        </w:rPr>
        <w:t xml:space="preserve">varnostne </w:t>
      </w:r>
      <w:r w:rsidR="00FE4C6E">
        <w:rPr>
          <w:lang w:val="sl-SI"/>
        </w:rPr>
        <w:t>vsebine</w:t>
      </w:r>
      <w:r w:rsidR="00FE4C6E" w:rsidRPr="00275FBD">
        <w:rPr>
          <w:lang w:val="sl-SI" w:eastAsia="en-GB"/>
        </w:rPr>
        <w:t xml:space="preserve"> </w:t>
      </w:r>
      <w:r w:rsidRPr="00275FBD">
        <w:rPr>
          <w:lang w:val="sl-SI" w:eastAsia="en-GB"/>
        </w:rPr>
        <w:t xml:space="preserve">PSR (od </w:t>
      </w:r>
      <w:r w:rsidRPr="00275FBD">
        <w:rPr>
          <w:lang w:val="sl-SI" w:eastAsia="en-GB"/>
        </w:rPr>
        <w:fldChar w:fldCharType="begin"/>
      </w:r>
      <w:r w:rsidRPr="00275FBD">
        <w:rPr>
          <w:lang w:val="sl-SI" w:eastAsia="en-GB"/>
        </w:rPr>
        <w:instrText xml:space="preserve"> REF _Ref133228738 \r \h </w:instrText>
      </w:r>
      <w:r w:rsidRPr="00275FBD">
        <w:rPr>
          <w:lang w:val="sl-SI" w:eastAsia="en-GB"/>
        </w:rPr>
      </w:r>
      <w:r w:rsidRPr="00275FBD">
        <w:rPr>
          <w:lang w:val="sl-SI" w:eastAsia="en-GB"/>
        </w:rPr>
        <w:fldChar w:fldCharType="separate"/>
      </w:r>
      <w:r w:rsidR="00BA25CD">
        <w:rPr>
          <w:lang w:val="sl-SI" w:eastAsia="en-GB"/>
        </w:rPr>
        <w:t>[12]</w:t>
      </w:r>
      <w:r w:rsidRPr="00275FBD">
        <w:rPr>
          <w:lang w:val="sl-SI" w:eastAsia="en-GB"/>
        </w:rPr>
        <w:fldChar w:fldCharType="end"/>
      </w:r>
      <w:r w:rsidRPr="00275FBD">
        <w:rPr>
          <w:lang w:val="sl-SI" w:eastAsia="en-GB"/>
        </w:rPr>
        <w:t xml:space="preserve"> do </w:t>
      </w:r>
      <w:r w:rsidRPr="00275FBD">
        <w:rPr>
          <w:lang w:val="sl-SI" w:eastAsia="en-GB"/>
        </w:rPr>
        <w:fldChar w:fldCharType="begin"/>
      </w:r>
      <w:r w:rsidRPr="00275FBD">
        <w:rPr>
          <w:lang w:val="sl-SI" w:eastAsia="en-GB"/>
        </w:rPr>
        <w:instrText xml:space="preserve"> REF _Ref133228758 \r \h </w:instrText>
      </w:r>
      <w:r w:rsidRPr="00275FBD">
        <w:rPr>
          <w:lang w:val="sl-SI" w:eastAsia="en-GB"/>
        </w:rPr>
      </w:r>
      <w:r w:rsidRPr="00275FBD">
        <w:rPr>
          <w:lang w:val="sl-SI" w:eastAsia="en-GB"/>
        </w:rPr>
        <w:fldChar w:fldCharType="separate"/>
      </w:r>
      <w:r w:rsidR="00BA25CD">
        <w:rPr>
          <w:lang w:val="sl-SI" w:eastAsia="en-GB"/>
        </w:rPr>
        <w:t>[30]</w:t>
      </w:r>
      <w:r w:rsidRPr="00275FBD">
        <w:rPr>
          <w:lang w:val="sl-SI" w:eastAsia="en-GB"/>
        </w:rPr>
        <w:fldChar w:fldCharType="end"/>
      </w:r>
      <w:r w:rsidRPr="00275FBD">
        <w:rPr>
          <w:lang w:val="sl-SI" w:eastAsia="en-GB"/>
        </w:rPr>
        <w:t xml:space="preserve">). Iz tematskih poročil o varnostnih </w:t>
      </w:r>
      <w:r w:rsidR="00FE4C6E">
        <w:rPr>
          <w:lang w:val="sl-SI" w:eastAsia="en-GB"/>
        </w:rPr>
        <w:t>vsebinah</w:t>
      </w:r>
      <w:r w:rsidR="00FE4C6E" w:rsidRPr="00275FBD">
        <w:rPr>
          <w:lang w:val="sl-SI" w:eastAsia="en-GB"/>
        </w:rPr>
        <w:t xml:space="preserve"> </w:t>
      </w:r>
      <w:r w:rsidRPr="00275FBD">
        <w:rPr>
          <w:lang w:val="sl-SI" w:eastAsia="en-GB"/>
        </w:rPr>
        <w:t xml:space="preserve">so bile vse </w:t>
      </w:r>
      <w:r w:rsidR="00CB6B10">
        <w:rPr>
          <w:lang w:val="sl-SI" w:eastAsia="en-GB"/>
        </w:rPr>
        <w:t>najdbe</w:t>
      </w:r>
      <w:r w:rsidRPr="00275FBD">
        <w:rPr>
          <w:lang w:val="sl-SI" w:eastAsia="en-GB"/>
        </w:rPr>
        <w:t xml:space="preserve">, skupaj z dodeljenimi predhodnimi </w:t>
      </w:r>
      <w:r w:rsidR="00014CA7">
        <w:rPr>
          <w:lang w:val="sl-SI" w:eastAsia="en-GB"/>
        </w:rPr>
        <w:t>ocenami</w:t>
      </w:r>
      <w:r w:rsidR="0037359A">
        <w:rPr>
          <w:lang w:val="sl-SI" w:eastAsia="en-GB"/>
        </w:rPr>
        <w:t>,</w:t>
      </w:r>
      <w:r w:rsidRPr="00275FBD">
        <w:rPr>
          <w:lang w:val="sl-SI" w:eastAsia="en-GB"/>
        </w:rPr>
        <w:t xml:space="preserve"> zbrane in </w:t>
      </w:r>
      <w:r w:rsidR="00014CA7">
        <w:rPr>
          <w:lang w:val="sl-SI" w:eastAsia="en-GB"/>
        </w:rPr>
        <w:t>pre</w:t>
      </w:r>
      <w:r w:rsidR="00014CA7" w:rsidRPr="00275FBD">
        <w:rPr>
          <w:lang w:val="sl-SI" w:eastAsia="en-GB"/>
        </w:rPr>
        <w:t xml:space="preserve">nesene </w:t>
      </w:r>
      <w:r w:rsidRPr="00275FBD">
        <w:rPr>
          <w:lang w:val="sl-SI" w:eastAsia="en-GB"/>
        </w:rPr>
        <w:t xml:space="preserve">v končni postopek razvrščanja </w:t>
      </w:r>
      <w:r w:rsidR="00FE4C6E">
        <w:rPr>
          <w:lang w:val="sl-SI" w:eastAsia="en-GB"/>
        </w:rPr>
        <w:t>najdb</w:t>
      </w:r>
      <w:r w:rsidRPr="00275FBD">
        <w:rPr>
          <w:lang w:val="sl-SI" w:eastAsia="en-GB"/>
        </w:rPr>
        <w:t xml:space="preserve">. Ta proces so izvedli analitiki, ki so bili namenjeni razvrščanju </w:t>
      </w:r>
      <w:r w:rsidR="00BD5705" w:rsidRPr="00275FBD">
        <w:rPr>
          <w:lang w:val="sl-SI" w:eastAsia="en-GB"/>
        </w:rPr>
        <w:t>najdb</w:t>
      </w:r>
      <w:r w:rsidR="000D177A">
        <w:rPr>
          <w:lang w:val="sl-SI" w:eastAsia="en-GB"/>
        </w:rPr>
        <w:t xml:space="preserve">, </w:t>
      </w:r>
      <w:proofErr w:type="spellStart"/>
      <w:r w:rsidR="000D177A">
        <w:rPr>
          <w:lang w:val="sl-SI" w:eastAsia="en-GB"/>
        </w:rPr>
        <w:t>t.j</w:t>
      </w:r>
      <w:proofErr w:type="spellEnd"/>
      <w:r w:rsidR="000D177A">
        <w:rPr>
          <w:lang w:val="sl-SI" w:eastAsia="en-GB"/>
        </w:rPr>
        <w:t>.</w:t>
      </w:r>
      <w:r w:rsidRPr="00275FBD">
        <w:rPr>
          <w:lang w:val="sl-SI" w:eastAsia="en-GB"/>
        </w:rPr>
        <w:t xml:space="preserve"> določanju prednostnih korektivnih ukrepov.</w:t>
      </w:r>
    </w:p>
    <w:p w14:paraId="2F1E8EC8" w14:textId="1F808A3E" w:rsidR="00B10CD9" w:rsidRPr="00275FBD" w:rsidRDefault="00B10CD9" w:rsidP="00B10CD9">
      <w:pPr>
        <w:rPr>
          <w:lang w:val="sl-SI" w:eastAsia="en-GB"/>
        </w:rPr>
      </w:pPr>
      <w:r w:rsidRPr="00275FBD">
        <w:rPr>
          <w:lang w:val="sl-SI" w:eastAsia="en-GB"/>
        </w:rPr>
        <w:t xml:space="preserve">V nadaljevanju </w:t>
      </w:r>
      <w:r w:rsidR="001C1D18">
        <w:rPr>
          <w:lang w:val="sl-SI" w:eastAsia="en-GB"/>
        </w:rPr>
        <w:t>je podan</w:t>
      </w:r>
      <w:r w:rsidR="001C1D18" w:rsidRPr="00275FBD">
        <w:rPr>
          <w:lang w:val="sl-SI" w:eastAsia="en-GB"/>
        </w:rPr>
        <w:t xml:space="preserve"> </w:t>
      </w:r>
      <w:r w:rsidRPr="00275FBD">
        <w:rPr>
          <w:lang w:val="sl-SI" w:eastAsia="en-GB"/>
        </w:rPr>
        <w:t xml:space="preserve">kratek pregled celotnega procesa </w:t>
      </w:r>
      <w:r w:rsidR="00014CA7" w:rsidRPr="00275FBD">
        <w:rPr>
          <w:lang w:val="sl-SI" w:eastAsia="en-GB"/>
        </w:rPr>
        <w:t>razvrstit</w:t>
      </w:r>
      <w:r w:rsidR="00014CA7">
        <w:rPr>
          <w:lang w:val="sl-SI" w:eastAsia="en-GB"/>
        </w:rPr>
        <w:t>ve</w:t>
      </w:r>
      <w:r w:rsidR="00014CA7" w:rsidRPr="00275FBD">
        <w:rPr>
          <w:lang w:val="sl-SI" w:eastAsia="en-GB"/>
        </w:rPr>
        <w:t xml:space="preserve"> </w:t>
      </w:r>
      <w:r w:rsidRPr="00275FBD">
        <w:rPr>
          <w:lang w:val="sl-SI" w:eastAsia="en-GB"/>
        </w:rPr>
        <w:t xml:space="preserve">varnostnih </w:t>
      </w:r>
      <w:r w:rsidR="00BD5705" w:rsidRPr="00275FBD">
        <w:rPr>
          <w:lang w:val="sl-SI" w:eastAsia="en-GB"/>
        </w:rPr>
        <w:t xml:space="preserve">najdb </w:t>
      </w:r>
      <w:r w:rsidRPr="00275FBD">
        <w:rPr>
          <w:lang w:val="sl-SI" w:eastAsia="en-GB"/>
        </w:rPr>
        <w:t xml:space="preserve">iz NEK PSR3, ki je bil vzpostavljen na podlagi programa </w:t>
      </w:r>
      <w:r w:rsidR="00014CA7">
        <w:rPr>
          <w:lang w:val="sl-SI" w:eastAsia="en-GB"/>
        </w:rPr>
        <w:t>PSR3</w:t>
      </w:r>
      <w:r w:rsidR="00014CA7" w:rsidRPr="00275FBD">
        <w:rPr>
          <w:lang w:val="sl-SI" w:eastAsia="en-GB"/>
        </w:rPr>
        <w:t xml:space="preserve"> </w:t>
      </w:r>
      <w:r w:rsidRPr="00275FBD">
        <w:rPr>
          <w:lang w:val="sl-SI" w:eastAsia="en-GB"/>
        </w:rPr>
        <w:fldChar w:fldCharType="begin"/>
      </w:r>
      <w:r w:rsidRPr="00275FBD">
        <w:rPr>
          <w:lang w:val="sl-SI" w:eastAsia="en-GB"/>
        </w:rPr>
        <w:instrText xml:space="preserve"> REF _Ref133222751 \r \h </w:instrText>
      </w:r>
      <w:r w:rsidRPr="00275FBD">
        <w:rPr>
          <w:lang w:val="sl-SI" w:eastAsia="en-GB"/>
        </w:rPr>
      </w:r>
      <w:r w:rsidRPr="00275FBD">
        <w:rPr>
          <w:lang w:val="sl-SI" w:eastAsia="en-GB"/>
        </w:rPr>
        <w:fldChar w:fldCharType="separate"/>
      </w:r>
      <w:r w:rsidR="00BA25CD">
        <w:rPr>
          <w:lang w:val="sl-SI" w:eastAsia="en-GB"/>
        </w:rPr>
        <w:t>[1]</w:t>
      </w:r>
      <w:r w:rsidRPr="00275FBD">
        <w:rPr>
          <w:lang w:val="sl-SI" w:eastAsia="en-GB"/>
        </w:rPr>
        <w:fldChar w:fldCharType="end"/>
      </w:r>
      <w:r w:rsidRPr="00275FBD">
        <w:rPr>
          <w:lang w:val="sl-SI" w:eastAsia="en-GB"/>
        </w:rPr>
        <w:t xml:space="preserve">, podrobnejši opis pa </w:t>
      </w:r>
      <w:r w:rsidR="004E5530" w:rsidRPr="00275FBD">
        <w:rPr>
          <w:lang w:val="sl-SI" w:eastAsia="en-GB"/>
        </w:rPr>
        <w:t xml:space="preserve">je </w:t>
      </w:r>
      <w:r w:rsidRPr="00275FBD">
        <w:rPr>
          <w:lang w:val="sl-SI" w:eastAsia="en-GB"/>
        </w:rPr>
        <w:t>na</w:t>
      </w:r>
      <w:r w:rsidR="00014CA7">
        <w:rPr>
          <w:lang w:val="sl-SI" w:eastAsia="en-GB"/>
        </w:rPr>
        <w:t>veden</w:t>
      </w:r>
      <w:r w:rsidRPr="00275FBD">
        <w:rPr>
          <w:lang w:val="sl-SI" w:eastAsia="en-GB"/>
        </w:rPr>
        <w:t xml:space="preserve"> v poročilu PSR3-NEK-9.</w:t>
      </w:r>
      <w:r w:rsidR="001D24FD" w:rsidRPr="00275FBD">
        <w:rPr>
          <w:lang w:val="sl-SI" w:eastAsia="en-GB"/>
        </w:rPr>
        <w:t>3</w:t>
      </w:r>
      <w:r w:rsidRPr="00275FBD">
        <w:rPr>
          <w:lang w:val="sl-SI" w:eastAsia="en-GB"/>
        </w:rPr>
        <w:t xml:space="preserve"> </w:t>
      </w:r>
      <w:r w:rsidR="001D24FD" w:rsidRPr="00275FBD">
        <w:rPr>
          <w:lang w:val="sl-SI" w:eastAsia="en-GB"/>
        </w:rPr>
        <w:fldChar w:fldCharType="begin"/>
      </w:r>
      <w:r w:rsidR="001D24FD" w:rsidRPr="00275FBD">
        <w:rPr>
          <w:lang w:val="sl-SI" w:eastAsia="en-GB"/>
        </w:rPr>
        <w:instrText xml:space="preserve"> REF _Ref138279840 \r \h </w:instrText>
      </w:r>
      <w:r w:rsidR="001D24FD" w:rsidRPr="00275FBD">
        <w:rPr>
          <w:lang w:val="sl-SI" w:eastAsia="en-GB"/>
        </w:rPr>
      </w:r>
      <w:r w:rsidR="001D24FD" w:rsidRPr="00275FBD">
        <w:rPr>
          <w:lang w:val="sl-SI" w:eastAsia="en-GB"/>
        </w:rPr>
        <w:fldChar w:fldCharType="separate"/>
      </w:r>
      <w:r w:rsidR="00BA25CD">
        <w:rPr>
          <w:lang w:val="sl-SI" w:eastAsia="en-GB"/>
        </w:rPr>
        <w:t>[2]</w:t>
      </w:r>
      <w:r w:rsidR="001D24FD" w:rsidRPr="00275FBD">
        <w:rPr>
          <w:lang w:val="sl-SI" w:eastAsia="en-GB"/>
        </w:rPr>
        <w:fldChar w:fldCharType="end"/>
      </w:r>
      <w:r w:rsidR="001D24FD" w:rsidRPr="00275FBD">
        <w:rPr>
          <w:lang w:val="sl-SI" w:eastAsia="en-GB"/>
        </w:rPr>
        <w:t xml:space="preserve"> in njegovi</w:t>
      </w:r>
      <w:r w:rsidR="00514F33">
        <w:rPr>
          <w:lang w:val="sl-SI" w:eastAsia="en-GB"/>
        </w:rPr>
        <w:t>h</w:t>
      </w:r>
      <w:r w:rsidR="001D24FD" w:rsidRPr="00275FBD">
        <w:rPr>
          <w:lang w:val="sl-SI" w:eastAsia="en-GB"/>
        </w:rPr>
        <w:t xml:space="preserve"> </w:t>
      </w:r>
      <w:r w:rsidR="00014CA7">
        <w:rPr>
          <w:lang w:val="sl-SI" w:eastAsia="en-GB"/>
        </w:rPr>
        <w:t>referencah</w:t>
      </w:r>
      <w:r w:rsidRPr="00275FBD">
        <w:rPr>
          <w:lang w:val="sl-SI" w:eastAsia="en-GB"/>
        </w:rPr>
        <w:t>.</w:t>
      </w:r>
    </w:p>
    <w:p w14:paraId="38CA9506" w14:textId="4F443DE2" w:rsidR="00062DF9" w:rsidRPr="00275FBD" w:rsidRDefault="00062DF9" w:rsidP="00C0187A">
      <w:pPr>
        <w:rPr>
          <w:lang w:val="sl-SI" w:eastAsia="en-GB"/>
        </w:rPr>
      </w:pPr>
      <w:r w:rsidRPr="00E24485">
        <w:rPr>
          <w:lang w:val="sl-SI" w:eastAsia="en-GB"/>
        </w:rPr>
        <w:t>Prvi korak v tem procesu je končna široka razvrstitev, kjer se predhodna, preliminarna</w:t>
      </w:r>
      <w:r w:rsidRPr="00275FBD">
        <w:rPr>
          <w:lang w:val="sl-SI" w:eastAsia="en-GB"/>
        </w:rPr>
        <w:t xml:space="preserve"> </w:t>
      </w:r>
      <w:r w:rsidR="00014CA7">
        <w:rPr>
          <w:lang w:val="sl-SI" w:eastAsia="en-GB"/>
        </w:rPr>
        <w:t xml:space="preserve">ocena </w:t>
      </w:r>
      <w:r w:rsidRPr="00275FBD">
        <w:rPr>
          <w:lang w:val="sl-SI" w:eastAsia="en-GB"/>
        </w:rPr>
        <w:t xml:space="preserve">vsake </w:t>
      </w:r>
      <w:r w:rsidR="00014CA7">
        <w:rPr>
          <w:lang w:val="sl-SI" w:eastAsia="en-GB"/>
        </w:rPr>
        <w:t>najdbe</w:t>
      </w:r>
      <w:r w:rsidR="00014CA7" w:rsidRPr="00275FBD">
        <w:rPr>
          <w:lang w:val="sl-SI" w:eastAsia="en-GB"/>
        </w:rPr>
        <w:t xml:space="preserve"> </w:t>
      </w:r>
      <w:r w:rsidRPr="00275FBD">
        <w:rPr>
          <w:lang w:val="sl-SI" w:eastAsia="en-GB"/>
        </w:rPr>
        <w:t>iz katereg</w:t>
      </w:r>
      <w:r w:rsidR="00014CA7">
        <w:rPr>
          <w:lang w:val="sl-SI" w:eastAsia="en-GB"/>
        </w:rPr>
        <w:t>ak</w:t>
      </w:r>
      <w:r w:rsidRPr="00275FBD">
        <w:rPr>
          <w:lang w:val="sl-SI" w:eastAsia="en-GB"/>
        </w:rPr>
        <w:t xml:space="preserve">oli tematskega poročila o </w:t>
      </w:r>
      <w:r w:rsidR="00E24485">
        <w:rPr>
          <w:lang w:val="sl-SI" w:eastAsia="en-GB"/>
        </w:rPr>
        <w:t xml:space="preserve">posamezni </w:t>
      </w:r>
      <w:r w:rsidR="00FE4C6E" w:rsidRPr="00275FBD">
        <w:rPr>
          <w:lang w:val="sl-SI" w:eastAsia="en-GB"/>
        </w:rPr>
        <w:t>varnostn</w:t>
      </w:r>
      <w:r w:rsidR="00FE4C6E">
        <w:rPr>
          <w:lang w:val="sl-SI" w:eastAsia="en-GB"/>
        </w:rPr>
        <w:t>i</w:t>
      </w:r>
      <w:r w:rsidR="00FE4C6E" w:rsidRPr="00275FBD">
        <w:rPr>
          <w:lang w:val="sl-SI" w:eastAsia="en-GB"/>
        </w:rPr>
        <w:t xml:space="preserve"> </w:t>
      </w:r>
      <w:r w:rsidR="00FE4C6E">
        <w:rPr>
          <w:lang w:val="sl-SI"/>
        </w:rPr>
        <w:t>vsebini</w:t>
      </w:r>
      <w:r w:rsidR="00FE4C6E" w:rsidRPr="00275FBD">
        <w:rPr>
          <w:lang w:val="sl-SI"/>
        </w:rPr>
        <w:t xml:space="preserve"> </w:t>
      </w:r>
      <w:r w:rsidRPr="00275FBD">
        <w:rPr>
          <w:lang w:val="sl-SI" w:eastAsia="en-GB"/>
        </w:rPr>
        <w:t xml:space="preserve">pregleda v luči drugih najdb (iz različnih </w:t>
      </w:r>
      <w:r w:rsidR="00E24485" w:rsidRPr="00275FBD">
        <w:rPr>
          <w:lang w:val="sl-SI" w:eastAsia="en-GB"/>
        </w:rPr>
        <w:t>varnostn</w:t>
      </w:r>
      <w:r w:rsidR="00E24485">
        <w:rPr>
          <w:lang w:val="sl-SI" w:eastAsia="en-GB"/>
        </w:rPr>
        <w:t>ih</w:t>
      </w:r>
      <w:r w:rsidR="00E24485" w:rsidRPr="00275FBD">
        <w:rPr>
          <w:lang w:val="sl-SI" w:eastAsia="en-GB"/>
        </w:rPr>
        <w:t xml:space="preserve"> </w:t>
      </w:r>
      <w:r w:rsidR="00E24485">
        <w:rPr>
          <w:lang w:val="sl-SI"/>
        </w:rPr>
        <w:t>vsebin</w:t>
      </w:r>
      <w:r w:rsidRPr="00275FBD">
        <w:rPr>
          <w:lang w:val="sl-SI" w:eastAsia="en-GB"/>
        </w:rPr>
        <w:t xml:space="preserve">), ki so lahko medsebojno povezane. Včasih lahko to ponudi drugačen pogled na pomembnost </w:t>
      </w:r>
      <w:r w:rsidR="00014CA7">
        <w:rPr>
          <w:lang w:val="sl-SI" w:eastAsia="en-GB"/>
        </w:rPr>
        <w:t xml:space="preserve">najdbe </w:t>
      </w:r>
      <w:r w:rsidRPr="00275FBD">
        <w:rPr>
          <w:lang w:val="sl-SI" w:eastAsia="en-GB"/>
        </w:rPr>
        <w:t xml:space="preserve">in bo </w:t>
      </w:r>
      <w:r w:rsidR="00014CA7">
        <w:rPr>
          <w:lang w:val="sl-SI" w:eastAsia="en-GB"/>
        </w:rPr>
        <w:t>to vodilo</w:t>
      </w:r>
      <w:r w:rsidR="00014CA7" w:rsidRPr="00275FBD">
        <w:rPr>
          <w:lang w:val="sl-SI" w:eastAsia="en-GB"/>
        </w:rPr>
        <w:t xml:space="preserve"> </w:t>
      </w:r>
      <w:r w:rsidR="00014CA7">
        <w:rPr>
          <w:lang w:val="sl-SI" w:eastAsia="en-GB"/>
        </w:rPr>
        <w:t>v</w:t>
      </w:r>
      <w:r w:rsidR="00014CA7" w:rsidRPr="00275FBD">
        <w:rPr>
          <w:lang w:val="sl-SI" w:eastAsia="en-GB"/>
        </w:rPr>
        <w:t xml:space="preserve"> spreme</w:t>
      </w:r>
      <w:r w:rsidR="00014CA7">
        <w:rPr>
          <w:lang w:val="sl-SI" w:eastAsia="en-GB"/>
        </w:rPr>
        <w:t>mbo</w:t>
      </w:r>
      <w:r w:rsidR="00014CA7" w:rsidRPr="00275FBD">
        <w:rPr>
          <w:lang w:val="sl-SI" w:eastAsia="en-GB"/>
        </w:rPr>
        <w:t xml:space="preserve"> </w:t>
      </w:r>
      <w:r w:rsidRPr="00275FBD">
        <w:rPr>
          <w:lang w:val="sl-SI" w:eastAsia="en-GB"/>
        </w:rPr>
        <w:t>/ prilagodit</w:t>
      </w:r>
      <w:r w:rsidR="00014CA7">
        <w:rPr>
          <w:lang w:val="sl-SI" w:eastAsia="en-GB"/>
        </w:rPr>
        <w:t>ev</w:t>
      </w:r>
      <w:r w:rsidRPr="00275FBD">
        <w:rPr>
          <w:lang w:val="sl-SI" w:eastAsia="en-GB"/>
        </w:rPr>
        <w:t xml:space="preserve"> predhodne </w:t>
      </w:r>
      <w:r w:rsidR="00014CA7">
        <w:rPr>
          <w:lang w:val="sl-SI" w:eastAsia="en-GB"/>
        </w:rPr>
        <w:t>ocene</w:t>
      </w:r>
      <w:r w:rsidRPr="00275FBD">
        <w:rPr>
          <w:lang w:val="sl-SI" w:eastAsia="en-GB"/>
        </w:rPr>
        <w:t xml:space="preserve">. Po široki razvrstitvi so vse </w:t>
      </w:r>
      <w:r w:rsidR="00CB6B10">
        <w:rPr>
          <w:lang w:val="sl-SI" w:eastAsia="en-GB"/>
        </w:rPr>
        <w:t>najdbe</w:t>
      </w:r>
      <w:r w:rsidR="00CB6B10" w:rsidRPr="00275FBD">
        <w:rPr>
          <w:lang w:val="sl-SI" w:eastAsia="en-GB"/>
        </w:rPr>
        <w:t xml:space="preserve"> </w:t>
      </w:r>
      <w:r w:rsidRPr="00275FBD">
        <w:rPr>
          <w:lang w:val="sl-SI" w:eastAsia="en-GB"/>
        </w:rPr>
        <w:t>PSR razvrščene v tri splošne kategorije pomembnosti: visoka (H oz. »</w:t>
      </w:r>
      <w:proofErr w:type="spellStart"/>
      <w:r w:rsidRPr="00275FBD">
        <w:rPr>
          <w:lang w:val="sl-SI" w:eastAsia="en-GB"/>
        </w:rPr>
        <w:t>High</w:t>
      </w:r>
      <w:proofErr w:type="spellEnd"/>
      <w:r w:rsidRPr="00275FBD">
        <w:rPr>
          <w:lang w:val="sl-SI" w:eastAsia="en-GB"/>
        </w:rPr>
        <w:t>«), srednja (M oz. »</w:t>
      </w:r>
      <w:proofErr w:type="spellStart"/>
      <w:r w:rsidRPr="00275FBD">
        <w:rPr>
          <w:lang w:val="sl-SI" w:eastAsia="en-GB"/>
        </w:rPr>
        <w:t>Medium</w:t>
      </w:r>
      <w:proofErr w:type="spellEnd"/>
      <w:r w:rsidRPr="00275FBD">
        <w:rPr>
          <w:lang w:val="sl-SI" w:eastAsia="en-GB"/>
        </w:rPr>
        <w:t xml:space="preserve">«) in nizka (L oz. »Low«). Rezultati širokega razvrščanja se uporabljajo tudi za začetni predhodni pregled in </w:t>
      </w:r>
      <w:r w:rsidR="00E24485">
        <w:rPr>
          <w:lang w:val="sl-SI" w:eastAsia="en-GB"/>
        </w:rPr>
        <w:t>prenos izbranih</w:t>
      </w:r>
      <w:r w:rsidR="00E24485" w:rsidRPr="00275FBD">
        <w:rPr>
          <w:lang w:val="sl-SI" w:eastAsia="en-GB"/>
        </w:rPr>
        <w:t xml:space="preserve"> </w:t>
      </w:r>
      <w:r w:rsidR="00BD5705" w:rsidRPr="00275FBD">
        <w:rPr>
          <w:lang w:val="sl-SI" w:eastAsia="en-GB"/>
        </w:rPr>
        <w:t>najdb</w:t>
      </w:r>
      <w:r w:rsidRPr="00275FBD">
        <w:rPr>
          <w:lang w:val="sl-SI" w:eastAsia="en-GB"/>
        </w:rPr>
        <w:t xml:space="preserve"> neposredno v program korektivnih ukrepov (»</w:t>
      </w:r>
      <w:proofErr w:type="spellStart"/>
      <w:r w:rsidRPr="00275FBD">
        <w:rPr>
          <w:lang w:val="sl-SI" w:eastAsia="en-GB"/>
        </w:rPr>
        <w:t>Corrective</w:t>
      </w:r>
      <w:proofErr w:type="spellEnd"/>
      <w:r w:rsidRPr="00275FBD">
        <w:rPr>
          <w:lang w:val="sl-SI" w:eastAsia="en-GB"/>
        </w:rPr>
        <w:t xml:space="preserve"> Action Program«, CAP). Metodološki vidiki končne široke razvrstitve so podrobneje opisani v poročilu PSR3-NEK-9.1 </w:t>
      </w:r>
      <w:r w:rsidRPr="00275FBD">
        <w:rPr>
          <w:lang w:val="sl-SI" w:eastAsia="en-GB"/>
        </w:rPr>
        <w:fldChar w:fldCharType="begin"/>
      </w:r>
      <w:r w:rsidRPr="00275FBD">
        <w:rPr>
          <w:lang w:val="sl-SI" w:eastAsia="en-GB"/>
        </w:rPr>
        <w:instrText xml:space="preserve"> REF _Ref131143634 \r \h </w:instrText>
      </w:r>
      <w:r w:rsidRPr="00275FBD">
        <w:rPr>
          <w:lang w:val="sl-SI" w:eastAsia="en-GB"/>
        </w:rPr>
      </w:r>
      <w:r w:rsidRPr="00275FBD">
        <w:rPr>
          <w:lang w:val="sl-SI" w:eastAsia="en-GB"/>
        </w:rPr>
        <w:fldChar w:fldCharType="separate"/>
      </w:r>
      <w:r w:rsidR="00BA25CD">
        <w:rPr>
          <w:lang w:val="sl-SI" w:eastAsia="en-GB"/>
        </w:rPr>
        <w:t>[9]</w:t>
      </w:r>
      <w:r w:rsidRPr="00275FBD">
        <w:rPr>
          <w:lang w:val="sl-SI" w:eastAsia="en-GB"/>
        </w:rPr>
        <w:fldChar w:fldCharType="end"/>
      </w:r>
      <w:r w:rsidRPr="00275FBD">
        <w:rPr>
          <w:lang w:val="sl-SI" w:eastAsia="en-GB"/>
        </w:rPr>
        <w:t>.</w:t>
      </w:r>
    </w:p>
    <w:p w14:paraId="269114BE" w14:textId="2F4C378F" w:rsidR="00062DF9" w:rsidRPr="00275FBD" w:rsidRDefault="00062DF9" w:rsidP="00062DF9">
      <w:pPr>
        <w:rPr>
          <w:lang w:val="sl-SI" w:eastAsia="en-GB"/>
        </w:rPr>
      </w:pPr>
      <w:r w:rsidRPr="006103AD">
        <w:rPr>
          <w:lang w:val="sl-SI" w:eastAsia="en-GB"/>
        </w:rPr>
        <w:t xml:space="preserve">Vse najdbe, ki so </w:t>
      </w:r>
      <w:r w:rsidR="0071739C" w:rsidRPr="006103AD">
        <w:rPr>
          <w:lang w:val="sl-SI" w:eastAsia="en-GB"/>
        </w:rPr>
        <w:t>pre</w:t>
      </w:r>
      <w:r w:rsidR="00E24485" w:rsidRPr="006103AD">
        <w:rPr>
          <w:lang w:val="sl-SI" w:eastAsia="en-GB"/>
        </w:rPr>
        <w:t>o</w:t>
      </w:r>
      <w:r w:rsidR="0071739C" w:rsidRPr="006103AD">
        <w:rPr>
          <w:lang w:val="sl-SI" w:eastAsia="en-GB"/>
        </w:rPr>
        <w:t xml:space="preserve">stale </w:t>
      </w:r>
      <w:r w:rsidR="00E24485" w:rsidRPr="006103AD">
        <w:rPr>
          <w:lang w:val="sl-SI" w:eastAsia="en-GB"/>
        </w:rPr>
        <w:t xml:space="preserve">po </w:t>
      </w:r>
      <w:r w:rsidRPr="006103AD">
        <w:rPr>
          <w:lang w:val="sl-SI" w:eastAsia="en-GB"/>
        </w:rPr>
        <w:t>predhodn</w:t>
      </w:r>
      <w:r w:rsidR="00E24485" w:rsidRPr="006103AD">
        <w:rPr>
          <w:lang w:val="sl-SI" w:eastAsia="en-GB"/>
        </w:rPr>
        <w:t>em</w:t>
      </w:r>
      <w:r w:rsidRPr="006103AD">
        <w:rPr>
          <w:lang w:val="sl-SI" w:eastAsia="en-GB"/>
        </w:rPr>
        <w:t xml:space="preserve"> pregled</w:t>
      </w:r>
      <w:r w:rsidR="00E24485" w:rsidRPr="006103AD">
        <w:rPr>
          <w:lang w:val="sl-SI" w:eastAsia="en-GB"/>
        </w:rPr>
        <w:t>u</w:t>
      </w:r>
      <w:r w:rsidRPr="006103AD">
        <w:rPr>
          <w:lang w:val="sl-SI" w:eastAsia="en-GB"/>
        </w:rPr>
        <w:t xml:space="preserve"> (</w:t>
      </w:r>
      <w:r w:rsidR="00640A58" w:rsidRPr="006103AD">
        <w:rPr>
          <w:lang w:val="sl-SI" w:eastAsia="en-GB"/>
        </w:rPr>
        <w:t xml:space="preserve">ker </w:t>
      </w:r>
      <w:r w:rsidRPr="006103AD">
        <w:rPr>
          <w:lang w:val="sl-SI" w:eastAsia="en-GB"/>
        </w:rPr>
        <w:t>niso bile direkt</w:t>
      </w:r>
      <w:r w:rsidR="00014CA7" w:rsidRPr="006103AD">
        <w:rPr>
          <w:lang w:val="sl-SI" w:eastAsia="en-GB"/>
        </w:rPr>
        <w:t>no</w:t>
      </w:r>
      <w:r w:rsidRPr="006103AD">
        <w:rPr>
          <w:lang w:val="sl-SI" w:eastAsia="en-GB"/>
        </w:rPr>
        <w:t xml:space="preserve"> </w:t>
      </w:r>
      <w:r w:rsidR="00014CA7" w:rsidRPr="006103AD">
        <w:rPr>
          <w:lang w:val="sl-SI" w:eastAsia="en-GB"/>
        </w:rPr>
        <w:t xml:space="preserve">vnesene </w:t>
      </w:r>
      <w:r w:rsidRPr="006103AD">
        <w:rPr>
          <w:lang w:val="sl-SI" w:eastAsia="en-GB"/>
        </w:rPr>
        <w:t xml:space="preserve">v CAP), so bile predmet natančnega </w:t>
      </w:r>
      <w:r w:rsidR="00743FB5" w:rsidRPr="006103AD">
        <w:rPr>
          <w:lang w:val="sl-SI" w:eastAsia="en-GB"/>
        </w:rPr>
        <w:t>razvrščanja</w:t>
      </w:r>
      <w:r w:rsidRPr="006103AD">
        <w:rPr>
          <w:lang w:val="sl-SI" w:eastAsia="en-GB"/>
        </w:rPr>
        <w:t>, ki je drugi splošni korak v končnem procesu</w:t>
      </w:r>
      <w:r w:rsidRPr="00275FBD">
        <w:rPr>
          <w:lang w:val="sl-SI" w:eastAsia="en-GB"/>
        </w:rPr>
        <w:t xml:space="preserve"> razvrščanja najdb. V skladu s program</w:t>
      </w:r>
      <w:r w:rsidR="00E24485">
        <w:rPr>
          <w:lang w:val="sl-SI" w:eastAsia="en-GB"/>
        </w:rPr>
        <w:t>om</w:t>
      </w:r>
      <w:r w:rsidRPr="00275FBD">
        <w:rPr>
          <w:lang w:val="sl-SI" w:eastAsia="en-GB"/>
        </w:rPr>
        <w:t xml:space="preserve"> PSR3 je za namen natančnega razvrščanja vsak</w:t>
      </w:r>
      <w:r w:rsidR="00BD3CF4" w:rsidRPr="00275FBD">
        <w:rPr>
          <w:lang w:val="sl-SI" w:eastAsia="en-GB"/>
        </w:rPr>
        <w:t>a</w:t>
      </w:r>
      <w:r w:rsidRPr="00275FBD">
        <w:rPr>
          <w:lang w:val="sl-SI" w:eastAsia="en-GB"/>
        </w:rPr>
        <w:t xml:space="preserve"> </w:t>
      </w:r>
      <w:r w:rsidR="00BD3CF4" w:rsidRPr="00275FBD">
        <w:rPr>
          <w:lang w:val="sl-SI" w:eastAsia="en-GB"/>
        </w:rPr>
        <w:t>najdba</w:t>
      </w:r>
      <w:r w:rsidRPr="00275FBD">
        <w:rPr>
          <w:lang w:val="sl-SI" w:eastAsia="en-GB"/>
        </w:rPr>
        <w:t xml:space="preserve"> najprej </w:t>
      </w:r>
      <w:r w:rsidR="00E24485" w:rsidRPr="00275FBD">
        <w:rPr>
          <w:lang w:val="sl-SI" w:eastAsia="en-GB"/>
        </w:rPr>
        <w:t>o</w:t>
      </w:r>
      <w:r w:rsidR="00E24485">
        <w:rPr>
          <w:lang w:val="sl-SI" w:eastAsia="en-GB"/>
        </w:rPr>
        <w:t>bravnava</w:t>
      </w:r>
      <w:r w:rsidR="00E24485" w:rsidRPr="00275FBD">
        <w:rPr>
          <w:lang w:val="sl-SI" w:eastAsia="en-GB"/>
        </w:rPr>
        <w:t xml:space="preserve">na </w:t>
      </w:r>
      <w:r w:rsidRPr="00275FBD">
        <w:rPr>
          <w:lang w:val="sl-SI" w:eastAsia="en-GB"/>
        </w:rPr>
        <w:t xml:space="preserve">glede na tri splošne </w:t>
      </w:r>
      <w:r w:rsidR="00E87E5C">
        <w:rPr>
          <w:lang w:val="sl-SI" w:eastAsia="en-GB"/>
        </w:rPr>
        <w:t>značil</w:t>
      </w:r>
      <w:r w:rsidR="00E87E5C" w:rsidRPr="00275FBD">
        <w:rPr>
          <w:lang w:val="sl-SI" w:eastAsia="en-GB"/>
        </w:rPr>
        <w:t>nosti</w:t>
      </w:r>
      <w:r w:rsidRPr="00275FBD">
        <w:rPr>
          <w:lang w:val="sl-SI" w:eastAsia="en-GB"/>
        </w:rPr>
        <w:t>:</w:t>
      </w:r>
    </w:p>
    <w:p w14:paraId="26D588C7" w14:textId="2A176EB6" w:rsidR="00062DF9" w:rsidRPr="00275FBD" w:rsidRDefault="00062DF9" w:rsidP="00062DF9">
      <w:pPr>
        <w:numPr>
          <w:ilvl w:val="0"/>
          <w:numId w:val="13"/>
        </w:numPr>
        <w:rPr>
          <w:lang w:val="sl-SI"/>
        </w:rPr>
      </w:pPr>
      <w:r w:rsidRPr="00275FBD">
        <w:rPr>
          <w:lang w:val="sl-SI"/>
        </w:rPr>
        <w:t>neposredna povezava z jedrsko varnostjo;</w:t>
      </w:r>
    </w:p>
    <w:p w14:paraId="68ED0645" w14:textId="5FFF0206" w:rsidR="00062DF9" w:rsidRPr="00275FBD" w:rsidRDefault="00062DF9" w:rsidP="00062DF9">
      <w:pPr>
        <w:numPr>
          <w:ilvl w:val="0"/>
          <w:numId w:val="13"/>
        </w:numPr>
        <w:rPr>
          <w:lang w:val="sl-SI"/>
        </w:rPr>
      </w:pPr>
      <w:r w:rsidRPr="00275FBD">
        <w:rPr>
          <w:lang w:val="sl-SI"/>
        </w:rPr>
        <w:t>ponovna ocena osnove za jedrsko varnost;</w:t>
      </w:r>
    </w:p>
    <w:p w14:paraId="681665F2" w14:textId="1DF3A453" w:rsidR="00062DF9" w:rsidRPr="00275FBD" w:rsidRDefault="00CE6729" w:rsidP="00062DF9">
      <w:pPr>
        <w:numPr>
          <w:ilvl w:val="0"/>
          <w:numId w:val="13"/>
        </w:numPr>
        <w:rPr>
          <w:lang w:val="sl-SI"/>
        </w:rPr>
      </w:pPr>
      <w:r w:rsidRPr="00275FBD">
        <w:rPr>
          <w:lang w:val="sl-SI"/>
        </w:rPr>
        <w:t>najdba</w:t>
      </w:r>
      <w:r w:rsidR="00062DF9" w:rsidRPr="00275FBD">
        <w:rPr>
          <w:lang w:val="sl-SI"/>
        </w:rPr>
        <w:t xml:space="preserve"> v zvezi z </w:t>
      </w:r>
      <w:r w:rsidR="001D65DF">
        <w:rPr>
          <w:lang w:val="sl-SI"/>
        </w:rPr>
        <w:t>»</w:t>
      </w:r>
      <w:r w:rsidR="00062DF9" w:rsidRPr="00275FBD">
        <w:rPr>
          <w:lang w:val="sl-SI"/>
        </w:rPr>
        <w:t>mehkimi dejavniki</w:t>
      </w:r>
      <w:r w:rsidR="001D65DF">
        <w:rPr>
          <w:lang w:val="sl-SI"/>
        </w:rPr>
        <w:t>«</w:t>
      </w:r>
      <w:r w:rsidR="00062DF9" w:rsidRPr="00275FBD">
        <w:rPr>
          <w:lang w:val="sl-SI"/>
        </w:rPr>
        <w:t xml:space="preserve"> ali drugimi področji, ki niso povezana z jedrsko varnostjo v zgornjem smislu.</w:t>
      </w:r>
    </w:p>
    <w:p w14:paraId="57735343" w14:textId="475CB7BD" w:rsidR="00062DF9" w:rsidRPr="00275FBD" w:rsidRDefault="00062DF9" w:rsidP="00062DF9">
      <w:pPr>
        <w:rPr>
          <w:lang w:val="sl-SI" w:eastAsia="en-GB"/>
        </w:rPr>
      </w:pPr>
      <w:r w:rsidRPr="00275FBD">
        <w:rPr>
          <w:lang w:val="sl-SI" w:eastAsia="en-GB"/>
        </w:rPr>
        <w:t>Vsak</w:t>
      </w:r>
      <w:r w:rsidR="00CE6729" w:rsidRPr="00275FBD">
        <w:rPr>
          <w:lang w:val="sl-SI" w:eastAsia="en-GB"/>
        </w:rPr>
        <w:t>a</w:t>
      </w:r>
      <w:r w:rsidRPr="00275FBD">
        <w:rPr>
          <w:lang w:val="sl-SI" w:eastAsia="en-GB"/>
        </w:rPr>
        <w:t xml:space="preserve"> </w:t>
      </w:r>
      <w:r w:rsidR="00CE6729" w:rsidRPr="00275FBD">
        <w:rPr>
          <w:lang w:val="sl-SI" w:eastAsia="en-GB"/>
        </w:rPr>
        <w:t>najdba</w:t>
      </w:r>
      <w:r w:rsidRPr="00275FBD">
        <w:rPr>
          <w:lang w:val="sl-SI" w:eastAsia="en-GB"/>
        </w:rPr>
        <w:t xml:space="preserve"> se poveže z </w:t>
      </w:r>
      <w:r w:rsidR="00A91B38" w:rsidRPr="00275FBD">
        <w:rPr>
          <w:lang w:val="sl-SI" w:eastAsia="en-GB"/>
        </w:rPr>
        <w:t>en</w:t>
      </w:r>
      <w:r w:rsidR="00A91B38">
        <w:rPr>
          <w:lang w:val="sl-SI" w:eastAsia="en-GB"/>
        </w:rPr>
        <w:t>o</w:t>
      </w:r>
      <w:r w:rsidR="00A91B38" w:rsidRPr="00275FBD">
        <w:rPr>
          <w:lang w:val="sl-SI" w:eastAsia="en-GB"/>
        </w:rPr>
        <w:t xml:space="preserve"> </w:t>
      </w:r>
      <w:r w:rsidRPr="00275FBD">
        <w:rPr>
          <w:lang w:val="sl-SI" w:eastAsia="en-GB"/>
        </w:rPr>
        <w:t xml:space="preserve">od teh treh splošnih </w:t>
      </w:r>
      <w:r w:rsidR="00A91B38">
        <w:rPr>
          <w:lang w:val="sl-SI" w:eastAsia="en-GB"/>
        </w:rPr>
        <w:t>značil</w:t>
      </w:r>
      <w:r w:rsidR="00A91B38" w:rsidRPr="00275FBD">
        <w:rPr>
          <w:lang w:val="sl-SI" w:eastAsia="en-GB"/>
        </w:rPr>
        <w:t>nosti</w:t>
      </w:r>
      <w:r w:rsidR="00A91B38">
        <w:rPr>
          <w:lang w:val="sl-SI" w:eastAsia="en-GB"/>
        </w:rPr>
        <w:t>,</w:t>
      </w:r>
      <w:r w:rsidR="00A91B38" w:rsidRPr="00275FBD">
        <w:rPr>
          <w:lang w:val="sl-SI" w:eastAsia="en-GB"/>
        </w:rPr>
        <w:t xml:space="preserve"> </w:t>
      </w:r>
      <w:r w:rsidR="00A91B38">
        <w:rPr>
          <w:lang w:val="sl-SI" w:eastAsia="en-GB"/>
        </w:rPr>
        <w:t>n</w:t>
      </w:r>
      <w:r w:rsidR="00A91B38" w:rsidRPr="00275FBD">
        <w:rPr>
          <w:lang w:val="sl-SI" w:eastAsia="en-GB"/>
        </w:rPr>
        <w:t xml:space="preserve">ekatere </w:t>
      </w:r>
      <w:r w:rsidR="00CE6729" w:rsidRPr="00275FBD">
        <w:rPr>
          <w:lang w:val="sl-SI" w:eastAsia="en-GB"/>
        </w:rPr>
        <w:t>najdbe</w:t>
      </w:r>
      <w:r w:rsidRPr="00275FBD">
        <w:rPr>
          <w:lang w:val="sl-SI" w:eastAsia="en-GB"/>
        </w:rPr>
        <w:t xml:space="preserve"> </w:t>
      </w:r>
      <w:r w:rsidR="00A91B38">
        <w:rPr>
          <w:lang w:val="sl-SI" w:eastAsia="en-GB"/>
        </w:rPr>
        <w:t xml:space="preserve">pa </w:t>
      </w:r>
      <w:r w:rsidRPr="00275FBD">
        <w:rPr>
          <w:lang w:val="sl-SI" w:eastAsia="en-GB"/>
        </w:rPr>
        <w:t xml:space="preserve">se lahko nanašajo na več kot eno. V takem primeru se odloči, katera </w:t>
      </w:r>
      <w:r w:rsidR="00A91B38">
        <w:rPr>
          <w:lang w:val="sl-SI" w:eastAsia="en-GB"/>
        </w:rPr>
        <w:t xml:space="preserve">značilnost </w:t>
      </w:r>
      <w:r w:rsidRPr="00275FBD">
        <w:rPr>
          <w:lang w:val="sl-SI" w:eastAsia="en-GB"/>
        </w:rPr>
        <w:t xml:space="preserve">je </w:t>
      </w:r>
      <w:r w:rsidR="004B534A">
        <w:rPr>
          <w:lang w:val="sl-SI" w:eastAsia="en-GB"/>
        </w:rPr>
        <w:t>naj</w:t>
      </w:r>
      <w:r w:rsidRPr="00275FBD">
        <w:rPr>
          <w:lang w:val="sl-SI" w:eastAsia="en-GB"/>
        </w:rPr>
        <w:t>bolj relevantna</w:t>
      </w:r>
      <w:r w:rsidR="00E87E5C">
        <w:rPr>
          <w:lang w:val="sl-SI" w:eastAsia="en-GB"/>
        </w:rPr>
        <w:t xml:space="preserve"> za takšno najdbo</w:t>
      </w:r>
      <w:r w:rsidRPr="00275FBD">
        <w:rPr>
          <w:lang w:val="sl-SI" w:eastAsia="en-GB"/>
        </w:rPr>
        <w:t>.</w:t>
      </w:r>
    </w:p>
    <w:p w14:paraId="6F3EC4BC" w14:textId="0BBA003D" w:rsidR="006C5D3C" w:rsidRPr="00275FBD" w:rsidRDefault="006C5D3C" w:rsidP="006C5D3C">
      <w:pPr>
        <w:rPr>
          <w:lang w:val="sl-SI"/>
        </w:rPr>
      </w:pPr>
      <w:r w:rsidRPr="00275FBD">
        <w:rPr>
          <w:lang w:val="sl-SI"/>
        </w:rPr>
        <w:t xml:space="preserve">Na ta način so vse </w:t>
      </w:r>
      <w:r w:rsidR="00E87E5C">
        <w:rPr>
          <w:lang w:val="sl-SI"/>
        </w:rPr>
        <w:t>najdbe</w:t>
      </w:r>
      <w:r w:rsidR="00E87E5C" w:rsidRPr="00275FBD">
        <w:rPr>
          <w:lang w:val="sl-SI"/>
        </w:rPr>
        <w:t xml:space="preserve"> </w:t>
      </w:r>
      <w:r w:rsidR="00E87E5C">
        <w:rPr>
          <w:lang w:val="sl-SI"/>
        </w:rPr>
        <w:t>po splošnih značilnostih</w:t>
      </w:r>
      <w:r w:rsidR="00E87E5C" w:rsidRPr="00275FBD">
        <w:rPr>
          <w:lang w:val="sl-SI"/>
        </w:rPr>
        <w:t xml:space="preserve"> </w:t>
      </w:r>
      <w:r w:rsidRPr="00275FBD">
        <w:rPr>
          <w:lang w:val="sl-SI"/>
        </w:rPr>
        <w:t>raz</w:t>
      </w:r>
      <w:r w:rsidR="00E87E5C">
        <w:rPr>
          <w:lang w:val="sl-SI"/>
        </w:rPr>
        <w:t>vršč</w:t>
      </w:r>
      <w:r w:rsidRPr="00275FBD">
        <w:rPr>
          <w:lang w:val="sl-SI"/>
        </w:rPr>
        <w:t>ene v tri kategorije:</w:t>
      </w:r>
    </w:p>
    <w:p w14:paraId="560E63B8" w14:textId="4F193CC3" w:rsidR="006C5D3C" w:rsidRPr="00275FBD" w:rsidRDefault="006C5D3C" w:rsidP="006C5D3C">
      <w:pPr>
        <w:numPr>
          <w:ilvl w:val="0"/>
          <w:numId w:val="13"/>
        </w:numPr>
        <w:rPr>
          <w:lang w:val="sl-SI"/>
        </w:rPr>
      </w:pPr>
      <w:r w:rsidRPr="00275FBD">
        <w:rPr>
          <w:lang w:val="sl-SI"/>
        </w:rPr>
        <w:t>»DL« (izhaja od »</w:t>
      </w:r>
      <w:proofErr w:type="spellStart"/>
      <w:r w:rsidRPr="00275FBD">
        <w:rPr>
          <w:lang w:val="sl-SI"/>
        </w:rPr>
        <w:t>Direct</w:t>
      </w:r>
      <w:proofErr w:type="spellEnd"/>
      <w:r w:rsidRPr="00275FBD">
        <w:rPr>
          <w:lang w:val="sl-SI"/>
        </w:rPr>
        <w:t xml:space="preserve"> Link«) ali kategorija </w:t>
      </w:r>
      <w:r w:rsidR="00BD5705" w:rsidRPr="00275FBD">
        <w:rPr>
          <w:lang w:val="sl-SI"/>
        </w:rPr>
        <w:t>najdb,</w:t>
      </w:r>
      <w:r w:rsidRPr="00275FBD">
        <w:rPr>
          <w:lang w:val="sl-SI"/>
        </w:rPr>
        <w:t xml:space="preserve"> pri katerih je mogoče ugotoviti ali prepoznati neposredno povezavo z </w:t>
      </w:r>
      <w:r w:rsidR="00640A58">
        <w:rPr>
          <w:lang w:val="sl-SI"/>
        </w:rPr>
        <w:t xml:space="preserve">jedrsko </w:t>
      </w:r>
      <w:r w:rsidRPr="00275FBD">
        <w:rPr>
          <w:lang w:val="sl-SI"/>
        </w:rPr>
        <w:t xml:space="preserve">varnostjo (neposredni vpliv na varnost); primeri </w:t>
      </w:r>
      <w:r w:rsidR="00BD5705" w:rsidRPr="00275FBD">
        <w:rPr>
          <w:lang w:val="sl-SI"/>
        </w:rPr>
        <w:t xml:space="preserve">najdb </w:t>
      </w:r>
      <w:r w:rsidRPr="00275FBD">
        <w:rPr>
          <w:lang w:val="sl-SI"/>
        </w:rPr>
        <w:t xml:space="preserve">z </w:t>
      </w:r>
      <w:r w:rsidR="001D65DF">
        <w:rPr>
          <w:lang w:val="sl-SI"/>
        </w:rPr>
        <w:t>»</w:t>
      </w:r>
      <w:r w:rsidRPr="00275FBD">
        <w:rPr>
          <w:lang w:val="sl-SI"/>
        </w:rPr>
        <w:t>DL</w:t>
      </w:r>
      <w:r w:rsidR="001D65DF">
        <w:rPr>
          <w:lang w:val="sl-SI"/>
        </w:rPr>
        <w:t>«</w:t>
      </w:r>
      <w:r w:rsidRPr="00275FBD">
        <w:rPr>
          <w:lang w:val="sl-SI"/>
        </w:rPr>
        <w:t xml:space="preserve"> bi bili nerazpoložljivost, povečana nezanesljivost ali poslabšanje opreme; neskladnost zasnove </w:t>
      </w:r>
      <w:r w:rsidR="00640A58">
        <w:rPr>
          <w:lang w:val="sl-SI"/>
        </w:rPr>
        <w:t>z načelom</w:t>
      </w:r>
      <w:r w:rsidR="00536475" w:rsidRPr="00275FBD">
        <w:rPr>
          <w:lang w:val="sl-SI"/>
        </w:rPr>
        <w:t xml:space="preserve"> enojne odpovedi</w:t>
      </w:r>
      <w:r w:rsidRPr="00275FBD">
        <w:rPr>
          <w:lang w:val="sl-SI"/>
        </w:rPr>
        <w:t xml:space="preserve">, </w:t>
      </w:r>
      <w:r w:rsidR="00E87E5C">
        <w:rPr>
          <w:lang w:val="sl-SI"/>
        </w:rPr>
        <w:t xml:space="preserve">zagotovitev </w:t>
      </w:r>
      <w:r w:rsidRPr="00275FBD">
        <w:rPr>
          <w:lang w:val="sl-SI"/>
        </w:rPr>
        <w:t>bivaln</w:t>
      </w:r>
      <w:r w:rsidR="00E87E5C">
        <w:rPr>
          <w:lang w:val="sl-SI"/>
        </w:rPr>
        <w:t>ih pogojev za</w:t>
      </w:r>
      <w:r w:rsidRPr="00275FBD">
        <w:rPr>
          <w:lang w:val="sl-SI"/>
        </w:rPr>
        <w:t xml:space="preserve"> </w:t>
      </w:r>
      <w:r w:rsidR="00E87E5C" w:rsidRPr="00275FBD">
        <w:rPr>
          <w:lang w:val="sl-SI"/>
        </w:rPr>
        <w:t>ko</w:t>
      </w:r>
      <w:r w:rsidR="00E87E5C">
        <w:rPr>
          <w:lang w:val="sl-SI"/>
        </w:rPr>
        <w:t>mand</w:t>
      </w:r>
      <w:r w:rsidR="00E87E5C" w:rsidRPr="00275FBD">
        <w:rPr>
          <w:lang w:val="sl-SI"/>
        </w:rPr>
        <w:t>n</w:t>
      </w:r>
      <w:r w:rsidR="00E87E5C">
        <w:rPr>
          <w:lang w:val="sl-SI"/>
        </w:rPr>
        <w:t>o</w:t>
      </w:r>
      <w:r w:rsidR="00E87E5C" w:rsidRPr="00275FBD">
        <w:rPr>
          <w:lang w:val="sl-SI"/>
        </w:rPr>
        <w:t xml:space="preserve"> sob</w:t>
      </w:r>
      <w:r w:rsidR="00E87E5C">
        <w:rPr>
          <w:lang w:val="sl-SI"/>
        </w:rPr>
        <w:t>o</w:t>
      </w:r>
      <w:r w:rsidR="00E87E5C" w:rsidRPr="00275FBD">
        <w:rPr>
          <w:lang w:val="sl-SI"/>
        </w:rPr>
        <w:t xml:space="preserve"> </w:t>
      </w:r>
      <w:r w:rsidRPr="00275FBD">
        <w:rPr>
          <w:lang w:val="sl-SI"/>
        </w:rPr>
        <w:t>ali dostopnost opreme, neskladnost nameščene opreme z navedenimi okoljskimi zahtevami itd.</w:t>
      </w:r>
    </w:p>
    <w:p w14:paraId="01147AC4" w14:textId="450E754C" w:rsidR="006C5D3C" w:rsidRPr="00275FBD" w:rsidRDefault="006C5D3C" w:rsidP="006C5D3C">
      <w:pPr>
        <w:numPr>
          <w:ilvl w:val="0"/>
          <w:numId w:val="13"/>
        </w:numPr>
        <w:rPr>
          <w:lang w:val="sl-SI"/>
        </w:rPr>
      </w:pPr>
      <w:r w:rsidRPr="00275FBD">
        <w:rPr>
          <w:lang w:val="sl-SI"/>
        </w:rPr>
        <w:t>»RE« (izhaja od »</w:t>
      </w:r>
      <w:proofErr w:type="spellStart"/>
      <w:r w:rsidRPr="00275FBD">
        <w:rPr>
          <w:lang w:val="sl-SI"/>
        </w:rPr>
        <w:t>Reevaluation</w:t>
      </w:r>
      <w:proofErr w:type="spellEnd"/>
      <w:r w:rsidRPr="00275FBD">
        <w:rPr>
          <w:lang w:val="sl-SI"/>
        </w:rPr>
        <w:t xml:space="preserve">«) ali kategorija </w:t>
      </w:r>
      <w:r w:rsidR="00BD5705" w:rsidRPr="00275FBD">
        <w:rPr>
          <w:lang w:val="sl-SI"/>
        </w:rPr>
        <w:t>najdb,</w:t>
      </w:r>
      <w:r w:rsidRPr="00275FBD">
        <w:rPr>
          <w:lang w:val="sl-SI"/>
        </w:rPr>
        <w:t xml:space="preserve"> ki se nanašajo na ponovno oceno osnove jedrske varnosti; primeri </w:t>
      </w:r>
      <w:r w:rsidR="00BD5705" w:rsidRPr="00275FBD">
        <w:rPr>
          <w:lang w:val="sl-SI"/>
        </w:rPr>
        <w:t xml:space="preserve">najdb </w:t>
      </w:r>
      <w:r w:rsidR="001D65DF">
        <w:rPr>
          <w:lang w:val="sl-SI"/>
        </w:rPr>
        <w:t>»</w:t>
      </w:r>
      <w:r w:rsidRPr="00275FBD">
        <w:rPr>
          <w:lang w:val="sl-SI"/>
        </w:rPr>
        <w:t>RE</w:t>
      </w:r>
      <w:r w:rsidR="001D65DF">
        <w:rPr>
          <w:lang w:val="sl-SI"/>
        </w:rPr>
        <w:t>«</w:t>
      </w:r>
      <w:r w:rsidRPr="00275FBD">
        <w:rPr>
          <w:lang w:val="sl-SI"/>
        </w:rPr>
        <w:t xml:space="preserve"> bi bil</w:t>
      </w:r>
      <w:r w:rsidR="00640A58">
        <w:rPr>
          <w:lang w:val="sl-SI"/>
        </w:rPr>
        <w:t>i</w:t>
      </w:r>
      <w:r w:rsidRPr="00275FBD">
        <w:rPr>
          <w:lang w:val="sl-SI"/>
        </w:rPr>
        <w:t xml:space="preserve"> uporaba napačnih predpostavk ali </w:t>
      </w:r>
      <w:r w:rsidR="004B534A">
        <w:rPr>
          <w:lang w:val="sl-SI"/>
        </w:rPr>
        <w:t>vhodnih podatkov</w:t>
      </w:r>
      <w:r w:rsidR="004B534A" w:rsidRPr="00275FBD">
        <w:rPr>
          <w:lang w:val="sl-SI"/>
        </w:rPr>
        <w:t xml:space="preserve"> </w:t>
      </w:r>
      <w:r w:rsidRPr="00275FBD">
        <w:rPr>
          <w:lang w:val="sl-SI"/>
        </w:rPr>
        <w:t xml:space="preserve">za varnostne analize ali vrednotenja, tehnična neustreznost analiz, napačna razlaga ali rezultati varnostnih analiz ali vrednotenj, </w:t>
      </w:r>
      <w:r w:rsidR="00536475" w:rsidRPr="00275FBD">
        <w:rPr>
          <w:lang w:val="sl-SI"/>
        </w:rPr>
        <w:t>pomanjkljivost</w:t>
      </w:r>
      <w:r w:rsidRPr="00275FBD">
        <w:rPr>
          <w:lang w:val="sl-SI"/>
        </w:rPr>
        <w:t xml:space="preserve"> ali neskladnost z veljavnimi mednarodnimi standardi ali praksami za </w:t>
      </w:r>
      <w:r w:rsidRPr="00275FBD">
        <w:rPr>
          <w:lang w:val="sl-SI"/>
        </w:rPr>
        <w:lastRenderedPageBreak/>
        <w:t xml:space="preserve">varnostne analize in verifikacije itd.; načeloma so to </w:t>
      </w:r>
      <w:r w:rsidR="00CE6729" w:rsidRPr="00275FBD">
        <w:rPr>
          <w:lang w:val="sl-SI"/>
        </w:rPr>
        <w:t>najdbe</w:t>
      </w:r>
      <w:r w:rsidRPr="00275FBD">
        <w:rPr>
          <w:lang w:val="sl-SI"/>
        </w:rPr>
        <w:t>, ki bi zahteval</w:t>
      </w:r>
      <w:r w:rsidR="008D2A3E" w:rsidRPr="00275FBD">
        <w:rPr>
          <w:lang w:val="sl-SI"/>
        </w:rPr>
        <w:t>e</w:t>
      </w:r>
      <w:r w:rsidRPr="00275FBD">
        <w:rPr>
          <w:lang w:val="sl-SI"/>
        </w:rPr>
        <w:t xml:space="preserve"> ponovno oceno ali ponovno analizo jedrske varnosti;</w:t>
      </w:r>
    </w:p>
    <w:p w14:paraId="12D87F0E" w14:textId="4ABDE99D" w:rsidR="006C5D3C" w:rsidRPr="00275FBD" w:rsidRDefault="001D65DF" w:rsidP="006C5D3C">
      <w:pPr>
        <w:numPr>
          <w:ilvl w:val="0"/>
          <w:numId w:val="13"/>
        </w:numPr>
        <w:rPr>
          <w:lang w:val="sl-SI"/>
        </w:rPr>
      </w:pPr>
      <w:r>
        <w:rPr>
          <w:lang w:val="sl-SI"/>
        </w:rPr>
        <w:t>»</w:t>
      </w:r>
      <w:r w:rsidR="006C5D3C" w:rsidRPr="00275FBD">
        <w:rPr>
          <w:lang w:val="sl-SI"/>
        </w:rPr>
        <w:t>SF</w:t>
      </w:r>
      <w:r>
        <w:rPr>
          <w:lang w:val="sl-SI"/>
        </w:rPr>
        <w:t>«</w:t>
      </w:r>
      <w:r w:rsidR="006C5D3C" w:rsidRPr="00275FBD">
        <w:rPr>
          <w:lang w:val="sl-SI"/>
        </w:rPr>
        <w:t xml:space="preserve"> (izhaja od »</w:t>
      </w:r>
      <w:proofErr w:type="spellStart"/>
      <w:r w:rsidR="006C5D3C" w:rsidRPr="00275FBD">
        <w:rPr>
          <w:lang w:val="sl-SI"/>
        </w:rPr>
        <w:t>Soft</w:t>
      </w:r>
      <w:proofErr w:type="spellEnd"/>
      <w:r w:rsidR="006C5D3C" w:rsidRPr="00275FBD">
        <w:rPr>
          <w:lang w:val="sl-SI"/>
        </w:rPr>
        <w:t xml:space="preserve"> </w:t>
      </w:r>
      <w:proofErr w:type="spellStart"/>
      <w:r w:rsidR="006C5D3C" w:rsidRPr="00275FBD">
        <w:rPr>
          <w:lang w:val="sl-SI"/>
        </w:rPr>
        <w:t>Factor</w:t>
      </w:r>
      <w:proofErr w:type="spellEnd"/>
      <w:r w:rsidR="006C5D3C" w:rsidRPr="00275FBD">
        <w:rPr>
          <w:lang w:val="sl-SI"/>
        </w:rPr>
        <w:t xml:space="preserve">«) ali kategorija </w:t>
      </w:r>
      <w:r w:rsidR="00BD5705" w:rsidRPr="00275FBD">
        <w:rPr>
          <w:lang w:val="sl-SI"/>
        </w:rPr>
        <w:t>najdb,</w:t>
      </w:r>
      <w:r w:rsidR="006C5D3C" w:rsidRPr="00275FBD">
        <w:rPr>
          <w:lang w:val="sl-SI"/>
        </w:rPr>
        <w:t xml:space="preserve"> povezanih z </w:t>
      </w:r>
      <w:r>
        <w:rPr>
          <w:lang w:val="sl-SI"/>
        </w:rPr>
        <w:t>»</w:t>
      </w:r>
      <w:r w:rsidR="006C5D3C" w:rsidRPr="00275FBD">
        <w:rPr>
          <w:lang w:val="sl-SI"/>
        </w:rPr>
        <w:t>mehkimi dejavniki</w:t>
      </w:r>
      <w:r>
        <w:rPr>
          <w:lang w:val="sl-SI"/>
        </w:rPr>
        <w:t>«</w:t>
      </w:r>
      <w:r w:rsidR="006C5D3C" w:rsidRPr="00275FBD">
        <w:rPr>
          <w:lang w:val="sl-SI"/>
        </w:rPr>
        <w:t xml:space="preserve"> ali drugimi področji, ki niso povezana z jedrsko varnostjo</w:t>
      </w:r>
      <w:r w:rsidR="000D177A">
        <w:rPr>
          <w:lang w:val="sl-SI"/>
        </w:rPr>
        <w:t>,</w:t>
      </w:r>
      <w:r w:rsidR="006C5D3C" w:rsidRPr="00275FBD">
        <w:rPr>
          <w:lang w:val="sl-SI"/>
        </w:rPr>
        <w:t xml:space="preserve"> </w:t>
      </w:r>
      <w:r w:rsidR="004B534A">
        <w:rPr>
          <w:lang w:val="sl-SI"/>
        </w:rPr>
        <w:t xml:space="preserve">kot je navedeno </w:t>
      </w:r>
      <w:r w:rsidR="006C5D3C" w:rsidRPr="00275FBD">
        <w:rPr>
          <w:lang w:val="sl-SI"/>
        </w:rPr>
        <w:t xml:space="preserve">v </w:t>
      </w:r>
      <w:r w:rsidR="004B534A">
        <w:rPr>
          <w:lang w:val="sl-SI"/>
        </w:rPr>
        <w:t>ostalih dveh kategorijah</w:t>
      </w:r>
      <w:r w:rsidR="006C5D3C" w:rsidRPr="00275FBD">
        <w:rPr>
          <w:lang w:val="sl-SI"/>
        </w:rPr>
        <w:t xml:space="preserve">; primeri </w:t>
      </w:r>
      <w:r>
        <w:rPr>
          <w:lang w:val="sl-SI"/>
        </w:rPr>
        <w:t>»</w:t>
      </w:r>
      <w:r w:rsidR="006C5D3C" w:rsidRPr="00275FBD">
        <w:rPr>
          <w:lang w:val="sl-SI"/>
        </w:rPr>
        <w:t>mehkega dejavnika</w:t>
      </w:r>
      <w:r>
        <w:rPr>
          <w:lang w:val="sl-SI"/>
        </w:rPr>
        <w:t>«</w:t>
      </w:r>
      <w:r w:rsidR="006C5D3C" w:rsidRPr="00275FBD">
        <w:rPr>
          <w:lang w:val="sl-SI"/>
        </w:rPr>
        <w:t xml:space="preserve"> bi bile neustreznosti v organizacijski strukturi (npr. </w:t>
      </w:r>
      <w:r w:rsidR="004B534A">
        <w:rPr>
          <w:lang w:val="sl-SI"/>
        </w:rPr>
        <w:t>glede</w:t>
      </w:r>
      <w:r w:rsidR="00536475" w:rsidRPr="00275FBD">
        <w:rPr>
          <w:lang w:val="sl-SI"/>
        </w:rPr>
        <w:t xml:space="preserve"> števil</w:t>
      </w:r>
      <w:r w:rsidR="004B534A">
        <w:rPr>
          <w:lang w:val="sl-SI"/>
        </w:rPr>
        <w:t>a</w:t>
      </w:r>
      <w:r w:rsidR="006C5D3C" w:rsidRPr="00275FBD">
        <w:rPr>
          <w:lang w:val="sl-SI"/>
        </w:rPr>
        <w:t xml:space="preserve"> ali kvalifikacij</w:t>
      </w:r>
      <w:r w:rsidR="004B534A" w:rsidRPr="004B534A">
        <w:rPr>
          <w:lang w:val="sl-SI"/>
        </w:rPr>
        <w:t xml:space="preserve"> </w:t>
      </w:r>
      <w:r w:rsidR="004B534A" w:rsidRPr="00275FBD">
        <w:rPr>
          <w:lang w:val="sl-SI"/>
        </w:rPr>
        <w:t>osebja</w:t>
      </w:r>
      <w:r w:rsidR="006C5D3C" w:rsidRPr="00275FBD">
        <w:rPr>
          <w:lang w:val="sl-SI"/>
        </w:rPr>
        <w:t>), neustreznosti v programih usposabljanja in kvalifikacij</w:t>
      </w:r>
      <w:r w:rsidR="005662F6">
        <w:rPr>
          <w:lang w:val="sl-SI"/>
        </w:rPr>
        <w:t xml:space="preserve"> osebja</w:t>
      </w:r>
      <w:r w:rsidR="006C5D3C" w:rsidRPr="00275FBD">
        <w:rPr>
          <w:lang w:val="sl-SI"/>
        </w:rPr>
        <w:t xml:space="preserve">, </w:t>
      </w:r>
      <w:r w:rsidR="00B1343F" w:rsidRPr="00275FBD">
        <w:rPr>
          <w:lang w:val="sl-SI"/>
        </w:rPr>
        <w:t xml:space="preserve">najdbe </w:t>
      </w:r>
      <w:r w:rsidR="005662F6">
        <w:rPr>
          <w:lang w:val="sl-SI"/>
        </w:rPr>
        <w:t>glede projektiranja na osnovi</w:t>
      </w:r>
      <w:r w:rsidR="006C5D3C" w:rsidRPr="00275FBD">
        <w:rPr>
          <w:lang w:val="sl-SI"/>
        </w:rPr>
        <w:t xml:space="preserve"> človeškega dejavnika, </w:t>
      </w:r>
      <w:r w:rsidR="005662F6">
        <w:rPr>
          <w:lang w:val="sl-SI"/>
        </w:rPr>
        <w:t xml:space="preserve">najdbe glede </w:t>
      </w:r>
      <w:r w:rsidR="006C5D3C" w:rsidRPr="00275FBD">
        <w:rPr>
          <w:lang w:val="sl-SI"/>
        </w:rPr>
        <w:t>kakovost</w:t>
      </w:r>
      <w:r w:rsidR="005662F6">
        <w:rPr>
          <w:lang w:val="sl-SI"/>
        </w:rPr>
        <w:t>i</w:t>
      </w:r>
      <w:r w:rsidR="006C5D3C" w:rsidRPr="00275FBD">
        <w:rPr>
          <w:lang w:val="sl-SI"/>
        </w:rPr>
        <w:t xml:space="preserve"> postopkov</w:t>
      </w:r>
      <w:r w:rsidR="005662F6">
        <w:rPr>
          <w:lang w:val="sl-SI"/>
        </w:rPr>
        <w:t xml:space="preserve"> ali procesov (</w:t>
      </w:r>
      <w:r w:rsidR="006C5D3C" w:rsidRPr="00275FBD">
        <w:rPr>
          <w:lang w:val="sl-SI"/>
        </w:rPr>
        <w:t xml:space="preserve">itd.; primeri </w:t>
      </w:r>
      <w:r w:rsidR="00BD5705" w:rsidRPr="00275FBD">
        <w:rPr>
          <w:lang w:val="sl-SI"/>
        </w:rPr>
        <w:t xml:space="preserve">najdb </w:t>
      </w:r>
      <w:r w:rsidR="006C5D3C" w:rsidRPr="00275FBD">
        <w:rPr>
          <w:lang w:val="sl-SI"/>
        </w:rPr>
        <w:t xml:space="preserve">z </w:t>
      </w:r>
      <w:r>
        <w:rPr>
          <w:lang w:val="sl-SI"/>
        </w:rPr>
        <w:t>»</w:t>
      </w:r>
      <w:r w:rsidR="006C5D3C" w:rsidRPr="00275FBD">
        <w:rPr>
          <w:lang w:val="sl-SI"/>
        </w:rPr>
        <w:t>drugih področij</w:t>
      </w:r>
      <w:r>
        <w:rPr>
          <w:lang w:val="sl-SI"/>
        </w:rPr>
        <w:t>«</w:t>
      </w:r>
      <w:r w:rsidR="006C5D3C" w:rsidRPr="00275FBD">
        <w:rPr>
          <w:lang w:val="sl-SI"/>
        </w:rPr>
        <w:t>, ki niso povezana z jedrsko varnostjo</w:t>
      </w:r>
      <w:r w:rsidR="000D177A">
        <w:rPr>
          <w:lang w:val="sl-SI"/>
        </w:rPr>
        <w:t>,</w:t>
      </w:r>
      <w:r w:rsidR="005662F6">
        <w:rPr>
          <w:lang w:val="sl-SI"/>
        </w:rPr>
        <w:t xml:space="preserve"> kot je to</w:t>
      </w:r>
      <w:r w:rsidR="006C5D3C" w:rsidRPr="00275FBD">
        <w:rPr>
          <w:lang w:val="sl-SI"/>
        </w:rPr>
        <w:t xml:space="preserve"> obravnavan</w:t>
      </w:r>
      <w:r w:rsidR="005662F6">
        <w:rPr>
          <w:lang w:val="sl-SI"/>
        </w:rPr>
        <w:t>o v ostalih dveh kategorijah</w:t>
      </w:r>
      <w:r w:rsidR="000D177A">
        <w:rPr>
          <w:lang w:val="sl-SI"/>
        </w:rPr>
        <w:t>);</w:t>
      </w:r>
      <w:r w:rsidR="006C5D3C" w:rsidRPr="00275FBD">
        <w:rPr>
          <w:lang w:val="sl-SI"/>
        </w:rPr>
        <w:t xml:space="preserve"> </w:t>
      </w:r>
      <w:r w:rsidR="00CE6729" w:rsidRPr="00275FBD">
        <w:rPr>
          <w:lang w:val="sl-SI"/>
        </w:rPr>
        <w:t xml:space="preserve">najdbe </w:t>
      </w:r>
      <w:r w:rsidR="005662F6">
        <w:rPr>
          <w:lang w:val="sl-SI"/>
        </w:rPr>
        <w:t>iz varstva pred sevanji</w:t>
      </w:r>
      <w:r w:rsidR="006C5D3C" w:rsidRPr="00275FBD">
        <w:rPr>
          <w:lang w:val="sl-SI"/>
        </w:rPr>
        <w:t xml:space="preserve"> (ki niso povezan</w:t>
      </w:r>
      <w:r w:rsidR="005662F6">
        <w:rPr>
          <w:lang w:val="sl-SI"/>
        </w:rPr>
        <w:t>e</w:t>
      </w:r>
      <w:r w:rsidR="006C5D3C" w:rsidRPr="00275FBD">
        <w:rPr>
          <w:lang w:val="sl-SI"/>
        </w:rPr>
        <w:t xml:space="preserve"> z jedrskim gorivom); </w:t>
      </w:r>
      <w:r w:rsidR="00CE6729" w:rsidRPr="00275FBD">
        <w:rPr>
          <w:lang w:val="sl-SI"/>
        </w:rPr>
        <w:t>najdbe</w:t>
      </w:r>
      <w:r w:rsidR="005662F6">
        <w:rPr>
          <w:lang w:val="sl-SI"/>
        </w:rPr>
        <w:t xml:space="preserve"> glede varstva pri delu</w:t>
      </w:r>
      <w:r w:rsidR="006C5D3C" w:rsidRPr="00275FBD">
        <w:rPr>
          <w:lang w:val="sl-SI"/>
        </w:rPr>
        <w:t xml:space="preserve"> (</w:t>
      </w:r>
      <w:r w:rsidR="00CE6729" w:rsidRPr="00275FBD">
        <w:rPr>
          <w:lang w:val="sl-SI"/>
        </w:rPr>
        <w:t>najdbe</w:t>
      </w:r>
      <w:r w:rsidR="006C5D3C" w:rsidRPr="00275FBD">
        <w:rPr>
          <w:lang w:val="sl-SI"/>
        </w:rPr>
        <w:t xml:space="preserve"> varovanja zdravja delavcev, </w:t>
      </w:r>
      <w:r w:rsidR="005662F6" w:rsidRPr="00275FBD">
        <w:rPr>
          <w:lang w:val="sl-SI"/>
        </w:rPr>
        <w:t>neradiološk</w:t>
      </w:r>
      <w:r w:rsidR="005662F6">
        <w:rPr>
          <w:lang w:val="sl-SI"/>
        </w:rPr>
        <w:t>e</w:t>
      </w:r>
      <w:r w:rsidR="006C5D3C" w:rsidRPr="00275FBD">
        <w:rPr>
          <w:lang w:val="sl-SI"/>
        </w:rPr>
        <w:t>) itd.</w:t>
      </w:r>
    </w:p>
    <w:p w14:paraId="5B79854C" w14:textId="11A12E2D" w:rsidR="00536475" w:rsidRPr="00275FBD" w:rsidRDefault="00CE6729" w:rsidP="00536475">
      <w:pPr>
        <w:rPr>
          <w:lang w:val="sl-SI" w:eastAsia="en-GB"/>
        </w:rPr>
      </w:pPr>
      <w:r w:rsidRPr="00275FBD">
        <w:rPr>
          <w:lang w:val="sl-SI" w:eastAsia="en-GB"/>
        </w:rPr>
        <w:t>Najdbe</w:t>
      </w:r>
      <w:r w:rsidR="00536475" w:rsidRPr="00275FBD">
        <w:rPr>
          <w:lang w:val="sl-SI" w:eastAsia="en-GB"/>
        </w:rPr>
        <w:t xml:space="preserve"> so bil</w:t>
      </w:r>
      <w:r w:rsidRPr="00275FBD">
        <w:rPr>
          <w:lang w:val="sl-SI" w:eastAsia="en-GB"/>
        </w:rPr>
        <w:t>e</w:t>
      </w:r>
      <w:r w:rsidR="00536475" w:rsidRPr="00275FBD">
        <w:rPr>
          <w:lang w:val="sl-SI" w:eastAsia="en-GB"/>
        </w:rPr>
        <w:t xml:space="preserve"> razdeljen</w:t>
      </w:r>
      <w:r w:rsidRPr="00275FBD">
        <w:rPr>
          <w:lang w:val="sl-SI" w:eastAsia="en-GB"/>
        </w:rPr>
        <w:t>e</w:t>
      </w:r>
      <w:r w:rsidR="00536475" w:rsidRPr="00275FBD">
        <w:rPr>
          <w:lang w:val="sl-SI" w:eastAsia="en-GB"/>
        </w:rPr>
        <w:t xml:space="preserve"> v te tri kategorije z razlog</w:t>
      </w:r>
      <w:r w:rsidR="000C5EF1" w:rsidRPr="00275FBD">
        <w:rPr>
          <w:lang w:val="sl-SI" w:eastAsia="en-GB"/>
        </w:rPr>
        <w:t>om</w:t>
      </w:r>
      <w:r w:rsidR="00536475" w:rsidRPr="00275FBD">
        <w:rPr>
          <w:lang w:val="sl-SI" w:eastAsia="en-GB"/>
        </w:rPr>
        <w:t xml:space="preserve">, ker so vrednotenja pomembnosti in uporabljeni kriteriji različni za </w:t>
      </w:r>
      <w:r w:rsidR="000C5EF1" w:rsidRPr="00275FBD">
        <w:rPr>
          <w:lang w:val="sl-SI" w:eastAsia="en-GB"/>
        </w:rPr>
        <w:t xml:space="preserve">omenjene </w:t>
      </w:r>
      <w:r w:rsidR="00536475" w:rsidRPr="00275FBD">
        <w:rPr>
          <w:lang w:val="sl-SI" w:eastAsia="en-GB"/>
        </w:rPr>
        <w:t xml:space="preserve">tri </w:t>
      </w:r>
      <w:r w:rsidR="00997B22">
        <w:rPr>
          <w:lang w:val="sl-SI" w:eastAsia="en-GB"/>
        </w:rPr>
        <w:t>kategorije</w:t>
      </w:r>
      <w:r w:rsidR="00536475" w:rsidRPr="00275FBD">
        <w:rPr>
          <w:lang w:val="sl-SI" w:eastAsia="en-GB"/>
        </w:rPr>
        <w:t xml:space="preserve">. </w:t>
      </w:r>
      <w:r w:rsidRPr="00275FBD">
        <w:rPr>
          <w:lang w:val="sl-SI" w:eastAsia="en-GB"/>
        </w:rPr>
        <w:t>Najdbe</w:t>
      </w:r>
      <w:r w:rsidR="00536475" w:rsidRPr="00275FBD">
        <w:rPr>
          <w:lang w:val="sl-SI" w:eastAsia="en-GB"/>
        </w:rPr>
        <w:t xml:space="preserve"> iz kategorij </w:t>
      </w:r>
      <w:r w:rsidR="001D65DF">
        <w:rPr>
          <w:lang w:val="sl-SI" w:eastAsia="en-GB"/>
        </w:rPr>
        <w:t>»</w:t>
      </w:r>
      <w:r w:rsidR="00536475" w:rsidRPr="00275FBD">
        <w:rPr>
          <w:lang w:val="sl-SI" w:eastAsia="en-GB"/>
        </w:rPr>
        <w:t>DL</w:t>
      </w:r>
      <w:r w:rsidR="001D65DF">
        <w:rPr>
          <w:lang w:val="sl-SI" w:eastAsia="en-GB"/>
        </w:rPr>
        <w:t>«</w:t>
      </w:r>
      <w:r w:rsidR="00536475" w:rsidRPr="00275FBD">
        <w:rPr>
          <w:lang w:val="sl-SI" w:eastAsia="en-GB"/>
        </w:rPr>
        <w:t xml:space="preserve"> in </w:t>
      </w:r>
      <w:r w:rsidR="001D65DF">
        <w:rPr>
          <w:lang w:val="sl-SI" w:eastAsia="en-GB"/>
        </w:rPr>
        <w:t>»</w:t>
      </w:r>
      <w:r w:rsidR="00536475" w:rsidRPr="00275FBD">
        <w:rPr>
          <w:lang w:val="sl-SI" w:eastAsia="en-GB"/>
        </w:rPr>
        <w:t>RE</w:t>
      </w:r>
      <w:r w:rsidR="001D65DF">
        <w:rPr>
          <w:lang w:val="sl-SI" w:eastAsia="en-GB"/>
        </w:rPr>
        <w:t>«</w:t>
      </w:r>
      <w:r w:rsidR="00536475" w:rsidRPr="00275FBD">
        <w:rPr>
          <w:lang w:val="sl-SI" w:eastAsia="en-GB"/>
        </w:rPr>
        <w:t xml:space="preserve"> so običajno </w:t>
      </w:r>
      <w:r w:rsidR="00587638">
        <w:rPr>
          <w:lang w:val="sl-SI" w:eastAsia="en-GB"/>
        </w:rPr>
        <w:t>neposredno</w:t>
      </w:r>
      <w:r w:rsidR="00536475" w:rsidRPr="00275FBD">
        <w:rPr>
          <w:lang w:val="sl-SI" w:eastAsia="en-GB"/>
        </w:rPr>
        <w:t xml:space="preserve"> </w:t>
      </w:r>
      <w:r w:rsidR="00587638" w:rsidRPr="00275FBD">
        <w:rPr>
          <w:lang w:val="sl-SI" w:eastAsia="en-GB"/>
        </w:rPr>
        <w:t>povezan</w:t>
      </w:r>
      <w:r w:rsidR="00587638">
        <w:rPr>
          <w:lang w:val="sl-SI" w:eastAsia="en-GB"/>
        </w:rPr>
        <w:t>e</w:t>
      </w:r>
      <w:r w:rsidR="00587638" w:rsidRPr="00275FBD">
        <w:rPr>
          <w:lang w:val="sl-SI" w:eastAsia="en-GB"/>
        </w:rPr>
        <w:t xml:space="preserve"> </w:t>
      </w:r>
      <w:r w:rsidR="00536475" w:rsidRPr="00275FBD">
        <w:rPr>
          <w:lang w:val="sl-SI" w:eastAsia="en-GB"/>
        </w:rPr>
        <w:t xml:space="preserve">z </w:t>
      </w:r>
      <w:r w:rsidR="006103AD" w:rsidRPr="00275FBD">
        <w:rPr>
          <w:lang w:val="sl-SI" w:eastAsia="en-GB"/>
        </w:rPr>
        <w:t>načel</w:t>
      </w:r>
      <w:r w:rsidR="006103AD">
        <w:rPr>
          <w:lang w:val="sl-SI" w:eastAsia="en-GB"/>
        </w:rPr>
        <w:t>om</w:t>
      </w:r>
      <w:r w:rsidR="006103AD" w:rsidRPr="00275FBD">
        <w:rPr>
          <w:lang w:val="sl-SI" w:eastAsia="en-GB"/>
        </w:rPr>
        <w:t xml:space="preserve"> </w:t>
      </w:r>
      <w:r w:rsidR="00536475" w:rsidRPr="00275FBD">
        <w:rPr>
          <w:lang w:val="sl-SI" w:eastAsia="en-GB"/>
        </w:rPr>
        <w:t xml:space="preserve">obrambe </w:t>
      </w:r>
      <w:r w:rsidR="000C5EF1" w:rsidRPr="00275FBD">
        <w:rPr>
          <w:lang w:val="sl-SI" w:eastAsia="en-GB"/>
        </w:rPr>
        <w:t xml:space="preserve">v globino </w:t>
      </w:r>
      <w:r w:rsidR="00536475" w:rsidRPr="00275FBD">
        <w:rPr>
          <w:lang w:val="sl-SI" w:eastAsia="en-GB"/>
        </w:rPr>
        <w:t>in/ali tveganjem. Zaradi tega se njihov</w:t>
      </w:r>
      <w:r w:rsidR="00400B86">
        <w:rPr>
          <w:lang w:val="sl-SI" w:eastAsia="en-GB"/>
        </w:rPr>
        <w:t>a</w:t>
      </w:r>
      <w:r w:rsidR="00536475" w:rsidRPr="00275FBD">
        <w:rPr>
          <w:lang w:val="sl-SI" w:eastAsia="en-GB"/>
        </w:rPr>
        <w:t xml:space="preserve"> </w:t>
      </w:r>
      <w:r w:rsidR="00400B86" w:rsidRPr="00275FBD">
        <w:rPr>
          <w:lang w:val="sl-SI" w:eastAsia="en-GB"/>
        </w:rPr>
        <w:t>pome</w:t>
      </w:r>
      <w:r w:rsidR="00400B86">
        <w:rPr>
          <w:lang w:val="sl-SI" w:eastAsia="en-GB"/>
        </w:rPr>
        <w:t>mbnost</w:t>
      </w:r>
      <w:r w:rsidR="00536475" w:rsidRPr="00275FBD">
        <w:rPr>
          <w:lang w:val="sl-SI" w:eastAsia="en-GB"/>
        </w:rPr>
        <w:t xml:space="preserve"> ocenjuje glede na </w:t>
      </w:r>
      <w:r w:rsidR="001D65DF">
        <w:rPr>
          <w:lang w:val="sl-SI" w:eastAsia="en-GB"/>
        </w:rPr>
        <w:t>»</w:t>
      </w:r>
      <w:r w:rsidR="00587638" w:rsidRPr="001078E0">
        <w:rPr>
          <w:lang w:val="sl-SI" w:eastAsia="en-GB"/>
        </w:rPr>
        <w:t xml:space="preserve">globino </w:t>
      </w:r>
      <w:r w:rsidR="00536475" w:rsidRPr="00275FBD">
        <w:rPr>
          <w:lang w:val="sl-SI" w:eastAsia="en-GB"/>
        </w:rPr>
        <w:t>obramb</w:t>
      </w:r>
      <w:r w:rsidR="00587638">
        <w:rPr>
          <w:lang w:val="sl-SI" w:eastAsia="en-GB"/>
        </w:rPr>
        <w:t>e«</w:t>
      </w:r>
      <w:r w:rsidR="00536475" w:rsidRPr="00275FBD">
        <w:rPr>
          <w:lang w:val="sl-SI" w:eastAsia="en-GB"/>
        </w:rPr>
        <w:t xml:space="preserve"> (</w:t>
      </w:r>
      <w:r w:rsidR="00C727FA" w:rsidRPr="00275FBD">
        <w:rPr>
          <w:lang w:val="sl-SI" w:eastAsia="en-GB"/>
        </w:rPr>
        <w:t>»</w:t>
      </w:r>
      <w:proofErr w:type="spellStart"/>
      <w:r w:rsidR="00C727FA" w:rsidRPr="00275FBD">
        <w:rPr>
          <w:lang w:val="sl-SI" w:eastAsia="en-GB"/>
        </w:rPr>
        <w:t>Depth</w:t>
      </w:r>
      <w:proofErr w:type="spellEnd"/>
      <w:r w:rsidR="00C727FA" w:rsidRPr="00275FBD">
        <w:rPr>
          <w:lang w:val="sl-SI" w:eastAsia="en-GB"/>
        </w:rPr>
        <w:t xml:space="preserve"> of </w:t>
      </w:r>
      <w:proofErr w:type="spellStart"/>
      <w:r w:rsidR="00C727FA" w:rsidRPr="00275FBD">
        <w:rPr>
          <w:lang w:val="sl-SI" w:eastAsia="en-GB"/>
        </w:rPr>
        <w:t>Defense</w:t>
      </w:r>
      <w:proofErr w:type="spellEnd"/>
      <w:r w:rsidR="00C727FA" w:rsidRPr="00275FBD">
        <w:rPr>
          <w:lang w:val="sl-SI" w:eastAsia="en-GB"/>
        </w:rPr>
        <w:t xml:space="preserve">«, </w:t>
      </w:r>
      <w:r w:rsidR="00536475" w:rsidRPr="00275FBD">
        <w:rPr>
          <w:lang w:val="sl-SI" w:eastAsia="en-GB"/>
        </w:rPr>
        <w:t xml:space="preserve">DOD) ali glede na tveganje. Zadeve »RE« lahko </w:t>
      </w:r>
      <w:r w:rsidR="005B0E69" w:rsidRPr="00275FBD">
        <w:rPr>
          <w:lang w:val="sl-SI" w:eastAsia="en-GB"/>
        </w:rPr>
        <w:t>ocenjuje</w:t>
      </w:r>
      <w:r w:rsidR="00536475" w:rsidRPr="00275FBD">
        <w:rPr>
          <w:lang w:val="sl-SI" w:eastAsia="en-GB"/>
        </w:rPr>
        <w:t xml:space="preserve">mo tudi glede </w:t>
      </w:r>
      <w:r w:rsidR="005B0E69" w:rsidRPr="00275FBD">
        <w:rPr>
          <w:lang w:val="sl-SI" w:eastAsia="en-GB"/>
        </w:rPr>
        <w:t>nesklad</w:t>
      </w:r>
      <w:r w:rsidR="005B0E69">
        <w:rPr>
          <w:lang w:val="sl-SI" w:eastAsia="en-GB"/>
        </w:rPr>
        <w:t>ij</w:t>
      </w:r>
      <w:r w:rsidR="005B0E69" w:rsidRPr="00275FBD">
        <w:rPr>
          <w:lang w:val="sl-SI" w:eastAsia="en-GB"/>
        </w:rPr>
        <w:t xml:space="preserve"> </w:t>
      </w:r>
      <w:r w:rsidR="00536475" w:rsidRPr="00275FBD">
        <w:rPr>
          <w:lang w:val="sl-SI" w:eastAsia="en-GB"/>
        </w:rPr>
        <w:t xml:space="preserve">z mednarodnimi standardi </w:t>
      </w:r>
      <w:r w:rsidR="005B0E69">
        <w:rPr>
          <w:lang w:val="sl-SI" w:eastAsia="en-GB"/>
        </w:rPr>
        <w:t xml:space="preserve">za </w:t>
      </w:r>
      <w:r w:rsidR="00536475" w:rsidRPr="00275FBD">
        <w:rPr>
          <w:lang w:val="sl-SI" w:eastAsia="en-GB"/>
        </w:rPr>
        <w:t>jedrsk</w:t>
      </w:r>
      <w:r w:rsidR="005B0E69">
        <w:rPr>
          <w:lang w:val="sl-SI" w:eastAsia="en-GB"/>
        </w:rPr>
        <w:t>o</w:t>
      </w:r>
      <w:r w:rsidR="00536475" w:rsidRPr="00275FBD">
        <w:rPr>
          <w:lang w:val="sl-SI" w:eastAsia="en-GB"/>
        </w:rPr>
        <w:t xml:space="preserve"> varnost.</w:t>
      </w:r>
    </w:p>
    <w:p w14:paraId="3CE5EBD2" w14:textId="22CD0635" w:rsidR="00536475" w:rsidRPr="00275FBD" w:rsidRDefault="00536475" w:rsidP="00536475">
      <w:pPr>
        <w:rPr>
          <w:lang w:val="sl-SI" w:eastAsia="en-GB"/>
        </w:rPr>
      </w:pPr>
      <w:r w:rsidRPr="00A740A6">
        <w:rPr>
          <w:lang w:val="sl-SI" w:eastAsia="en-GB"/>
        </w:rPr>
        <w:t xml:space="preserve">Pri </w:t>
      </w:r>
      <w:r w:rsidR="00395621" w:rsidRPr="00A740A6">
        <w:rPr>
          <w:lang w:val="sl-SI" w:eastAsia="en-GB"/>
        </w:rPr>
        <w:t>najdbah</w:t>
      </w:r>
      <w:r w:rsidRPr="00A740A6">
        <w:rPr>
          <w:lang w:val="sl-SI" w:eastAsia="en-GB"/>
        </w:rPr>
        <w:t xml:space="preserve"> iz kategorije </w:t>
      </w:r>
      <w:r w:rsidR="001D65DF" w:rsidRPr="00A740A6">
        <w:rPr>
          <w:lang w:val="sl-SI" w:eastAsia="en-GB"/>
        </w:rPr>
        <w:t>»</w:t>
      </w:r>
      <w:r w:rsidRPr="00A740A6">
        <w:rPr>
          <w:lang w:val="sl-SI" w:eastAsia="en-GB"/>
        </w:rPr>
        <w:t>SF</w:t>
      </w:r>
      <w:r w:rsidR="001D65DF" w:rsidRPr="00A740A6">
        <w:rPr>
          <w:lang w:val="sl-SI" w:eastAsia="en-GB"/>
        </w:rPr>
        <w:t>«</w:t>
      </w:r>
      <w:r w:rsidRPr="00A740A6">
        <w:rPr>
          <w:lang w:val="sl-SI" w:eastAsia="en-GB"/>
        </w:rPr>
        <w:t xml:space="preserve"> povezava do obrambe</w:t>
      </w:r>
      <w:r w:rsidR="001078E0" w:rsidRPr="00A740A6">
        <w:rPr>
          <w:lang w:val="sl-SI"/>
        </w:rPr>
        <w:t xml:space="preserve"> </w:t>
      </w:r>
      <w:r w:rsidR="001078E0" w:rsidRPr="00A740A6">
        <w:rPr>
          <w:lang w:val="sl-SI" w:eastAsia="en-GB"/>
        </w:rPr>
        <w:t>v globino</w:t>
      </w:r>
      <w:r w:rsidRPr="00A740A6">
        <w:rPr>
          <w:lang w:val="sl-SI" w:eastAsia="en-GB"/>
        </w:rPr>
        <w:t xml:space="preserve"> in tveganja za jedrsko</w:t>
      </w:r>
      <w:r w:rsidRPr="00275FBD">
        <w:rPr>
          <w:lang w:val="sl-SI" w:eastAsia="en-GB"/>
        </w:rPr>
        <w:t xml:space="preserve"> gorivo ni </w:t>
      </w:r>
      <w:r w:rsidR="005B0E69">
        <w:rPr>
          <w:lang w:val="sl-SI" w:eastAsia="en-GB"/>
        </w:rPr>
        <w:t>razvidna</w:t>
      </w:r>
      <w:r w:rsidRPr="00275FBD">
        <w:rPr>
          <w:lang w:val="sl-SI" w:eastAsia="en-GB"/>
        </w:rPr>
        <w:t xml:space="preserve"> (npr. </w:t>
      </w:r>
      <w:r w:rsidR="001D65DF">
        <w:rPr>
          <w:lang w:val="sl-SI" w:eastAsia="en-GB"/>
        </w:rPr>
        <w:t>»</w:t>
      </w:r>
      <w:r w:rsidRPr="00275FBD">
        <w:rPr>
          <w:lang w:val="sl-SI" w:eastAsia="en-GB"/>
        </w:rPr>
        <w:t>mehki dejavniki</w:t>
      </w:r>
      <w:r w:rsidR="001D65DF">
        <w:rPr>
          <w:lang w:val="sl-SI" w:eastAsia="en-GB"/>
        </w:rPr>
        <w:t>«</w:t>
      </w:r>
      <w:r w:rsidRPr="00275FBD">
        <w:rPr>
          <w:lang w:val="sl-SI" w:eastAsia="en-GB"/>
        </w:rPr>
        <w:t xml:space="preserve">) ali </w:t>
      </w:r>
      <w:r w:rsidR="005B0E69">
        <w:rPr>
          <w:lang w:val="sl-SI" w:eastAsia="en-GB"/>
        </w:rPr>
        <w:t>pa</w:t>
      </w:r>
      <w:r w:rsidRPr="00275FBD">
        <w:rPr>
          <w:lang w:val="sl-SI" w:eastAsia="en-GB"/>
        </w:rPr>
        <w:t xml:space="preserve"> ne obstaja (npr. </w:t>
      </w:r>
      <w:r w:rsidR="005B0E69">
        <w:rPr>
          <w:lang w:val="sl-SI" w:eastAsia="en-GB"/>
        </w:rPr>
        <w:t>varstvo pri delu</w:t>
      </w:r>
      <w:r w:rsidRPr="00275FBD">
        <w:rPr>
          <w:lang w:val="sl-SI" w:eastAsia="en-GB"/>
        </w:rPr>
        <w:t xml:space="preserve">). Zato </w:t>
      </w:r>
      <w:r w:rsidR="005B0E69">
        <w:rPr>
          <w:lang w:val="sl-SI" w:eastAsia="en-GB"/>
        </w:rPr>
        <w:t>se ocenijo</w:t>
      </w:r>
      <w:r w:rsidRPr="00275FBD">
        <w:rPr>
          <w:lang w:val="sl-SI" w:eastAsia="en-GB"/>
        </w:rPr>
        <w:t xml:space="preserve"> glede na vpliv na </w:t>
      </w:r>
      <w:r w:rsidR="001D65DF">
        <w:rPr>
          <w:lang w:val="sl-SI" w:eastAsia="en-GB"/>
        </w:rPr>
        <w:t>»</w:t>
      </w:r>
      <w:r w:rsidRPr="00275FBD">
        <w:rPr>
          <w:lang w:val="sl-SI" w:eastAsia="en-GB"/>
        </w:rPr>
        <w:t>obratovalne varnostne značilnosti</w:t>
      </w:r>
      <w:r w:rsidR="001D65DF">
        <w:rPr>
          <w:lang w:val="sl-SI" w:eastAsia="en-GB"/>
        </w:rPr>
        <w:t>«</w:t>
      </w:r>
      <w:r w:rsidRPr="00275FBD">
        <w:rPr>
          <w:lang w:val="sl-SI" w:eastAsia="en-GB"/>
        </w:rPr>
        <w:t xml:space="preserve"> (</w:t>
      </w:r>
      <w:r w:rsidR="00113F6C" w:rsidRPr="00275FBD">
        <w:rPr>
          <w:lang w:val="sl-SI" w:eastAsia="en-GB"/>
        </w:rPr>
        <w:t xml:space="preserve">»Operational Safety </w:t>
      </w:r>
      <w:proofErr w:type="spellStart"/>
      <w:r w:rsidR="00113F6C" w:rsidRPr="00275FBD">
        <w:rPr>
          <w:lang w:val="sl-SI" w:eastAsia="en-GB"/>
        </w:rPr>
        <w:t>Features</w:t>
      </w:r>
      <w:proofErr w:type="spellEnd"/>
      <w:r w:rsidR="00113F6C" w:rsidRPr="00275FBD">
        <w:rPr>
          <w:lang w:val="sl-SI" w:eastAsia="en-GB"/>
        </w:rPr>
        <w:t xml:space="preserve">«, </w:t>
      </w:r>
      <w:r w:rsidRPr="00275FBD">
        <w:rPr>
          <w:lang w:val="sl-SI" w:eastAsia="en-GB"/>
        </w:rPr>
        <w:t xml:space="preserve">OSF), </w:t>
      </w:r>
      <w:r w:rsidR="00C727FA" w:rsidRPr="00275FBD">
        <w:rPr>
          <w:lang w:val="sl-SI" w:eastAsia="en-GB"/>
        </w:rPr>
        <w:t xml:space="preserve">kot so </w:t>
      </w:r>
      <w:r w:rsidRPr="00275FBD">
        <w:rPr>
          <w:lang w:val="sl-SI" w:eastAsia="en-GB"/>
        </w:rPr>
        <w:t xml:space="preserve">npr. </w:t>
      </w:r>
      <w:r w:rsidR="001D65DF">
        <w:rPr>
          <w:lang w:val="sl-SI" w:eastAsia="en-GB"/>
        </w:rPr>
        <w:t>»</w:t>
      </w:r>
      <w:r w:rsidRPr="00275FBD">
        <w:rPr>
          <w:lang w:val="sl-SI" w:eastAsia="en-GB"/>
        </w:rPr>
        <w:t>organizacija</w:t>
      </w:r>
      <w:r w:rsidR="005B0E69">
        <w:rPr>
          <w:lang w:val="sl-SI" w:eastAsia="en-GB"/>
        </w:rPr>
        <w:t xml:space="preserve"> upravljavca</w:t>
      </w:r>
      <w:r w:rsidR="001D65DF">
        <w:rPr>
          <w:lang w:val="sl-SI" w:eastAsia="en-GB"/>
        </w:rPr>
        <w:t>«</w:t>
      </w:r>
      <w:r w:rsidRPr="00275FBD">
        <w:rPr>
          <w:lang w:val="sl-SI" w:eastAsia="en-GB"/>
        </w:rPr>
        <w:t xml:space="preserve">, </w:t>
      </w:r>
      <w:r w:rsidR="001D65DF">
        <w:rPr>
          <w:lang w:val="sl-SI" w:eastAsia="en-GB"/>
        </w:rPr>
        <w:t>»</w:t>
      </w:r>
      <w:r w:rsidRPr="00275FBD">
        <w:rPr>
          <w:lang w:val="sl-SI" w:eastAsia="en-GB"/>
        </w:rPr>
        <w:t xml:space="preserve">sistemi </w:t>
      </w:r>
      <w:r w:rsidR="005B0E69">
        <w:rPr>
          <w:lang w:val="sl-SI" w:eastAsia="en-GB"/>
        </w:rPr>
        <w:t>vodenja</w:t>
      </w:r>
      <w:r w:rsidR="001D65DF">
        <w:rPr>
          <w:lang w:val="sl-SI" w:eastAsia="en-GB"/>
        </w:rPr>
        <w:t>«</w:t>
      </w:r>
      <w:r w:rsidRPr="00275FBD">
        <w:rPr>
          <w:lang w:val="sl-SI" w:eastAsia="en-GB"/>
        </w:rPr>
        <w:t xml:space="preserve"> in drugi. </w:t>
      </w:r>
    </w:p>
    <w:p w14:paraId="5FFA91DB" w14:textId="72B81A1A" w:rsidR="00113F6C" w:rsidRPr="00275FBD" w:rsidRDefault="005B0E69" w:rsidP="00113F6C">
      <w:pPr>
        <w:rPr>
          <w:lang w:val="sl-SI" w:eastAsia="en-GB"/>
        </w:rPr>
      </w:pPr>
      <w:r>
        <w:rPr>
          <w:lang w:val="sl-SI" w:eastAsia="en-GB"/>
        </w:rPr>
        <w:t>V procesu</w:t>
      </w:r>
      <w:r w:rsidR="00113F6C" w:rsidRPr="00275FBD">
        <w:rPr>
          <w:lang w:val="sl-SI" w:eastAsia="en-GB"/>
        </w:rPr>
        <w:t xml:space="preserve"> razvrščanj</w:t>
      </w:r>
      <w:r w:rsidR="009B18C1">
        <w:rPr>
          <w:lang w:val="sl-SI" w:eastAsia="en-GB"/>
        </w:rPr>
        <w:t>a</w:t>
      </w:r>
      <w:r w:rsidR="00113F6C" w:rsidRPr="00275FBD">
        <w:rPr>
          <w:lang w:val="sl-SI" w:eastAsia="en-GB"/>
        </w:rPr>
        <w:t xml:space="preserve"> </w:t>
      </w:r>
      <w:r w:rsidR="00BD5705" w:rsidRPr="00275FBD">
        <w:rPr>
          <w:lang w:val="sl-SI" w:eastAsia="en-GB"/>
        </w:rPr>
        <w:t xml:space="preserve">najdb </w:t>
      </w:r>
      <w:r w:rsidR="00113F6C" w:rsidRPr="00275FBD">
        <w:rPr>
          <w:lang w:val="sl-SI" w:eastAsia="en-GB"/>
        </w:rPr>
        <w:t>/ prednostne</w:t>
      </w:r>
      <w:r w:rsidR="00FE1CDA" w:rsidRPr="00275FBD">
        <w:rPr>
          <w:lang w:val="sl-SI" w:eastAsia="en-GB"/>
        </w:rPr>
        <w:t>m</w:t>
      </w:r>
      <w:r w:rsidR="00113F6C" w:rsidRPr="00275FBD">
        <w:rPr>
          <w:lang w:val="sl-SI" w:eastAsia="en-GB"/>
        </w:rPr>
        <w:t xml:space="preserve"> postopk</w:t>
      </w:r>
      <w:r w:rsidR="00FE1CDA" w:rsidRPr="00275FBD">
        <w:rPr>
          <w:lang w:val="sl-SI" w:eastAsia="en-GB"/>
        </w:rPr>
        <w:t>u</w:t>
      </w:r>
      <w:r w:rsidR="00113F6C" w:rsidRPr="00275FBD">
        <w:rPr>
          <w:lang w:val="sl-SI" w:eastAsia="en-GB"/>
        </w:rPr>
        <w:t xml:space="preserve"> korektivnih ukrepov je bil</w:t>
      </w:r>
      <w:r>
        <w:rPr>
          <w:lang w:val="sl-SI" w:eastAsia="en-GB"/>
        </w:rPr>
        <w:t>a</w:t>
      </w:r>
      <w:r w:rsidR="00113F6C" w:rsidRPr="00275FBD">
        <w:rPr>
          <w:lang w:val="sl-SI" w:eastAsia="en-GB"/>
        </w:rPr>
        <w:t xml:space="preserve"> končn</w:t>
      </w:r>
      <w:r>
        <w:rPr>
          <w:lang w:val="sl-SI" w:eastAsia="en-GB"/>
        </w:rPr>
        <w:t>a ocena oz.</w:t>
      </w:r>
      <w:r w:rsidR="00113F6C" w:rsidRPr="00275FBD">
        <w:rPr>
          <w:lang w:val="sl-SI" w:eastAsia="en-GB"/>
        </w:rPr>
        <w:t xml:space="preserve"> rang </w:t>
      </w:r>
      <w:r>
        <w:rPr>
          <w:lang w:val="sl-SI" w:eastAsia="en-GB"/>
        </w:rPr>
        <w:t>najdbe</w:t>
      </w:r>
      <w:r w:rsidRPr="00275FBD">
        <w:rPr>
          <w:lang w:val="sl-SI" w:eastAsia="en-GB"/>
        </w:rPr>
        <w:t xml:space="preserve"> </w:t>
      </w:r>
      <w:r w:rsidR="006103AD" w:rsidRPr="00275FBD">
        <w:rPr>
          <w:lang w:val="sl-SI" w:eastAsia="en-GB"/>
        </w:rPr>
        <w:t>do</w:t>
      </w:r>
      <w:r w:rsidR="006103AD">
        <w:rPr>
          <w:lang w:val="sl-SI" w:eastAsia="en-GB"/>
        </w:rPr>
        <w:t>loč</w:t>
      </w:r>
      <w:r w:rsidR="006103AD" w:rsidRPr="00275FBD">
        <w:rPr>
          <w:lang w:val="sl-SI" w:eastAsia="en-GB"/>
        </w:rPr>
        <w:t>en</w:t>
      </w:r>
      <w:r w:rsidR="006103AD">
        <w:rPr>
          <w:lang w:val="sl-SI" w:eastAsia="en-GB"/>
        </w:rPr>
        <w:t>a</w:t>
      </w:r>
      <w:r w:rsidR="006103AD" w:rsidRPr="00275FBD">
        <w:rPr>
          <w:lang w:val="sl-SI" w:eastAsia="en-GB"/>
        </w:rPr>
        <w:t xml:space="preserve"> </w:t>
      </w:r>
      <w:r w:rsidR="00113F6C" w:rsidRPr="00275FBD">
        <w:rPr>
          <w:lang w:val="sl-SI" w:eastAsia="en-GB"/>
        </w:rPr>
        <w:t>z upoštevanjem treh plasti atributov (meril). Upoštevani primarni atributi (primarna merila) so bili, kot je navedeno zgoraj:</w:t>
      </w:r>
    </w:p>
    <w:p w14:paraId="2ABA6BCE" w14:textId="5DAE3C73" w:rsidR="00113F6C" w:rsidRPr="00275FBD" w:rsidRDefault="00113F6C" w:rsidP="00FE1CDA">
      <w:pPr>
        <w:numPr>
          <w:ilvl w:val="0"/>
          <w:numId w:val="13"/>
        </w:numPr>
        <w:rPr>
          <w:lang w:val="sl-SI"/>
        </w:rPr>
      </w:pPr>
      <w:r w:rsidRPr="00275FBD">
        <w:rPr>
          <w:lang w:val="sl-SI"/>
        </w:rPr>
        <w:t xml:space="preserve">pomen v zvezi z </w:t>
      </w:r>
      <w:r w:rsidR="001D65DF">
        <w:rPr>
          <w:lang w:val="sl-SI"/>
        </w:rPr>
        <w:t>»</w:t>
      </w:r>
      <w:r w:rsidR="005B0E69" w:rsidRPr="001078E0">
        <w:rPr>
          <w:lang w:val="sl-SI"/>
        </w:rPr>
        <w:t xml:space="preserve">globino </w:t>
      </w:r>
      <w:r w:rsidRPr="00275FBD">
        <w:rPr>
          <w:lang w:val="sl-SI"/>
        </w:rPr>
        <w:t>obramb</w:t>
      </w:r>
      <w:r w:rsidR="005B0E69">
        <w:rPr>
          <w:lang w:val="sl-SI"/>
        </w:rPr>
        <w:t>e«</w:t>
      </w:r>
      <w:r w:rsidRPr="00275FBD">
        <w:rPr>
          <w:lang w:val="sl-SI"/>
        </w:rPr>
        <w:t xml:space="preserve"> (DOD) ali tveganjem (</w:t>
      </w:r>
      <w:r w:rsidR="00CE6729" w:rsidRPr="00275FBD">
        <w:rPr>
          <w:lang w:val="sl-SI"/>
        </w:rPr>
        <w:t xml:space="preserve">najdbe </w:t>
      </w:r>
      <w:r w:rsidR="001D65DF">
        <w:rPr>
          <w:lang w:val="sl-SI"/>
        </w:rPr>
        <w:t>»</w:t>
      </w:r>
      <w:r w:rsidRPr="00275FBD">
        <w:rPr>
          <w:lang w:val="sl-SI"/>
        </w:rPr>
        <w:t>DL</w:t>
      </w:r>
      <w:r w:rsidR="001D65DF">
        <w:rPr>
          <w:lang w:val="sl-SI"/>
        </w:rPr>
        <w:t>«</w:t>
      </w:r>
      <w:r w:rsidRPr="00275FBD">
        <w:rPr>
          <w:lang w:val="sl-SI"/>
        </w:rPr>
        <w:t xml:space="preserve"> in </w:t>
      </w:r>
      <w:r w:rsidR="001D65DF">
        <w:rPr>
          <w:lang w:val="sl-SI"/>
        </w:rPr>
        <w:t>»</w:t>
      </w:r>
      <w:r w:rsidRPr="00275FBD">
        <w:rPr>
          <w:lang w:val="sl-SI"/>
        </w:rPr>
        <w:t>RE</w:t>
      </w:r>
      <w:r w:rsidR="001D65DF">
        <w:rPr>
          <w:lang w:val="sl-SI"/>
        </w:rPr>
        <w:t>«</w:t>
      </w:r>
      <w:r w:rsidRPr="00275FBD">
        <w:rPr>
          <w:lang w:val="sl-SI"/>
        </w:rPr>
        <w:t>);</w:t>
      </w:r>
    </w:p>
    <w:p w14:paraId="4CC6913B" w14:textId="614350D1" w:rsidR="00113F6C" w:rsidRPr="00275FBD" w:rsidRDefault="00FE1CDA" w:rsidP="00FE1CDA">
      <w:pPr>
        <w:numPr>
          <w:ilvl w:val="0"/>
          <w:numId w:val="13"/>
        </w:numPr>
        <w:rPr>
          <w:lang w:val="sl-SI"/>
        </w:rPr>
      </w:pPr>
      <w:r w:rsidRPr="00275FBD">
        <w:rPr>
          <w:lang w:val="sl-SI"/>
        </w:rPr>
        <w:t>p</w:t>
      </w:r>
      <w:r w:rsidR="00113F6C" w:rsidRPr="00275FBD">
        <w:rPr>
          <w:lang w:val="sl-SI"/>
        </w:rPr>
        <w:t xml:space="preserve">omen v zvezi z vplivom </w:t>
      </w:r>
      <w:r w:rsidRPr="00275FBD">
        <w:rPr>
          <w:lang w:val="sl-SI"/>
        </w:rPr>
        <w:t>na obratovalne varnostne značilnosti</w:t>
      </w:r>
      <w:r w:rsidR="00113F6C" w:rsidRPr="00275FBD">
        <w:rPr>
          <w:lang w:val="sl-SI"/>
        </w:rPr>
        <w:t xml:space="preserve"> (OSF) (</w:t>
      </w:r>
      <w:r w:rsidR="00CE6729" w:rsidRPr="00275FBD">
        <w:rPr>
          <w:lang w:val="sl-SI"/>
        </w:rPr>
        <w:t xml:space="preserve">najdbe </w:t>
      </w:r>
      <w:r w:rsidR="001D65DF">
        <w:rPr>
          <w:lang w:val="sl-SI"/>
        </w:rPr>
        <w:t>»</w:t>
      </w:r>
      <w:r w:rsidR="00113F6C" w:rsidRPr="00275FBD">
        <w:rPr>
          <w:lang w:val="sl-SI"/>
        </w:rPr>
        <w:t>SF</w:t>
      </w:r>
      <w:r w:rsidR="001D65DF">
        <w:rPr>
          <w:lang w:val="sl-SI"/>
        </w:rPr>
        <w:t>«</w:t>
      </w:r>
      <w:r w:rsidR="00113F6C" w:rsidRPr="00275FBD">
        <w:rPr>
          <w:lang w:val="sl-SI"/>
        </w:rPr>
        <w:t>).</w:t>
      </w:r>
    </w:p>
    <w:p w14:paraId="1AE82510" w14:textId="78E21247" w:rsidR="00113F6C" w:rsidRPr="00275FBD" w:rsidRDefault="00113F6C" w:rsidP="00113F6C">
      <w:pPr>
        <w:rPr>
          <w:lang w:val="sl-SI" w:eastAsia="en-GB"/>
        </w:rPr>
      </w:pPr>
      <w:r w:rsidRPr="00275FBD">
        <w:rPr>
          <w:lang w:val="sl-SI" w:eastAsia="en-GB"/>
        </w:rPr>
        <w:t xml:space="preserve">Ko so bile </w:t>
      </w:r>
      <w:r w:rsidR="006103AD">
        <w:rPr>
          <w:lang w:val="sl-SI" w:eastAsia="en-GB"/>
        </w:rPr>
        <w:t>najdbe</w:t>
      </w:r>
      <w:r w:rsidR="006103AD" w:rsidRPr="00275FBD">
        <w:rPr>
          <w:lang w:val="sl-SI" w:eastAsia="en-GB"/>
        </w:rPr>
        <w:t xml:space="preserve"> </w:t>
      </w:r>
      <w:r w:rsidRPr="00275FBD">
        <w:rPr>
          <w:lang w:val="sl-SI" w:eastAsia="en-GB"/>
        </w:rPr>
        <w:t xml:space="preserve">razvrščene po ustreznem primarnem atributu (merilu), </w:t>
      </w:r>
      <w:r w:rsidR="005B0E69">
        <w:rPr>
          <w:lang w:val="sl-SI" w:eastAsia="en-GB"/>
        </w:rPr>
        <w:t>se je izvajalo</w:t>
      </w:r>
      <w:r w:rsidRPr="00275FBD">
        <w:rPr>
          <w:lang w:val="sl-SI" w:eastAsia="en-GB"/>
        </w:rPr>
        <w:t xml:space="preserve"> nadaljnje razvrščanj</w:t>
      </w:r>
      <w:r w:rsidR="005B0E69">
        <w:rPr>
          <w:lang w:val="sl-SI" w:eastAsia="en-GB"/>
        </w:rPr>
        <w:t>e</w:t>
      </w:r>
      <w:r w:rsidRPr="00275FBD">
        <w:rPr>
          <w:lang w:val="sl-SI" w:eastAsia="en-GB"/>
        </w:rPr>
        <w:t xml:space="preserve"> po atributu druge plasti (sekundarnem</w:t>
      </w:r>
      <w:r w:rsidR="005B0E69" w:rsidRPr="005B0E69">
        <w:rPr>
          <w:lang w:val="sl-SI" w:eastAsia="en-GB"/>
        </w:rPr>
        <w:t xml:space="preserve"> </w:t>
      </w:r>
      <w:r w:rsidR="005B0E69" w:rsidRPr="00275FBD">
        <w:rPr>
          <w:lang w:val="sl-SI" w:eastAsia="en-GB"/>
        </w:rPr>
        <w:t>merilu</w:t>
      </w:r>
      <w:r w:rsidRPr="00275FBD">
        <w:rPr>
          <w:lang w:val="sl-SI" w:eastAsia="en-GB"/>
        </w:rPr>
        <w:t xml:space="preserve">) </w:t>
      </w:r>
      <w:r w:rsidR="005B0E69">
        <w:rPr>
          <w:lang w:val="sl-SI" w:eastAsia="en-GB"/>
        </w:rPr>
        <w:t>z</w:t>
      </w:r>
      <w:r w:rsidR="00FE1CDA" w:rsidRPr="00275FBD">
        <w:rPr>
          <w:lang w:val="sl-SI" w:eastAsia="en-GB"/>
        </w:rPr>
        <w:t xml:space="preserve"> </w:t>
      </w:r>
      <w:r w:rsidR="005B0E69">
        <w:rPr>
          <w:lang w:val="sl-SI" w:eastAsia="en-GB"/>
        </w:rPr>
        <w:t xml:space="preserve">upoštevanjem </w:t>
      </w:r>
      <w:r w:rsidR="001D65DF">
        <w:rPr>
          <w:lang w:val="sl-SI" w:eastAsia="en-GB"/>
        </w:rPr>
        <w:t>»</w:t>
      </w:r>
      <w:r w:rsidRPr="00275FBD">
        <w:rPr>
          <w:lang w:val="sl-SI" w:eastAsia="en-GB"/>
        </w:rPr>
        <w:t>predhodne informacije o tveganju</w:t>
      </w:r>
      <w:r w:rsidR="001D65DF">
        <w:rPr>
          <w:lang w:val="sl-SI" w:eastAsia="en-GB"/>
        </w:rPr>
        <w:t>«</w:t>
      </w:r>
      <w:r w:rsidRPr="00275FBD">
        <w:rPr>
          <w:lang w:val="sl-SI" w:eastAsia="en-GB"/>
        </w:rPr>
        <w:t xml:space="preserve">. Namen je bil doseči dodatno </w:t>
      </w:r>
      <w:r w:rsidR="001D65DF">
        <w:rPr>
          <w:lang w:val="sl-SI" w:eastAsia="en-GB"/>
        </w:rPr>
        <w:t>»</w:t>
      </w:r>
      <w:r w:rsidRPr="00275FBD">
        <w:rPr>
          <w:lang w:val="sl-SI" w:eastAsia="en-GB"/>
        </w:rPr>
        <w:t>diskriminacijo</w:t>
      </w:r>
      <w:r w:rsidR="001D65DF">
        <w:rPr>
          <w:lang w:val="sl-SI" w:eastAsia="en-GB"/>
        </w:rPr>
        <w:t>«</w:t>
      </w:r>
      <w:r w:rsidRPr="00275FBD">
        <w:rPr>
          <w:lang w:val="sl-SI" w:eastAsia="en-GB"/>
        </w:rPr>
        <w:t xml:space="preserve"> v primerih večje</w:t>
      </w:r>
      <w:r w:rsidR="004D4089">
        <w:rPr>
          <w:lang w:val="sl-SI" w:eastAsia="en-GB"/>
        </w:rPr>
        <w:t>ga</w:t>
      </w:r>
      <w:r w:rsidRPr="00275FBD">
        <w:rPr>
          <w:lang w:val="sl-SI" w:eastAsia="en-GB"/>
        </w:rPr>
        <w:t xml:space="preserve"> </w:t>
      </w:r>
      <w:r w:rsidR="004D4089" w:rsidRPr="00275FBD">
        <w:rPr>
          <w:lang w:val="sl-SI" w:eastAsia="en-GB"/>
        </w:rPr>
        <w:t>števil</w:t>
      </w:r>
      <w:r w:rsidR="004D4089">
        <w:rPr>
          <w:lang w:val="sl-SI" w:eastAsia="en-GB"/>
        </w:rPr>
        <w:t>a</w:t>
      </w:r>
      <w:r w:rsidR="004D4089" w:rsidRPr="00275FBD">
        <w:rPr>
          <w:lang w:val="sl-SI" w:eastAsia="en-GB"/>
        </w:rPr>
        <w:t xml:space="preserve"> </w:t>
      </w:r>
      <w:r w:rsidR="00BD5705" w:rsidRPr="00275FBD">
        <w:rPr>
          <w:lang w:val="sl-SI" w:eastAsia="en-GB"/>
        </w:rPr>
        <w:t xml:space="preserve">najdb </w:t>
      </w:r>
      <w:r w:rsidRPr="00275FBD">
        <w:rPr>
          <w:lang w:val="sl-SI" w:eastAsia="en-GB"/>
        </w:rPr>
        <w:t>istega primarnega ranga.</w:t>
      </w:r>
    </w:p>
    <w:p w14:paraId="6FD3C3D5" w14:textId="0E1DCAA0" w:rsidR="0087184F" w:rsidRPr="00275FBD" w:rsidRDefault="0087184F" w:rsidP="0087184F">
      <w:pPr>
        <w:rPr>
          <w:lang w:val="sl-SI" w:eastAsia="en-GB"/>
        </w:rPr>
      </w:pPr>
      <w:r w:rsidRPr="00275FBD">
        <w:rPr>
          <w:lang w:val="sl-SI" w:eastAsia="en-GB"/>
        </w:rPr>
        <w:t xml:space="preserve">Vrednotenje in nato </w:t>
      </w:r>
      <w:proofErr w:type="spellStart"/>
      <w:r w:rsidRPr="00275FBD">
        <w:rPr>
          <w:lang w:val="sl-SI" w:eastAsia="en-GB"/>
        </w:rPr>
        <w:t>rangiranje</w:t>
      </w:r>
      <w:proofErr w:type="spellEnd"/>
      <w:r w:rsidRPr="00275FBD">
        <w:rPr>
          <w:lang w:val="sl-SI" w:eastAsia="en-GB"/>
        </w:rPr>
        <w:t xml:space="preserve"> </w:t>
      </w:r>
      <w:r w:rsidR="00BD5705" w:rsidRPr="00275FBD">
        <w:rPr>
          <w:lang w:val="sl-SI" w:eastAsia="en-GB"/>
        </w:rPr>
        <w:t xml:space="preserve">najdb </w:t>
      </w:r>
      <w:r w:rsidRPr="00275FBD">
        <w:rPr>
          <w:lang w:val="sl-SI" w:eastAsia="en-GB"/>
        </w:rPr>
        <w:t>s pomočjo primarnih atributov (DOD / tveganj</w:t>
      </w:r>
      <w:r w:rsidR="004D4089">
        <w:rPr>
          <w:lang w:val="sl-SI" w:eastAsia="en-GB"/>
        </w:rPr>
        <w:t>e</w:t>
      </w:r>
      <w:r w:rsidRPr="00275FBD">
        <w:rPr>
          <w:lang w:val="sl-SI" w:eastAsia="en-GB"/>
        </w:rPr>
        <w:t xml:space="preserve"> ali vpliv na OSF) in predhodnih informacij o tveganju predstavlja proces podrobnega </w:t>
      </w:r>
      <w:proofErr w:type="spellStart"/>
      <w:r w:rsidRPr="00275FBD">
        <w:rPr>
          <w:lang w:val="sl-SI" w:eastAsia="en-GB"/>
        </w:rPr>
        <w:t>rangiranja</w:t>
      </w:r>
      <w:proofErr w:type="spellEnd"/>
      <w:r w:rsidRPr="00275FBD">
        <w:rPr>
          <w:lang w:val="sl-SI" w:eastAsia="en-GB"/>
        </w:rPr>
        <w:t xml:space="preserve"> varnostnih </w:t>
      </w:r>
      <w:r w:rsidR="00BD5705" w:rsidRPr="00275FBD">
        <w:rPr>
          <w:lang w:val="sl-SI" w:eastAsia="en-GB"/>
        </w:rPr>
        <w:t>najdb,</w:t>
      </w:r>
      <w:r w:rsidRPr="00275FBD">
        <w:rPr>
          <w:lang w:val="sl-SI" w:eastAsia="en-GB"/>
        </w:rPr>
        <w:t xml:space="preserve"> ki je podrobneje opisan v poročilu PSR3-NEK-9.1 </w:t>
      </w:r>
      <w:r w:rsidRPr="00275FBD">
        <w:rPr>
          <w:lang w:val="sl-SI" w:eastAsia="en-GB"/>
        </w:rPr>
        <w:fldChar w:fldCharType="begin"/>
      </w:r>
      <w:r w:rsidRPr="00275FBD">
        <w:rPr>
          <w:lang w:val="sl-SI" w:eastAsia="en-GB"/>
        </w:rPr>
        <w:instrText xml:space="preserve"> REF _Ref131143634 \r \h </w:instrText>
      </w:r>
      <w:r w:rsidRPr="00275FBD">
        <w:rPr>
          <w:lang w:val="sl-SI" w:eastAsia="en-GB"/>
        </w:rPr>
      </w:r>
      <w:r w:rsidRPr="00275FBD">
        <w:rPr>
          <w:lang w:val="sl-SI" w:eastAsia="en-GB"/>
        </w:rPr>
        <w:fldChar w:fldCharType="separate"/>
      </w:r>
      <w:r w:rsidR="00BA25CD">
        <w:rPr>
          <w:lang w:val="sl-SI" w:eastAsia="en-GB"/>
        </w:rPr>
        <w:t>[9]</w:t>
      </w:r>
      <w:r w:rsidRPr="00275FBD">
        <w:rPr>
          <w:lang w:val="sl-SI" w:eastAsia="en-GB"/>
        </w:rPr>
        <w:fldChar w:fldCharType="end"/>
      </w:r>
      <w:r w:rsidRPr="00275FBD">
        <w:rPr>
          <w:lang w:val="sl-SI" w:eastAsia="en-GB"/>
        </w:rPr>
        <w:t>.</w:t>
      </w:r>
    </w:p>
    <w:p w14:paraId="2AB5465C" w14:textId="1BCE5122" w:rsidR="0087184F" w:rsidRPr="00275FBD" w:rsidRDefault="0087184F" w:rsidP="0087184F">
      <w:pPr>
        <w:rPr>
          <w:lang w:val="sl-SI" w:eastAsia="en-GB"/>
        </w:rPr>
      </w:pPr>
      <w:r w:rsidRPr="0082596E">
        <w:rPr>
          <w:lang w:val="sl-SI" w:eastAsia="en-GB"/>
        </w:rPr>
        <w:t xml:space="preserve">Ko je bila opravljena podrobna razvrstitev varnostnih </w:t>
      </w:r>
      <w:r w:rsidR="00BD5705" w:rsidRPr="0082596E">
        <w:rPr>
          <w:lang w:val="sl-SI" w:eastAsia="en-GB"/>
        </w:rPr>
        <w:t>najdb,</w:t>
      </w:r>
      <w:r w:rsidRPr="0082596E">
        <w:rPr>
          <w:lang w:val="sl-SI" w:eastAsia="en-GB"/>
        </w:rPr>
        <w:t xml:space="preserve"> so </w:t>
      </w:r>
      <w:r w:rsidR="009B18C1">
        <w:rPr>
          <w:lang w:val="sl-SI" w:eastAsia="en-GB"/>
        </w:rPr>
        <w:t>bile</w:t>
      </w:r>
      <w:r w:rsidR="0082596E" w:rsidRPr="0082596E">
        <w:rPr>
          <w:lang w:val="sl-SI" w:eastAsia="en-GB"/>
        </w:rPr>
        <w:t xml:space="preserve"> </w:t>
      </w:r>
      <w:r w:rsidR="00CB6B10" w:rsidRPr="0082596E">
        <w:rPr>
          <w:lang w:val="sl-SI" w:eastAsia="en-GB"/>
        </w:rPr>
        <w:t xml:space="preserve">najdbe </w:t>
      </w:r>
      <w:r w:rsidR="0082596E" w:rsidRPr="0082596E">
        <w:rPr>
          <w:lang w:val="sl-SI" w:eastAsia="en-GB"/>
        </w:rPr>
        <w:t>prenesene v</w:t>
      </w:r>
      <w:r w:rsidRPr="0082596E">
        <w:rPr>
          <w:lang w:val="sl-SI" w:eastAsia="en-GB"/>
        </w:rPr>
        <w:t xml:space="preserve"> </w:t>
      </w:r>
      <w:bookmarkStart w:id="34" w:name="_Hlk144195791"/>
      <w:r w:rsidRPr="0082596E">
        <w:rPr>
          <w:lang w:val="sl-SI" w:eastAsia="en-GB"/>
        </w:rPr>
        <w:t>korektivn</w:t>
      </w:r>
      <w:r w:rsidR="0082596E" w:rsidRPr="0082596E">
        <w:rPr>
          <w:lang w:val="sl-SI" w:eastAsia="en-GB"/>
        </w:rPr>
        <w:t>e</w:t>
      </w:r>
      <w:bookmarkEnd w:id="34"/>
      <w:r w:rsidRPr="0082596E">
        <w:rPr>
          <w:lang w:val="sl-SI" w:eastAsia="en-GB"/>
        </w:rPr>
        <w:t xml:space="preserve"> ukrep</w:t>
      </w:r>
      <w:r w:rsidR="0082596E" w:rsidRPr="0082596E">
        <w:rPr>
          <w:lang w:val="sl-SI" w:eastAsia="en-GB"/>
        </w:rPr>
        <w:t>e</w:t>
      </w:r>
      <w:r w:rsidRPr="0082596E">
        <w:rPr>
          <w:lang w:val="sl-SI" w:eastAsia="en-GB"/>
        </w:rPr>
        <w:t xml:space="preserve">. To je </w:t>
      </w:r>
      <w:r w:rsidR="00187965" w:rsidRPr="0082596E">
        <w:rPr>
          <w:lang w:val="sl-SI" w:eastAsia="en-GB"/>
        </w:rPr>
        <w:t xml:space="preserve">neposreden </w:t>
      </w:r>
      <w:r w:rsidRPr="0082596E">
        <w:rPr>
          <w:lang w:val="sl-SI" w:eastAsia="en-GB"/>
        </w:rPr>
        <w:t xml:space="preserve">postopek, v katerem je za vsako ugotovljeno </w:t>
      </w:r>
      <w:r w:rsidR="00CE6729" w:rsidRPr="0082596E">
        <w:rPr>
          <w:lang w:val="sl-SI" w:eastAsia="en-GB"/>
        </w:rPr>
        <w:t>najdbo</w:t>
      </w:r>
      <w:r w:rsidRPr="00275FBD">
        <w:rPr>
          <w:lang w:val="sl-SI" w:eastAsia="en-GB"/>
        </w:rPr>
        <w:t xml:space="preserve"> </w:t>
      </w:r>
      <w:r w:rsidR="006103AD">
        <w:rPr>
          <w:lang w:val="sl-SI" w:eastAsia="en-GB"/>
        </w:rPr>
        <w:t>d</w:t>
      </w:r>
      <w:r w:rsidRPr="00275FBD">
        <w:rPr>
          <w:lang w:val="sl-SI" w:eastAsia="en-GB"/>
        </w:rPr>
        <w:t xml:space="preserve">oločen korektivni ukrep, </w:t>
      </w:r>
      <w:r w:rsidR="006103AD">
        <w:rPr>
          <w:lang w:val="sl-SI" w:eastAsia="en-GB"/>
        </w:rPr>
        <w:t>s katerim se</w:t>
      </w:r>
      <w:r w:rsidRPr="00275FBD">
        <w:rPr>
          <w:lang w:val="sl-SI" w:eastAsia="en-GB"/>
        </w:rPr>
        <w:t xml:space="preserve"> </w:t>
      </w:r>
      <w:r w:rsidR="00CB6B10">
        <w:rPr>
          <w:lang w:val="sl-SI" w:eastAsia="en-GB"/>
        </w:rPr>
        <w:t>raz</w:t>
      </w:r>
      <w:r w:rsidRPr="00275FBD">
        <w:rPr>
          <w:lang w:val="sl-SI" w:eastAsia="en-GB"/>
        </w:rPr>
        <w:t xml:space="preserve">reši </w:t>
      </w:r>
      <w:r w:rsidR="00CB6B10">
        <w:rPr>
          <w:lang w:val="sl-SI" w:eastAsia="en-GB"/>
        </w:rPr>
        <w:t>najdb</w:t>
      </w:r>
      <w:r w:rsidR="006103AD">
        <w:rPr>
          <w:lang w:val="sl-SI" w:eastAsia="en-GB"/>
        </w:rPr>
        <w:t>a</w:t>
      </w:r>
      <w:r w:rsidRPr="00275FBD">
        <w:rPr>
          <w:lang w:val="sl-SI" w:eastAsia="en-GB"/>
        </w:rPr>
        <w:t xml:space="preserve">. Načeloma se korektivni ukrep preprosto </w:t>
      </w:r>
      <w:r w:rsidR="0082596E">
        <w:rPr>
          <w:lang w:val="sl-SI" w:eastAsia="en-GB"/>
        </w:rPr>
        <w:t>določi</w:t>
      </w:r>
      <w:r w:rsidR="0082596E" w:rsidRPr="00275FBD">
        <w:rPr>
          <w:lang w:val="sl-SI" w:eastAsia="en-GB"/>
        </w:rPr>
        <w:t xml:space="preserve"> </w:t>
      </w:r>
      <w:r w:rsidRPr="00275FBD">
        <w:rPr>
          <w:lang w:val="sl-SI" w:eastAsia="en-GB"/>
        </w:rPr>
        <w:t xml:space="preserve">kot </w:t>
      </w:r>
      <w:r w:rsidR="006103AD">
        <w:rPr>
          <w:lang w:val="sl-SI" w:eastAsia="en-GB"/>
        </w:rPr>
        <w:t>predlog raz</w:t>
      </w:r>
      <w:r w:rsidRPr="00275FBD">
        <w:rPr>
          <w:lang w:val="sl-SI" w:eastAsia="en-GB"/>
        </w:rPr>
        <w:t>rešit</w:t>
      </w:r>
      <w:r w:rsidR="006103AD">
        <w:rPr>
          <w:lang w:val="sl-SI" w:eastAsia="en-GB"/>
        </w:rPr>
        <w:t>ve</w:t>
      </w:r>
      <w:r w:rsidRPr="00275FBD">
        <w:rPr>
          <w:lang w:val="sl-SI" w:eastAsia="en-GB"/>
        </w:rPr>
        <w:t xml:space="preserve"> </w:t>
      </w:r>
      <w:r w:rsidR="00395621" w:rsidRPr="00275FBD">
        <w:rPr>
          <w:lang w:val="sl-SI" w:eastAsia="en-GB"/>
        </w:rPr>
        <w:t>najdbe</w:t>
      </w:r>
      <w:r w:rsidR="006103AD">
        <w:rPr>
          <w:lang w:val="sl-SI" w:eastAsia="en-GB"/>
        </w:rPr>
        <w:t xml:space="preserve"> tako</w:t>
      </w:r>
      <w:r w:rsidRPr="00275FBD">
        <w:rPr>
          <w:lang w:val="sl-SI" w:eastAsia="en-GB"/>
        </w:rPr>
        <w:t xml:space="preserve">, kot je </w:t>
      </w:r>
      <w:r w:rsidR="0082596E">
        <w:rPr>
          <w:lang w:val="sl-SI" w:eastAsia="en-GB"/>
        </w:rPr>
        <w:t xml:space="preserve">to </w:t>
      </w:r>
      <w:r w:rsidRPr="00275FBD">
        <w:rPr>
          <w:lang w:val="sl-SI" w:eastAsia="en-GB"/>
        </w:rPr>
        <w:t xml:space="preserve">opisano v ustreznem tematskem poročilu. Te </w:t>
      </w:r>
      <w:r w:rsidR="00CB6B10">
        <w:rPr>
          <w:lang w:val="sl-SI" w:eastAsia="en-GB"/>
        </w:rPr>
        <w:t>najdbe</w:t>
      </w:r>
      <w:r w:rsidR="00CB6B10" w:rsidRPr="00275FBD">
        <w:rPr>
          <w:lang w:val="sl-SI" w:eastAsia="en-GB"/>
        </w:rPr>
        <w:t xml:space="preserve"> </w:t>
      </w:r>
      <w:r w:rsidRPr="00275FBD">
        <w:rPr>
          <w:lang w:val="sl-SI" w:eastAsia="en-GB"/>
        </w:rPr>
        <w:t>/</w:t>
      </w:r>
      <w:r w:rsidR="003710C7" w:rsidRPr="00275FBD">
        <w:rPr>
          <w:lang w:val="sl-SI" w:eastAsia="en-GB"/>
        </w:rPr>
        <w:t xml:space="preserve"> </w:t>
      </w:r>
      <w:bookmarkStart w:id="35" w:name="_Hlk144196067"/>
      <w:r w:rsidR="001078E0" w:rsidRPr="001078E0">
        <w:rPr>
          <w:lang w:val="sl-SI" w:eastAsia="en-GB"/>
        </w:rPr>
        <w:t>korektivn</w:t>
      </w:r>
      <w:r w:rsidR="001078E0">
        <w:rPr>
          <w:lang w:val="sl-SI" w:eastAsia="en-GB"/>
        </w:rPr>
        <w:t>i</w:t>
      </w:r>
      <w:bookmarkEnd w:id="35"/>
      <w:r w:rsidRPr="00275FBD">
        <w:rPr>
          <w:lang w:val="sl-SI" w:eastAsia="en-GB"/>
        </w:rPr>
        <w:t xml:space="preserve"> ukrepi so nato predmet nadaljnjega </w:t>
      </w:r>
      <w:proofErr w:type="spellStart"/>
      <w:r w:rsidRPr="00275FBD">
        <w:rPr>
          <w:lang w:val="sl-SI" w:eastAsia="en-GB"/>
        </w:rPr>
        <w:t>podrazvrščanja</w:t>
      </w:r>
      <w:proofErr w:type="spellEnd"/>
      <w:r w:rsidRPr="00275FBD">
        <w:rPr>
          <w:lang w:val="sl-SI" w:eastAsia="en-GB"/>
        </w:rPr>
        <w:t xml:space="preserve"> prek atributa tretje </w:t>
      </w:r>
      <w:r w:rsidR="006103AD">
        <w:rPr>
          <w:lang w:val="sl-SI" w:eastAsia="en-GB"/>
        </w:rPr>
        <w:t xml:space="preserve">plasti </w:t>
      </w:r>
      <w:r w:rsidRPr="00275FBD">
        <w:rPr>
          <w:lang w:val="sl-SI" w:eastAsia="en-GB"/>
        </w:rPr>
        <w:t xml:space="preserve">»kvalitativna ocena kategorije stroškov«. </w:t>
      </w:r>
      <w:r w:rsidR="00187965" w:rsidRPr="00275FBD">
        <w:rPr>
          <w:lang w:val="sl-SI" w:eastAsia="en-GB"/>
        </w:rPr>
        <w:t>Z</w:t>
      </w:r>
      <w:r w:rsidRPr="00275FBD">
        <w:rPr>
          <w:lang w:val="sl-SI" w:eastAsia="en-GB"/>
        </w:rPr>
        <w:t xml:space="preserve">adnji korak predstavlja postopek </w:t>
      </w:r>
      <w:r w:rsidR="00DB3419" w:rsidRPr="00275FBD">
        <w:rPr>
          <w:iCs/>
          <w:lang w:val="sl-SI"/>
        </w:rPr>
        <w:t>določanja prednosti</w:t>
      </w:r>
      <w:r w:rsidRPr="00275FBD">
        <w:rPr>
          <w:lang w:val="sl-SI" w:eastAsia="en-GB"/>
        </w:rPr>
        <w:t xml:space="preserve"> korektivnih ukrepov, katerega rezultat je končni rang posamezne </w:t>
      </w:r>
      <w:r w:rsidR="00CE6729" w:rsidRPr="00275FBD">
        <w:rPr>
          <w:lang w:val="sl-SI" w:eastAsia="en-GB"/>
        </w:rPr>
        <w:t xml:space="preserve">najdbe </w:t>
      </w:r>
      <w:r w:rsidRPr="00275FBD">
        <w:rPr>
          <w:lang w:val="sl-SI" w:eastAsia="en-GB"/>
        </w:rPr>
        <w:t>/</w:t>
      </w:r>
      <w:r w:rsidR="003710C7" w:rsidRPr="00275FBD">
        <w:rPr>
          <w:lang w:val="sl-SI" w:eastAsia="en-GB"/>
        </w:rPr>
        <w:t xml:space="preserve"> </w:t>
      </w:r>
      <w:r w:rsidRPr="00275FBD">
        <w:rPr>
          <w:lang w:val="sl-SI" w:eastAsia="en-GB"/>
        </w:rPr>
        <w:t>korektivnega ukrepa.</w:t>
      </w:r>
    </w:p>
    <w:p w14:paraId="2E8A6043" w14:textId="2A78EFB9" w:rsidR="003710C7" w:rsidRPr="00275FBD" w:rsidRDefault="003710C7" w:rsidP="003710C7">
      <w:pPr>
        <w:rPr>
          <w:lang w:val="sl-SI" w:eastAsia="en-GB"/>
        </w:rPr>
      </w:pPr>
      <w:r w:rsidRPr="00275FBD">
        <w:rPr>
          <w:lang w:val="sl-SI" w:eastAsia="en-GB"/>
        </w:rPr>
        <w:t>Vs</w:t>
      </w:r>
      <w:r w:rsidR="00395621" w:rsidRPr="00275FBD">
        <w:rPr>
          <w:lang w:val="sl-SI" w:eastAsia="en-GB"/>
        </w:rPr>
        <w:t>e</w:t>
      </w:r>
      <w:r w:rsidRPr="00275FBD">
        <w:rPr>
          <w:lang w:val="sl-SI" w:eastAsia="en-GB"/>
        </w:rPr>
        <w:t xml:space="preserve"> </w:t>
      </w:r>
      <w:r w:rsidR="00395621" w:rsidRPr="00275FBD">
        <w:rPr>
          <w:lang w:val="sl-SI" w:eastAsia="en-GB"/>
        </w:rPr>
        <w:t>najdbe</w:t>
      </w:r>
      <w:r w:rsidR="008C1D0D">
        <w:rPr>
          <w:lang w:val="sl-SI" w:eastAsia="en-GB"/>
        </w:rPr>
        <w:t xml:space="preserve"> </w:t>
      </w:r>
      <w:r w:rsidRPr="00275FBD">
        <w:rPr>
          <w:lang w:val="sl-SI" w:eastAsia="en-GB"/>
        </w:rPr>
        <w:t>/</w:t>
      </w:r>
      <w:r w:rsidR="008C1D0D">
        <w:rPr>
          <w:lang w:val="sl-SI" w:eastAsia="en-GB"/>
        </w:rPr>
        <w:t xml:space="preserve"> </w:t>
      </w:r>
      <w:r w:rsidR="00297FE2" w:rsidRPr="00297FE2">
        <w:rPr>
          <w:lang w:val="sl-SI" w:eastAsia="en-GB"/>
        </w:rPr>
        <w:t>korektivni</w:t>
      </w:r>
      <w:r w:rsidRPr="00275FBD">
        <w:rPr>
          <w:lang w:val="sl-SI" w:eastAsia="en-GB"/>
        </w:rPr>
        <w:t xml:space="preserve"> ukrepi so bili nato razvrščeni po padajočih rangih (padajoči pomembnosti)</w:t>
      </w:r>
      <w:r w:rsidR="009B18C1">
        <w:rPr>
          <w:lang w:val="sl-SI" w:eastAsia="en-GB"/>
        </w:rPr>
        <w:t>.</w:t>
      </w:r>
      <w:r w:rsidRPr="00275FBD">
        <w:rPr>
          <w:lang w:val="sl-SI" w:eastAsia="en-GB"/>
        </w:rPr>
        <w:t xml:space="preserve"> </w:t>
      </w:r>
      <w:r w:rsidR="009B18C1">
        <w:rPr>
          <w:lang w:val="sl-SI" w:eastAsia="en-GB"/>
        </w:rPr>
        <w:t>T</w:t>
      </w:r>
      <w:r w:rsidRPr="00275FBD">
        <w:rPr>
          <w:lang w:val="sl-SI" w:eastAsia="en-GB"/>
        </w:rPr>
        <w:t>ako dobljen seznam je predstavljal osnovo za izdelavo Načrta izvedbe ukrepov (IAP).</w:t>
      </w:r>
    </w:p>
    <w:p w14:paraId="3EB6E33D" w14:textId="77777777" w:rsidR="00BA25CD" w:rsidRDefault="003710C7" w:rsidP="000A5490">
      <w:pPr>
        <w:rPr>
          <w:lang w:val="sl-SI"/>
        </w:rPr>
      </w:pPr>
      <w:r w:rsidRPr="00275FBD">
        <w:rPr>
          <w:lang w:val="sl-SI" w:eastAsia="en-GB"/>
        </w:rPr>
        <w:t xml:space="preserve">Celoten proces razvrščanja </w:t>
      </w:r>
      <w:r w:rsidR="00BD5705" w:rsidRPr="00275FBD">
        <w:rPr>
          <w:lang w:val="sl-SI" w:eastAsia="en-GB"/>
        </w:rPr>
        <w:t xml:space="preserve">najdb </w:t>
      </w:r>
      <w:r w:rsidRPr="00275FBD">
        <w:rPr>
          <w:lang w:val="sl-SI" w:eastAsia="en-GB"/>
        </w:rPr>
        <w:t xml:space="preserve">in določanja </w:t>
      </w:r>
      <w:r w:rsidR="00297FE2" w:rsidRPr="00297FE2">
        <w:rPr>
          <w:lang w:val="sl-SI" w:eastAsia="en-GB"/>
        </w:rPr>
        <w:t>prednosti</w:t>
      </w:r>
      <w:r w:rsidRPr="00275FBD">
        <w:rPr>
          <w:lang w:val="sl-SI" w:eastAsia="en-GB"/>
        </w:rPr>
        <w:t xml:space="preserve"> korektivnih ukrepov je prikazan v diagramu poteka</w:t>
      </w:r>
      <w:r w:rsidR="008C1D0D">
        <w:rPr>
          <w:lang w:val="sl-SI" w:eastAsia="en-GB"/>
        </w:rPr>
        <w:t xml:space="preserve"> na </w:t>
      </w:r>
      <w:r w:rsidR="000A5490">
        <w:rPr>
          <w:lang w:val="sl-SI" w:eastAsia="en-GB"/>
        </w:rPr>
        <w:t xml:space="preserve">spodnjih </w:t>
      </w:r>
      <w:r w:rsidR="008C1D0D">
        <w:rPr>
          <w:lang w:val="sl-SI" w:eastAsia="en-GB"/>
        </w:rPr>
        <w:t>slikah</w:t>
      </w:r>
      <w:r w:rsidR="000A5490">
        <w:rPr>
          <w:lang w:val="sl-SI" w:eastAsia="en-GB"/>
        </w:rPr>
        <w:t>.</w:t>
      </w:r>
      <w:r w:rsidR="00472461" w:rsidRPr="00275FBD">
        <w:rPr>
          <w:lang w:val="sl-SI" w:eastAsia="en-GB"/>
        </w:rPr>
        <w:fldChar w:fldCharType="begin"/>
      </w:r>
      <w:r w:rsidR="00472461" w:rsidRPr="00275FBD">
        <w:rPr>
          <w:lang w:val="sl-SI" w:eastAsia="en-GB"/>
        </w:rPr>
        <w:instrText xml:space="preserve"> REF _Ref138320851 \h </w:instrText>
      </w:r>
      <w:r w:rsidR="00472461" w:rsidRPr="00275FBD">
        <w:rPr>
          <w:lang w:val="sl-SI" w:eastAsia="en-GB"/>
        </w:rPr>
      </w:r>
      <w:r w:rsidR="00472461" w:rsidRPr="00275FBD">
        <w:rPr>
          <w:lang w:val="sl-SI" w:eastAsia="en-GB"/>
        </w:rPr>
        <w:fldChar w:fldCharType="separate"/>
      </w:r>
    </w:p>
    <w:p w14:paraId="321F8E3A" w14:textId="416381F7" w:rsidR="00807735" w:rsidRPr="00275FBD" w:rsidRDefault="00BA25CD" w:rsidP="003710C7">
      <w:pPr>
        <w:rPr>
          <w:lang w:val="sl-SI" w:eastAsia="en-GB"/>
        </w:rPr>
      </w:pPr>
      <w:r w:rsidRPr="00275FBD">
        <w:rPr>
          <w:lang w:val="sl-SI"/>
        </w:rPr>
        <w:t xml:space="preserve">Slika </w:t>
      </w:r>
      <w:r>
        <w:rPr>
          <w:noProof/>
          <w:lang w:val="sl-SI"/>
        </w:rPr>
        <w:t>2</w:t>
      </w:r>
      <w:r w:rsidRPr="00275FBD">
        <w:rPr>
          <w:lang w:val="sl-SI"/>
        </w:rPr>
        <w:noBreakHyphen/>
      </w:r>
      <w:r>
        <w:rPr>
          <w:noProof/>
          <w:lang w:val="sl-SI"/>
        </w:rPr>
        <w:t>2</w:t>
      </w:r>
      <w:r w:rsidR="00472461" w:rsidRPr="00275FBD">
        <w:rPr>
          <w:lang w:val="sl-SI" w:eastAsia="en-GB"/>
        </w:rPr>
        <w:fldChar w:fldCharType="end"/>
      </w:r>
      <w:r w:rsidR="00472461" w:rsidRPr="00275FBD">
        <w:rPr>
          <w:lang w:val="sl-SI" w:eastAsia="en-GB"/>
        </w:rPr>
        <w:t xml:space="preserve"> prikazuje</w:t>
      </w:r>
      <w:r w:rsidR="003710C7" w:rsidRPr="00275FBD">
        <w:rPr>
          <w:lang w:val="sl-SI" w:eastAsia="en-GB"/>
        </w:rPr>
        <w:t xml:space="preserve"> del postopka</w:t>
      </w:r>
      <w:r w:rsidR="0082596E">
        <w:rPr>
          <w:lang w:val="sl-SI" w:eastAsia="en-GB"/>
        </w:rPr>
        <w:t>,</w:t>
      </w:r>
      <w:r w:rsidR="003710C7" w:rsidRPr="00275FBD">
        <w:rPr>
          <w:lang w:val="sl-SI" w:eastAsia="en-GB"/>
        </w:rPr>
        <w:t xml:space="preserve"> v katerem so vs</w:t>
      </w:r>
      <w:r w:rsidR="00CE6729" w:rsidRPr="00275FBD">
        <w:rPr>
          <w:lang w:val="sl-SI" w:eastAsia="en-GB"/>
        </w:rPr>
        <w:t>e</w:t>
      </w:r>
      <w:r w:rsidR="00472461" w:rsidRPr="00275FBD">
        <w:rPr>
          <w:lang w:val="sl-SI" w:eastAsia="en-GB"/>
        </w:rPr>
        <w:t xml:space="preserve"> </w:t>
      </w:r>
      <w:r w:rsidR="00CE6729" w:rsidRPr="00275FBD">
        <w:rPr>
          <w:lang w:val="sl-SI" w:eastAsia="en-GB"/>
        </w:rPr>
        <w:t>najdbe</w:t>
      </w:r>
      <w:r w:rsidR="003710C7" w:rsidRPr="00275FBD">
        <w:rPr>
          <w:lang w:val="sl-SI" w:eastAsia="en-GB"/>
        </w:rPr>
        <w:t xml:space="preserve"> najprej razvrščen</w:t>
      </w:r>
      <w:r w:rsidR="00CE6729" w:rsidRPr="00275FBD">
        <w:rPr>
          <w:lang w:val="sl-SI" w:eastAsia="en-GB"/>
        </w:rPr>
        <w:t>e</w:t>
      </w:r>
      <w:r w:rsidR="003710C7" w:rsidRPr="00275FBD">
        <w:rPr>
          <w:lang w:val="sl-SI" w:eastAsia="en-GB"/>
        </w:rPr>
        <w:t xml:space="preserve"> glede na primarne (prva plast) in sekundarne (druga plast) atribute (merila). Tako dobljenemu rangu je bil dodan </w:t>
      </w:r>
      <w:proofErr w:type="spellStart"/>
      <w:r w:rsidR="003710C7" w:rsidRPr="00275FBD">
        <w:rPr>
          <w:lang w:val="sl-SI" w:eastAsia="en-GB"/>
        </w:rPr>
        <w:t>podrang</w:t>
      </w:r>
      <w:proofErr w:type="spellEnd"/>
      <w:r w:rsidR="003710C7" w:rsidRPr="00275FBD">
        <w:rPr>
          <w:lang w:val="sl-SI" w:eastAsia="en-GB"/>
        </w:rPr>
        <w:t xml:space="preserve"> po kvalitativni oceni stroškov kot terciarni (tretj</w:t>
      </w:r>
      <w:r w:rsidR="008C1D0D">
        <w:rPr>
          <w:lang w:val="sl-SI" w:eastAsia="en-GB"/>
        </w:rPr>
        <w:t>a</w:t>
      </w:r>
      <w:r w:rsidR="003710C7" w:rsidRPr="00275FBD">
        <w:rPr>
          <w:lang w:val="sl-SI" w:eastAsia="en-GB"/>
        </w:rPr>
        <w:t xml:space="preserve"> </w:t>
      </w:r>
      <w:r w:rsidR="008C1D0D">
        <w:rPr>
          <w:lang w:val="sl-SI" w:eastAsia="en-GB"/>
        </w:rPr>
        <w:t>plast</w:t>
      </w:r>
      <w:r w:rsidR="003710C7" w:rsidRPr="00275FBD">
        <w:rPr>
          <w:lang w:val="sl-SI" w:eastAsia="en-GB"/>
        </w:rPr>
        <w:t xml:space="preserve">) atribut. </w:t>
      </w:r>
      <w:r w:rsidR="003710C7" w:rsidRPr="00275FBD">
        <w:rPr>
          <w:lang w:val="sl-SI" w:eastAsia="en-GB"/>
        </w:rPr>
        <w:lastRenderedPageBreak/>
        <w:t>Ta del</w:t>
      </w:r>
      <w:r w:rsidR="00472461" w:rsidRPr="00275FBD">
        <w:rPr>
          <w:lang w:val="sl-SI" w:eastAsia="en-GB"/>
        </w:rPr>
        <w:t xml:space="preserve"> </w:t>
      </w:r>
      <w:r w:rsidR="003710C7" w:rsidRPr="00275FBD">
        <w:rPr>
          <w:lang w:val="sl-SI" w:eastAsia="en-GB"/>
        </w:rPr>
        <w:t xml:space="preserve">prikazuje </w:t>
      </w:r>
      <w:r w:rsidR="00472461" w:rsidRPr="00275FBD">
        <w:rPr>
          <w:lang w:val="sl-SI" w:eastAsia="en-GB"/>
        </w:rPr>
        <w:fldChar w:fldCharType="begin"/>
      </w:r>
      <w:r w:rsidR="00472461" w:rsidRPr="00275FBD">
        <w:rPr>
          <w:lang w:val="sl-SI" w:eastAsia="en-GB"/>
        </w:rPr>
        <w:instrText xml:space="preserve"> REF _Ref138320860 \h </w:instrText>
      </w:r>
      <w:r w:rsidR="00472461" w:rsidRPr="00275FBD">
        <w:rPr>
          <w:lang w:val="sl-SI" w:eastAsia="en-GB"/>
        </w:rPr>
      </w:r>
      <w:r w:rsidR="00472461" w:rsidRPr="00275FBD">
        <w:rPr>
          <w:lang w:val="sl-SI" w:eastAsia="en-GB"/>
        </w:rPr>
        <w:fldChar w:fldCharType="separate"/>
      </w:r>
      <w:r w:rsidRPr="00275FBD">
        <w:rPr>
          <w:lang w:val="sl-SI"/>
        </w:rPr>
        <w:t xml:space="preserve">Slika </w:t>
      </w:r>
      <w:r>
        <w:rPr>
          <w:noProof/>
          <w:lang w:val="sl-SI"/>
        </w:rPr>
        <w:t>2</w:t>
      </w:r>
      <w:r w:rsidRPr="00275FBD">
        <w:rPr>
          <w:lang w:val="sl-SI"/>
        </w:rPr>
        <w:noBreakHyphen/>
      </w:r>
      <w:r>
        <w:rPr>
          <w:noProof/>
          <w:lang w:val="sl-SI"/>
        </w:rPr>
        <w:t>3</w:t>
      </w:r>
      <w:r w:rsidR="00472461" w:rsidRPr="00275FBD">
        <w:rPr>
          <w:lang w:val="sl-SI" w:eastAsia="en-GB"/>
        </w:rPr>
        <w:fldChar w:fldCharType="end"/>
      </w:r>
      <w:r w:rsidR="003710C7" w:rsidRPr="00275FBD">
        <w:rPr>
          <w:lang w:val="sl-SI" w:eastAsia="en-GB"/>
        </w:rPr>
        <w:t>. Razvrstitev je bila</w:t>
      </w:r>
      <w:r w:rsidR="0082596E">
        <w:rPr>
          <w:lang w:val="sl-SI" w:eastAsia="en-GB"/>
        </w:rPr>
        <w:t xml:space="preserve"> </w:t>
      </w:r>
      <w:r w:rsidR="003710C7" w:rsidRPr="00275FBD">
        <w:rPr>
          <w:lang w:val="sl-SI" w:eastAsia="en-GB"/>
        </w:rPr>
        <w:t xml:space="preserve">narejena </w:t>
      </w:r>
      <w:r w:rsidR="00472461" w:rsidRPr="00275FBD">
        <w:rPr>
          <w:lang w:val="sl-SI" w:eastAsia="en-GB"/>
        </w:rPr>
        <w:t>po</w:t>
      </w:r>
      <w:r w:rsidR="003710C7" w:rsidRPr="00275FBD">
        <w:rPr>
          <w:lang w:val="sl-SI" w:eastAsia="en-GB"/>
        </w:rPr>
        <w:t xml:space="preserve"> treh ločenih p</w:t>
      </w:r>
      <w:r w:rsidR="00472461" w:rsidRPr="00275FBD">
        <w:rPr>
          <w:lang w:val="sl-SI" w:eastAsia="en-GB"/>
        </w:rPr>
        <w:t>ote</w:t>
      </w:r>
      <w:r w:rsidR="003710C7" w:rsidRPr="00275FBD">
        <w:rPr>
          <w:lang w:val="sl-SI" w:eastAsia="en-GB"/>
        </w:rPr>
        <w:t xml:space="preserve">h za tri kategorije </w:t>
      </w:r>
      <w:r w:rsidR="00BD5705" w:rsidRPr="00275FBD">
        <w:rPr>
          <w:lang w:val="sl-SI" w:eastAsia="en-GB"/>
        </w:rPr>
        <w:t>najdb,</w:t>
      </w:r>
      <w:r w:rsidR="003710C7" w:rsidRPr="00275FBD">
        <w:rPr>
          <w:lang w:val="sl-SI" w:eastAsia="en-GB"/>
        </w:rPr>
        <w:t xml:space="preserve"> </w:t>
      </w:r>
      <w:r w:rsidR="001D65DF">
        <w:rPr>
          <w:lang w:val="sl-SI" w:eastAsia="en-GB"/>
        </w:rPr>
        <w:t>»</w:t>
      </w:r>
      <w:r w:rsidR="003710C7" w:rsidRPr="00275FBD">
        <w:rPr>
          <w:lang w:val="sl-SI" w:eastAsia="en-GB"/>
        </w:rPr>
        <w:t>DL</w:t>
      </w:r>
      <w:r w:rsidR="001D65DF">
        <w:rPr>
          <w:lang w:val="sl-SI" w:eastAsia="en-GB"/>
        </w:rPr>
        <w:t>«</w:t>
      </w:r>
      <w:r w:rsidR="003710C7" w:rsidRPr="00275FBD">
        <w:rPr>
          <w:lang w:val="sl-SI" w:eastAsia="en-GB"/>
        </w:rPr>
        <w:t xml:space="preserve">, </w:t>
      </w:r>
      <w:r w:rsidR="001D65DF">
        <w:rPr>
          <w:lang w:val="sl-SI" w:eastAsia="en-GB"/>
        </w:rPr>
        <w:t>»</w:t>
      </w:r>
      <w:r w:rsidR="003710C7" w:rsidRPr="00275FBD">
        <w:rPr>
          <w:lang w:val="sl-SI" w:eastAsia="en-GB"/>
        </w:rPr>
        <w:t>RE</w:t>
      </w:r>
      <w:r w:rsidR="001D65DF">
        <w:rPr>
          <w:lang w:val="sl-SI" w:eastAsia="en-GB"/>
        </w:rPr>
        <w:t>«</w:t>
      </w:r>
      <w:r w:rsidR="003710C7" w:rsidRPr="00275FBD">
        <w:rPr>
          <w:lang w:val="sl-SI" w:eastAsia="en-GB"/>
        </w:rPr>
        <w:t xml:space="preserve"> in </w:t>
      </w:r>
      <w:r w:rsidR="001D65DF">
        <w:rPr>
          <w:lang w:val="sl-SI" w:eastAsia="en-GB"/>
        </w:rPr>
        <w:t>»</w:t>
      </w:r>
      <w:r w:rsidR="003710C7" w:rsidRPr="00275FBD">
        <w:rPr>
          <w:lang w:val="sl-SI" w:eastAsia="en-GB"/>
        </w:rPr>
        <w:t>SF</w:t>
      </w:r>
      <w:r w:rsidR="001D65DF">
        <w:rPr>
          <w:lang w:val="sl-SI" w:eastAsia="en-GB"/>
        </w:rPr>
        <w:t>«</w:t>
      </w:r>
      <w:r w:rsidR="003710C7" w:rsidRPr="00275FBD">
        <w:rPr>
          <w:lang w:val="sl-SI" w:eastAsia="en-GB"/>
        </w:rPr>
        <w:t xml:space="preserve">. </w:t>
      </w:r>
      <w:r w:rsidR="00472461" w:rsidRPr="00275FBD">
        <w:rPr>
          <w:lang w:val="sl-SI" w:eastAsia="en-GB"/>
        </w:rPr>
        <w:t>T</w:t>
      </w:r>
      <w:r w:rsidR="003710C7" w:rsidRPr="00275FBD">
        <w:rPr>
          <w:lang w:val="sl-SI" w:eastAsia="en-GB"/>
        </w:rPr>
        <w:t xml:space="preserve">rije </w:t>
      </w:r>
      <w:r w:rsidR="00472461" w:rsidRPr="00275FBD">
        <w:rPr>
          <w:lang w:val="sl-SI" w:eastAsia="en-GB"/>
        </w:rPr>
        <w:t xml:space="preserve">razvrščeni </w:t>
      </w:r>
      <w:r w:rsidR="003710C7" w:rsidRPr="00275FBD">
        <w:rPr>
          <w:lang w:val="sl-SI" w:eastAsia="en-GB"/>
        </w:rPr>
        <w:t xml:space="preserve">seznami so bili nato uporabljeni kot vhodni podatki za </w:t>
      </w:r>
      <w:r w:rsidR="0082596E">
        <w:rPr>
          <w:lang w:val="sl-SI" w:eastAsia="en-GB"/>
        </w:rPr>
        <w:t>izdelavo</w:t>
      </w:r>
      <w:r w:rsidR="0082596E" w:rsidRPr="00275FBD">
        <w:rPr>
          <w:lang w:val="sl-SI" w:eastAsia="en-GB"/>
        </w:rPr>
        <w:t xml:space="preserve"> </w:t>
      </w:r>
      <w:r w:rsidR="00472461" w:rsidRPr="00275FBD">
        <w:rPr>
          <w:lang w:val="sl-SI" w:eastAsia="en-GB"/>
        </w:rPr>
        <w:t>N</w:t>
      </w:r>
      <w:r w:rsidR="003710C7" w:rsidRPr="00275FBD">
        <w:rPr>
          <w:lang w:val="sl-SI" w:eastAsia="en-GB"/>
        </w:rPr>
        <w:t>ačrta</w:t>
      </w:r>
      <w:r w:rsidR="00472461" w:rsidRPr="00275FBD">
        <w:rPr>
          <w:lang w:val="sl-SI" w:eastAsia="en-GB"/>
        </w:rPr>
        <w:t xml:space="preserve"> izvedbe ukrepov</w:t>
      </w:r>
      <w:r w:rsidR="003710C7" w:rsidRPr="00275FBD">
        <w:rPr>
          <w:lang w:val="sl-SI" w:eastAsia="en-GB"/>
        </w:rPr>
        <w:t xml:space="preserve"> (IAP), ki je </w:t>
      </w:r>
      <w:r w:rsidR="003710C7" w:rsidRPr="0082596E">
        <w:rPr>
          <w:lang w:val="sl-SI" w:eastAsia="en-GB"/>
        </w:rPr>
        <w:t>naveden v poročilu</w:t>
      </w:r>
      <w:r w:rsidR="0082596E" w:rsidRPr="0082596E">
        <w:rPr>
          <w:lang w:val="sl-SI"/>
        </w:rPr>
        <w:t xml:space="preserve"> PSR3</w:t>
      </w:r>
      <w:r w:rsidR="0082596E" w:rsidRPr="00275FBD">
        <w:rPr>
          <w:lang w:val="sl-SI"/>
        </w:rPr>
        <w:t>-NEK-9.2</w:t>
      </w:r>
      <w:r w:rsidR="003710C7" w:rsidRPr="00275FBD">
        <w:rPr>
          <w:lang w:val="sl-SI" w:eastAsia="en-GB"/>
        </w:rPr>
        <w:t xml:space="preserve"> </w:t>
      </w:r>
      <w:r w:rsidR="00472461" w:rsidRPr="00275FBD">
        <w:rPr>
          <w:lang w:val="sl-SI" w:eastAsia="en-GB"/>
        </w:rPr>
        <w:fldChar w:fldCharType="begin"/>
      </w:r>
      <w:r w:rsidR="00472461" w:rsidRPr="00275FBD">
        <w:rPr>
          <w:lang w:val="sl-SI" w:eastAsia="en-GB"/>
        </w:rPr>
        <w:instrText xml:space="preserve"> REF _Ref133224011 \r \h </w:instrText>
      </w:r>
      <w:r w:rsidR="00472461" w:rsidRPr="00275FBD">
        <w:rPr>
          <w:lang w:val="sl-SI" w:eastAsia="en-GB"/>
        </w:rPr>
      </w:r>
      <w:r w:rsidR="00472461" w:rsidRPr="00275FBD">
        <w:rPr>
          <w:lang w:val="sl-SI" w:eastAsia="en-GB"/>
        </w:rPr>
        <w:fldChar w:fldCharType="separate"/>
      </w:r>
      <w:r>
        <w:rPr>
          <w:lang w:val="sl-SI" w:eastAsia="en-GB"/>
        </w:rPr>
        <w:t>[10]</w:t>
      </w:r>
      <w:r w:rsidR="00472461" w:rsidRPr="00275FBD">
        <w:rPr>
          <w:lang w:val="sl-SI" w:eastAsia="en-GB"/>
        </w:rPr>
        <w:fldChar w:fldCharType="end"/>
      </w:r>
      <w:r w:rsidR="003710C7" w:rsidRPr="00275FBD">
        <w:rPr>
          <w:lang w:val="sl-SI" w:eastAsia="en-GB"/>
        </w:rPr>
        <w:t xml:space="preserve">. </w:t>
      </w:r>
    </w:p>
    <w:p w14:paraId="3F59F255" w14:textId="77777777" w:rsidR="007E671D" w:rsidRPr="00275FBD" w:rsidRDefault="007E671D" w:rsidP="00982918">
      <w:pPr>
        <w:rPr>
          <w:lang w:val="sl-SI"/>
        </w:rPr>
      </w:pPr>
    </w:p>
    <w:p w14:paraId="78B26D9C" w14:textId="77777777" w:rsidR="007E671D" w:rsidRPr="00275FBD" w:rsidRDefault="007E671D" w:rsidP="00982918">
      <w:pPr>
        <w:rPr>
          <w:lang w:val="sl-SI"/>
        </w:rPr>
        <w:sectPr w:rsidR="007E671D" w:rsidRPr="00275FBD" w:rsidSect="005F6909">
          <w:headerReference w:type="default" r:id="rId29"/>
          <w:footerReference w:type="default" r:id="rId30"/>
          <w:footnotePr>
            <w:numRestart w:val="eachPage"/>
          </w:footnotePr>
          <w:pgSz w:w="11906" w:h="16838"/>
          <w:pgMar w:top="1417" w:right="1417" w:bottom="1134" w:left="1417" w:header="708" w:footer="708" w:gutter="0"/>
          <w:cols w:space="708"/>
          <w:docGrid w:linePitch="360"/>
        </w:sectPr>
      </w:pPr>
    </w:p>
    <w:p w14:paraId="7DA0E45F" w14:textId="0700B423" w:rsidR="000A5490" w:rsidRDefault="00A27937" w:rsidP="000A5490">
      <w:pPr>
        <w:rPr>
          <w:lang w:val="sl-SI"/>
        </w:rPr>
      </w:pPr>
      <w:r w:rsidRPr="00A27937">
        <w:rPr>
          <w:noProof/>
        </w:rPr>
        <w:lastRenderedPageBreak/>
        <w:drawing>
          <wp:inline distT="0" distB="0" distL="0" distR="0" wp14:anchorId="13C9677E" wp14:editId="6E5E2C67">
            <wp:extent cx="6801485" cy="5038219"/>
            <wp:effectExtent l="0" t="0" r="0" b="0"/>
            <wp:docPr id="208706977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069775" name="Picture 3">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10608" cy="5044977"/>
                    </a:xfrm>
                    <a:prstGeom prst="rect">
                      <a:avLst/>
                    </a:prstGeom>
                    <a:noFill/>
                    <a:ln>
                      <a:noFill/>
                    </a:ln>
                  </pic:spPr>
                </pic:pic>
              </a:graphicData>
            </a:graphic>
          </wp:inline>
        </w:drawing>
      </w:r>
      <w:bookmarkStart w:id="36" w:name="_Ref138320851"/>
    </w:p>
    <w:p w14:paraId="3EF77A65" w14:textId="2DC2095C" w:rsidR="000B0253" w:rsidRPr="00275FBD" w:rsidRDefault="00E945B2" w:rsidP="00E945B2">
      <w:pPr>
        <w:pStyle w:val="Napis"/>
        <w:rPr>
          <w:lang w:val="sl-SI"/>
        </w:rPr>
      </w:pPr>
      <w:bookmarkStart w:id="37" w:name="_Toc163197451"/>
      <w:r w:rsidRPr="00275FBD">
        <w:rPr>
          <w:lang w:val="sl-SI"/>
        </w:rPr>
        <w:t xml:space="preserve">Slika </w:t>
      </w:r>
      <w:r w:rsidR="000A2C1E" w:rsidRPr="00275FBD">
        <w:rPr>
          <w:lang w:val="sl-SI"/>
        </w:rPr>
        <w:fldChar w:fldCharType="begin"/>
      </w:r>
      <w:r w:rsidR="000A2C1E" w:rsidRPr="00275FBD">
        <w:rPr>
          <w:lang w:val="sl-SI"/>
        </w:rPr>
        <w:instrText xml:space="preserve"> STYLEREF 1 \s </w:instrText>
      </w:r>
      <w:r w:rsidR="000A2C1E" w:rsidRPr="00275FBD">
        <w:rPr>
          <w:lang w:val="sl-SI"/>
        </w:rPr>
        <w:fldChar w:fldCharType="separate"/>
      </w:r>
      <w:r w:rsidR="00BA25CD">
        <w:rPr>
          <w:noProof/>
          <w:lang w:val="sl-SI"/>
        </w:rPr>
        <w:t>2</w:t>
      </w:r>
      <w:r w:rsidR="000A2C1E" w:rsidRPr="00275FBD">
        <w:rPr>
          <w:lang w:val="sl-SI"/>
        </w:rPr>
        <w:fldChar w:fldCharType="end"/>
      </w:r>
      <w:r w:rsidR="000A2C1E" w:rsidRPr="00275FBD">
        <w:rPr>
          <w:lang w:val="sl-SI"/>
        </w:rPr>
        <w:noBreakHyphen/>
      </w:r>
      <w:r w:rsidR="000A2C1E" w:rsidRPr="00275FBD">
        <w:rPr>
          <w:lang w:val="sl-SI"/>
        </w:rPr>
        <w:fldChar w:fldCharType="begin"/>
      </w:r>
      <w:r w:rsidR="000A2C1E" w:rsidRPr="00275FBD">
        <w:rPr>
          <w:lang w:val="sl-SI"/>
        </w:rPr>
        <w:instrText xml:space="preserve"> SEQ Slika \* ARABIC \s 1 </w:instrText>
      </w:r>
      <w:r w:rsidR="000A2C1E" w:rsidRPr="00275FBD">
        <w:rPr>
          <w:lang w:val="sl-SI"/>
        </w:rPr>
        <w:fldChar w:fldCharType="separate"/>
      </w:r>
      <w:r w:rsidR="00BA25CD">
        <w:rPr>
          <w:noProof/>
          <w:lang w:val="sl-SI"/>
        </w:rPr>
        <w:t>2</w:t>
      </w:r>
      <w:r w:rsidR="000A2C1E" w:rsidRPr="00275FBD">
        <w:rPr>
          <w:lang w:val="sl-SI"/>
        </w:rPr>
        <w:fldChar w:fldCharType="end"/>
      </w:r>
      <w:bookmarkEnd w:id="36"/>
      <w:r w:rsidRPr="00275FBD">
        <w:rPr>
          <w:lang w:val="sl-SI"/>
        </w:rPr>
        <w:t xml:space="preserve">: Splošni diagram procesa, prvi del – razvrstitev </w:t>
      </w:r>
      <w:r w:rsidR="00395621" w:rsidRPr="00275FBD">
        <w:rPr>
          <w:lang w:val="sl-SI"/>
        </w:rPr>
        <w:t>najdb</w:t>
      </w:r>
      <w:bookmarkEnd w:id="37"/>
    </w:p>
    <w:p w14:paraId="5260851A" w14:textId="77777777" w:rsidR="00E945B2" w:rsidRDefault="00E945B2" w:rsidP="000A5490">
      <w:pPr>
        <w:rPr>
          <w:lang w:val="sl-SI"/>
        </w:rPr>
      </w:pPr>
    </w:p>
    <w:p w14:paraId="68AC01DA" w14:textId="77777777" w:rsidR="000A5490" w:rsidRPr="00275FBD" w:rsidRDefault="000A5490" w:rsidP="000B0253">
      <w:pPr>
        <w:rPr>
          <w:lang w:val="sl-SI"/>
        </w:rPr>
      </w:pPr>
    </w:p>
    <w:p w14:paraId="14E07B70" w14:textId="77777777" w:rsidR="007E671D" w:rsidRPr="00275FBD" w:rsidRDefault="007E671D" w:rsidP="007E671D">
      <w:pPr>
        <w:rPr>
          <w:lang w:val="sl-SI"/>
        </w:rPr>
        <w:sectPr w:rsidR="007E671D" w:rsidRPr="00275FBD" w:rsidSect="005F6909">
          <w:headerReference w:type="default" r:id="rId32"/>
          <w:footerReference w:type="default" r:id="rId33"/>
          <w:footnotePr>
            <w:numRestart w:val="eachPage"/>
          </w:footnotePr>
          <w:pgSz w:w="16838" w:h="11906" w:orient="landscape"/>
          <w:pgMar w:top="1417" w:right="1417" w:bottom="1417" w:left="1134" w:header="708" w:footer="708" w:gutter="0"/>
          <w:cols w:space="708"/>
          <w:docGrid w:linePitch="360"/>
        </w:sectPr>
      </w:pPr>
    </w:p>
    <w:p w14:paraId="02EC2F97" w14:textId="4D6BA119" w:rsidR="00982918" w:rsidRDefault="00A27937" w:rsidP="00982918">
      <w:pPr>
        <w:jc w:val="center"/>
        <w:rPr>
          <w:lang w:val="sl-SI"/>
        </w:rPr>
      </w:pPr>
      <w:r w:rsidRPr="00A27937">
        <w:rPr>
          <w:noProof/>
        </w:rPr>
        <w:lastRenderedPageBreak/>
        <w:drawing>
          <wp:inline distT="0" distB="0" distL="0" distR="0" wp14:anchorId="3B166131" wp14:editId="2DDA5658">
            <wp:extent cx="2331720" cy="4922520"/>
            <wp:effectExtent l="0" t="0" r="0" b="0"/>
            <wp:docPr id="99340208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402083" name="Picture 5">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31720" cy="4922520"/>
                    </a:xfrm>
                    <a:prstGeom prst="rect">
                      <a:avLst/>
                    </a:prstGeom>
                    <a:noFill/>
                    <a:ln>
                      <a:noFill/>
                    </a:ln>
                  </pic:spPr>
                </pic:pic>
              </a:graphicData>
            </a:graphic>
          </wp:inline>
        </w:drawing>
      </w:r>
    </w:p>
    <w:p w14:paraId="6734328E" w14:textId="77777777" w:rsidR="000A5490" w:rsidRPr="00275FBD" w:rsidRDefault="000A5490" w:rsidP="000A5490">
      <w:pPr>
        <w:rPr>
          <w:lang w:val="sl-SI"/>
        </w:rPr>
      </w:pPr>
    </w:p>
    <w:p w14:paraId="11B4666A" w14:textId="36CFCE90" w:rsidR="00E945B2" w:rsidRPr="00275FBD" w:rsidRDefault="00E945B2" w:rsidP="00E945B2">
      <w:pPr>
        <w:pStyle w:val="Napis"/>
        <w:rPr>
          <w:lang w:val="sl-SI"/>
        </w:rPr>
      </w:pPr>
      <w:bookmarkStart w:id="38" w:name="_Ref138320860"/>
      <w:bookmarkStart w:id="39" w:name="_Toc163197452"/>
      <w:r w:rsidRPr="00275FBD">
        <w:rPr>
          <w:lang w:val="sl-SI"/>
        </w:rPr>
        <w:t xml:space="preserve">Slika </w:t>
      </w:r>
      <w:r w:rsidR="000A2C1E" w:rsidRPr="00275FBD">
        <w:rPr>
          <w:lang w:val="sl-SI"/>
        </w:rPr>
        <w:fldChar w:fldCharType="begin"/>
      </w:r>
      <w:r w:rsidR="000A2C1E" w:rsidRPr="00275FBD">
        <w:rPr>
          <w:lang w:val="sl-SI"/>
        </w:rPr>
        <w:instrText xml:space="preserve"> STYLEREF 1 \s </w:instrText>
      </w:r>
      <w:r w:rsidR="000A2C1E" w:rsidRPr="00275FBD">
        <w:rPr>
          <w:lang w:val="sl-SI"/>
        </w:rPr>
        <w:fldChar w:fldCharType="separate"/>
      </w:r>
      <w:r w:rsidR="00BA25CD">
        <w:rPr>
          <w:noProof/>
          <w:lang w:val="sl-SI"/>
        </w:rPr>
        <w:t>2</w:t>
      </w:r>
      <w:r w:rsidR="000A2C1E" w:rsidRPr="00275FBD">
        <w:rPr>
          <w:lang w:val="sl-SI"/>
        </w:rPr>
        <w:fldChar w:fldCharType="end"/>
      </w:r>
      <w:r w:rsidR="000A2C1E" w:rsidRPr="00275FBD">
        <w:rPr>
          <w:lang w:val="sl-SI"/>
        </w:rPr>
        <w:noBreakHyphen/>
      </w:r>
      <w:r w:rsidR="000A2C1E" w:rsidRPr="00275FBD">
        <w:rPr>
          <w:lang w:val="sl-SI"/>
        </w:rPr>
        <w:fldChar w:fldCharType="begin"/>
      </w:r>
      <w:r w:rsidR="000A2C1E" w:rsidRPr="00275FBD">
        <w:rPr>
          <w:lang w:val="sl-SI"/>
        </w:rPr>
        <w:instrText xml:space="preserve"> SEQ Slika \* ARABIC \s 1 </w:instrText>
      </w:r>
      <w:r w:rsidR="000A2C1E" w:rsidRPr="00275FBD">
        <w:rPr>
          <w:lang w:val="sl-SI"/>
        </w:rPr>
        <w:fldChar w:fldCharType="separate"/>
      </w:r>
      <w:r w:rsidR="00BA25CD">
        <w:rPr>
          <w:noProof/>
          <w:lang w:val="sl-SI"/>
        </w:rPr>
        <w:t>3</w:t>
      </w:r>
      <w:r w:rsidR="000A2C1E" w:rsidRPr="00275FBD">
        <w:rPr>
          <w:lang w:val="sl-SI"/>
        </w:rPr>
        <w:fldChar w:fldCharType="end"/>
      </w:r>
      <w:bookmarkEnd w:id="38"/>
      <w:r w:rsidRPr="00275FBD">
        <w:rPr>
          <w:lang w:val="sl-SI"/>
        </w:rPr>
        <w:t>: Splošni diagram procesa, drugi del – določanje prednostnih korektivnih ukrepov</w:t>
      </w:r>
      <w:bookmarkEnd w:id="39"/>
    </w:p>
    <w:p w14:paraId="6DB0DA66" w14:textId="77777777" w:rsidR="00982918" w:rsidRPr="00275FBD" w:rsidRDefault="00982918" w:rsidP="00982918">
      <w:pPr>
        <w:rPr>
          <w:lang w:val="sl-SI"/>
        </w:rPr>
      </w:pPr>
    </w:p>
    <w:p w14:paraId="34B77663" w14:textId="4053C57A" w:rsidR="00B73517" w:rsidRPr="00275FBD" w:rsidRDefault="002E5A82" w:rsidP="00B73517">
      <w:pPr>
        <w:pStyle w:val="Naslov3"/>
        <w:rPr>
          <w:lang w:val="sl-SI"/>
        </w:rPr>
      </w:pPr>
      <w:bookmarkStart w:id="40" w:name="_Toc163197423"/>
      <w:r w:rsidRPr="00275FBD">
        <w:rPr>
          <w:lang w:val="sl-SI"/>
        </w:rPr>
        <w:t>Načrt izvedbe ukrepov</w:t>
      </w:r>
      <w:r w:rsidR="0048505F" w:rsidRPr="00275FBD">
        <w:rPr>
          <w:lang w:val="sl-SI"/>
        </w:rPr>
        <w:t xml:space="preserve"> (IAP)</w:t>
      </w:r>
      <w:bookmarkEnd w:id="40"/>
    </w:p>
    <w:p w14:paraId="42F5E24A" w14:textId="4D8E5BD5" w:rsidR="002E5A82" w:rsidRPr="00275FBD" w:rsidRDefault="002E5A82" w:rsidP="002E5A82">
      <w:pPr>
        <w:rPr>
          <w:lang w:val="sl-SI"/>
        </w:rPr>
      </w:pPr>
      <w:r w:rsidRPr="00275FBD">
        <w:rPr>
          <w:lang w:val="sl-SI"/>
        </w:rPr>
        <w:t xml:space="preserve">Osnovni cilj </w:t>
      </w:r>
      <w:r w:rsidR="00A740A6" w:rsidRPr="00275FBD">
        <w:rPr>
          <w:lang w:val="sl-SI"/>
        </w:rPr>
        <w:t>načrta izvedbe</w:t>
      </w:r>
      <w:r w:rsidR="00A740A6">
        <w:rPr>
          <w:lang w:val="sl-SI"/>
        </w:rPr>
        <w:t xml:space="preserve"> ukrepov</w:t>
      </w:r>
      <w:r w:rsidR="00A740A6" w:rsidRPr="00275FBD">
        <w:rPr>
          <w:lang w:val="sl-SI"/>
        </w:rPr>
        <w:t xml:space="preserve"> </w:t>
      </w:r>
      <w:r w:rsidRPr="00275FBD">
        <w:rPr>
          <w:lang w:val="sl-SI"/>
        </w:rPr>
        <w:t>je zagotoviti, da se vsi korektivni ukrepi izvajajo na predviden način in v časovnem okvir</w:t>
      </w:r>
      <w:r w:rsidR="00A740A6">
        <w:rPr>
          <w:lang w:val="sl-SI"/>
        </w:rPr>
        <w:t>j</w:t>
      </w:r>
      <w:r w:rsidRPr="00275FBD">
        <w:rPr>
          <w:lang w:val="sl-SI"/>
        </w:rPr>
        <w:t>u, ki je potreben za varno nadaljnje obratovanje elektrarne.</w:t>
      </w:r>
    </w:p>
    <w:p w14:paraId="6DF70360" w14:textId="3AFEAACB" w:rsidR="002E5A82" w:rsidRPr="00275FBD" w:rsidRDefault="002E5A82" w:rsidP="002E5A82">
      <w:pPr>
        <w:rPr>
          <w:lang w:val="sl-SI"/>
        </w:rPr>
      </w:pPr>
      <w:r w:rsidRPr="00275FBD">
        <w:rPr>
          <w:lang w:val="sl-SI"/>
        </w:rPr>
        <w:t xml:space="preserve">Načrt izvedbe ukrepov </w:t>
      </w:r>
      <w:r w:rsidR="0082596E">
        <w:rPr>
          <w:lang w:val="sl-SI"/>
        </w:rPr>
        <w:t xml:space="preserve">za </w:t>
      </w:r>
      <w:r w:rsidR="0082596E" w:rsidRPr="00275FBD">
        <w:rPr>
          <w:lang w:val="sl-SI"/>
        </w:rPr>
        <w:t xml:space="preserve">PSR3 je </w:t>
      </w:r>
      <w:r w:rsidRPr="00275FBD">
        <w:rPr>
          <w:lang w:val="sl-SI"/>
        </w:rPr>
        <w:t xml:space="preserve">podan v poročilu </w:t>
      </w:r>
      <w:r w:rsidRPr="00275FBD">
        <w:rPr>
          <w:lang w:val="sl-SI"/>
        </w:rPr>
        <w:fldChar w:fldCharType="begin"/>
      </w:r>
      <w:r w:rsidRPr="00275FBD">
        <w:rPr>
          <w:lang w:val="sl-SI"/>
        </w:rPr>
        <w:instrText xml:space="preserve"> REF _Ref133224011 \r \h </w:instrText>
      </w:r>
      <w:r w:rsidRPr="00275FBD">
        <w:rPr>
          <w:lang w:val="sl-SI"/>
        </w:rPr>
      </w:r>
      <w:r w:rsidRPr="00275FBD">
        <w:rPr>
          <w:lang w:val="sl-SI"/>
        </w:rPr>
        <w:fldChar w:fldCharType="separate"/>
      </w:r>
      <w:r w:rsidR="00BA25CD">
        <w:rPr>
          <w:lang w:val="sl-SI"/>
        </w:rPr>
        <w:t>[10]</w:t>
      </w:r>
      <w:r w:rsidRPr="00275FBD">
        <w:rPr>
          <w:lang w:val="sl-SI"/>
        </w:rPr>
        <w:fldChar w:fldCharType="end"/>
      </w:r>
      <w:r w:rsidRPr="00275FBD">
        <w:rPr>
          <w:lang w:val="sl-SI"/>
        </w:rPr>
        <w:t xml:space="preserve">. Neposredni vhodni podatki za vzpostavitev IAP, kot je opisano v omenjenem poročilu, so bili razvrščeni seznami </w:t>
      </w:r>
      <w:r w:rsidR="00BD5705" w:rsidRPr="00275FBD">
        <w:rPr>
          <w:lang w:val="sl-SI"/>
        </w:rPr>
        <w:t xml:space="preserve">najdb </w:t>
      </w:r>
      <w:r w:rsidRPr="00275FBD">
        <w:rPr>
          <w:lang w:val="sl-SI"/>
        </w:rPr>
        <w:t xml:space="preserve">treh kategorij, obravnavanih v prejšnjem </w:t>
      </w:r>
      <w:r w:rsidR="00052E53" w:rsidRPr="00275FBD">
        <w:rPr>
          <w:lang w:val="sl-SI"/>
        </w:rPr>
        <w:t xml:space="preserve">poglavju </w:t>
      </w:r>
      <w:r w:rsidRPr="00275FBD">
        <w:rPr>
          <w:lang w:val="sl-SI"/>
        </w:rPr>
        <w:t>(</w:t>
      </w:r>
      <w:r w:rsidR="001D65DF">
        <w:rPr>
          <w:lang w:val="sl-SI"/>
        </w:rPr>
        <w:t>»</w:t>
      </w:r>
      <w:r w:rsidRPr="00275FBD">
        <w:rPr>
          <w:lang w:val="sl-SI"/>
        </w:rPr>
        <w:t>DL</w:t>
      </w:r>
      <w:r w:rsidR="001D65DF">
        <w:rPr>
          <w:lang w:val="sl-SI"/>
        </w:rPr>
        <w:t>«</w:t>
      </w:r>
      <w:r w:rsidRPr="00275FBD">
        <w:rPr>
          <w:lang w:val="sl-SI"/>
        </w:rPr>
        <w:t xml:space="preserve">, </w:t>
      </w:r>
      <w:r w:rsidR="001D65DF">
        <w:rPr>
          <w:lang w:val="sl-SI"/>
        </w:rPr>
        <w:t>»</w:t>
      </w:r>
      <w:r w:rsidRPr="00275FBD">
        <w:rPr>
          <w:lang w:val="sl-SI"/>
        </w:rPr>
        <w:t>RE</w:t>
      </w:r>
      <w:r w:rsidR="001D65DF">
        <w:rPr>
          <w:lang w:val="sl-SI"/>
        </w:rPr>
        <w:t>«</w:t>
      </w:r>
      <w:r w:rsidRPr="00275FBD">
        <w:rPr>
          <w:lang w:val="sl-SI"/>
        </w:rPr>
        <w:t xml:space="preserve"> in </w:t>
      </w:r>
      <w:r w:rsidR="001D65DF">
        <w:rPr>
          <w:lang w:val="sl-SI"/>
        </w:rPr>
        <w:t>»</w:t>
      </w:r>
      <w:r w:rsidRPr="00275FBD">
        <w:rPr>
          <w:lang w:val="sl-SI"/>
        </w:rPr>
        <w:t>SF</w:t>
      </w:r>
      <w:r w:rsidR="001D65DF">
        <w:rPr>
          <w:lang w:val="sl-SI"/>
        </w:rPr>
        <w:t>«</w:t>
      </w:r>
      <w:r w:rsidRPr="00275FBD">
        <w:rPr>
          <w:lang w:val="sl-SI"/>
        </w:rPr>
        <w:t xml:space="preserve">). Ti seznami </w:t>
      </w:r>
      <w:r w:rsidR="0082596E">
        <w:rPr>
          <w:lang w:val="sl-SI"/>
        </w:rPr>
        <w:t xml:space="preserve">vključujejo le </w:t>
      </w:r>
      <w:r w:rsidR="0082596E" w:rsidRPr="0082596E">
        <w:rPr>
          <w:lang w:val="sl-SI"/>
        </w:rPr>
        <w:t>najdbe</w:t>
      </w:r>
      <w:r w:rsidRPr="0082596E">
        <w:rPr>
          <w:lang w:val="sl-SI"/>
        </w:rPr>
        <w:t xml:space="preserve"> </w:t>
      </w:r>
      <w:r w:rsidR="0082596E" w:rsidRPr="0082596E">
        <w:rPr>
          <w:lang w:val="sl-SI"/>
        </w:rPr>
        <w:t xml:space="preserve">ranga </w:t>
      </w:r>
      <w:r w:rsidRPr="0082596E">
        <w:rPr>
          <w:lang w:val="sl-SI"/>
        </w:rPr>
        <w:t>»4.y</w:t>
      </w:r>
      <w:r w:rsidRPr="00275FBD">
        <w:rPr>
          <w:lang w:val="sl-SI"/>
        </w:rPr>
        <w:t>.z«</w:t>
      </w:r>
      <w:r w:rsidR="0082596E">
        <w:rPr>
          <w:lang w:val="sl-SI"/>
        </w:rPr>
        <w:t xml:space="preserve"> ali višje</w:t>
      </w:r>
      <w:r w:rsidRPr="00275FBD">
        <w:rPr>
          <w:lang w:val="sl-SI"/>
        </w:rPr>
        <w:t xml:space="preserve">, ker </w:t>
      </w:r>
      <w:r w:rsidR="00A740A6">
        <w:rPr>
          <w:lang w:val="sl-SI"/>
        </w:rPr>
        <w:t>se</w:t>
      </w:r>
      <w:r w:rsidR="00A740A6" w:rsidRPr="00275FBD">
        <w:rPr>
          <w:lang w:val="sl-SI"/>
        </w:rPr>
        <w:t xml:space="preserve"> </w:t>
      </w:r>
      <w:r w:rsidR="00970FCB">
        <w:rPr>
          <w:lang w:val="sl-SI"/>
        </w:rPr>
        <w:t>po</w:t>
      </w:r>
      <w:r w:rsidRPr="00275FBD">
        <w:rPr>
          <w:lang w:val="sl-SI"/>
        </w:rPr>
        <w:t xml:space="preserve"> </w:t>
      </w:r>
      <w:r w:rsidR="00970FCB" w:rsidRPr="00275FBD">
        <w:rPr>
          <w:lang w:val="sl-SI"/>
        </w:rPr>
        <w:t>program</w:t>
      </w:r>
      <w:r w:rsidR="00970FCB">
        <w:rPr>
          <w:lang w:val="sl-SI"/>
        </w:rPr>
        <w:t>u</w:t>
      </w:r>
      <w:r w:rsidR="00970FCB" w:rsidRPr="00275FBD">
        <w:rPr>
          <w:lang w:val="sl-SI"/>
        </w:rPr>
        <w:t xml:space="preserve"> </w:t>
      </w:r>
      <w:r w:rsidRPr="00275FBD">
        <w:rPr>
          <w:lang w:val="sl-SI"/>
        </w:rPr>
        <w:t xml:space="preserve">PSR3 samo </w:t>
      </w:r>
      <w:r w:rsidR="00970FCB">
        <w:rPr>
          <w:lang w:val="sl-SI"/>
        </w:rPr>
        <w:t xml:space="preserve">takšne </w:t>
      </w:r>
      <w:r w:rsidR="00CE6729" w:rsidRPr="00275FBD">
        <w:rPr>
          <w:lang w:val="sl-SI"/>
        </w:rPr>
        <w:t xml:space="preserve">najdbe </w:t>
      </w:r>
      <w:r w:rsidRPr="00275FBD">
        <w:rPr>
          <w:lang w:val="sl-SI"/>
        </w:rPr>
        <w:t xml:space="preserve">neposredno </w:t>
      </w:r>
      <w:r w:rsidR="00970FCB">
        <w:rPr>
          <w:lang w:val="sl-SI"/>
        </w:rPr>
        <w:t xml:space="preserve">vključi </w:t>
      </w:r>
      <w:r w:rsidRPr="00275FBD">
        <w:rPr>
          <w:lang w:val="sl-SI"/>
        </w:rPr>
        <w:t xml:space="preserve">v </w:t>
      </w:r>
      <w:r w:rsidR="00970FCB">
        <w:rPr>
          <w:lang w:val="sl-SI"/>
        </w:rPr>
        <w:t>IAP</w:t>
      </w:r>
      <w:r w:rsidRPr="00275FBD">
        <w:rPr>
          <w:lang w:val="sl-SI"/>
        </w:rPr>
        <w:t>. (Shema razvrščanja »</w:t>
      </w:r>
      <w:proofErr w:type="spellStart"/>
      <w:r w:rsidRPr="00275FBD">
        <w:rPr>
          <w:lang w:val="sl-SI"/>
        </w:rPr>
        <w:t>x.y.z</w:t>
      </w:r>
      <w:proofErr w:type="spellEnd"/>
      <w:r w:rsidRPr="00275FBD">
        <w:rPr>
          <w:lang w:val="sl-SI"/>
        </w:rPr>
        <w:t xml:space="preserve">« odraža tri plasti atributov, pri čemer je »x« primarni atribut. Podrobnosti so navedene v </w:t>
      </w:r>
      <w:r w:rsidR="00970FCB">
        <w:rPr>
          <w:lang w:val="sl-SI"/>
        </w:rPr>
        <w:t xml:space="preserve">poročilu </w:t>
      </w:r>
      <w:r w:rsidRPr="00275FBD">
        <w:rPr>
          <w:lang w:val="sl-SI"/>
        </w:rPr>
        <w:fldChar w:fldCharType="begin"/>
      </w:r>
      <w:r w:rsidRPr="00275FBD">
        <w:rPr>
          <w:lang w:val="sl-SI"/>
        </w:rPr>
        <w:instrText xml:space="preserve"> REF _Ref131143634 \r \h </w:instrText>
      </w:r>
      <w:r w:rsidRPr="00275FBD">
        <w:rPr>
          <w:lang w:val="sl-SI"/>
        </w:rPr>
      </w:r>
      <w:r w:rsidRPr="00275FBD">
        <w:rPr>
          <w:lang w:val="sl-SI"/>
        </w:rPr>
        <w:fldChar w:fldCharType="separate"/>
      </w:r>
      <w:r w:rsidR="00BA25CD">
        <w:rPr>
          <w:lang w:val="sl-SI"/>
        </w:rPr>
        <w:t>[9]</w:t>
      </w:r>
      <w:r w:rsidRPr="00275FBD">
        <w:rPr>
          <w:lang w:val="sl-SI"/>
        </w:rPr>
        <w:fldChar w:fldCharType="end"/>
      </w:r>
      <w:r w:rsidRPr="00275FBD">
        <w:rPr>
          <w:lang w:val="sl-SI"/>
        </w:rPr>
        <w:t>.) Preostal</w:t>
      </w:r>
      <w:r w:rsidR="00CE6729" w:rsidRPr="00275FBD">
        <w:rPr>
          <w:lang w:val="sl-SI"/>
        </w:rPr>
        <w:t>e</w:t>
      </w:r>
      <w:r w:rsidRPr="00275FBD">
        <w:rPr>
          <w:lang w:val="sl-SI"/>
        </w:rPr>
        <w:t xml:space="preserve"> </w:t>
      </w:r>
      <w:r w:rsidR="00CE6729" w:rsidRPr="00275FBD">
        <w:rPr>
          <w:lang w:val="sl-SI"/>
        </w:rPr>
        <w:t xml:space="preserve">najdbe </w:t>
      </w:r>
      <w:r w:rsidR="00A740A6">
        <w:rPr>
          <w:lang w:val="sl-SI"/>
        </w:rPr>
        <w:t>se</w:t>
      </w:r>
      <w:r w:rsidR="00A740A6" w:rsidRPr="00275FBD">
        <w:rPr>
          <w:lang w:val="sl-SI"/>
        </w:rPr>
        <w:t xml:space="preserve"> </w:t>
      </w:r>
      <w:r w:rsidR="00970FCB">
        <w:rPr>
          <w:lang w:val="sl-SI"/>
        </w:rPr>
        <w:t>lahko doda v IAP le</w:t>
      </w:r>
      <w:r w:rsidRPr="00275FBD">
        <w:rPr>
          <w:lang w:val="sl-SI"/>
        </w:rPr>
        <w:t xml:space="preserve"> na podlagi </w:t>
      </w:r>
      <w:r w:rsidR="00A20EEB">
        <w:rPr>
          <w:lang w:val="sl-SI"/>
        </w:rPr>
        <w:t xml:space="preserve">praktičnih </w:t>
      </w:r>
      <w:r w:rsidRPr="00275FBD">
        <w:rPr>
          <w:lang w:val="sl-SI"/>
        </w:rPr>
        <w:t>argumentov ali na zahtevo URSJV.</w:t>
      </w:r>
    </w:p>
    <w:p w14:paraId="54BDF3A3" w14:textId="2AD8AC73" w:rsidR="002E5A82" w:rsidRPr="00275FBD" w:rsidRDefault="00970FCB" w:rsidP="002E5A82">
      <w:pPr>
        <w:rPr>
          <w:lang w:val="sl-SI"/>
        </w:rPr>
      </w:pPr>
      <w:r>
        <w:rPr>
          <w:lang w:val="sl-SI"/>
        </w:rPr>
        <w:t>Dodatno</w:t>
      </w:r>
      <w:r w:rsidR="00BD5705" w:rsidRPr="00275FBD">
        <w:rPr>
          <w:lang w:val="sl-SI"/>
        </w:rPr>
        <w:t xml:space="preserve"> </w:t>
      </w:r>
      <w:r w:rsidR="002E5A82" w:rsidRPr="00275FBD">
        <w:rPr>
          <w:lang w:val="sl-SI"/>
        </w:rPr>
        <w:t xml:space="preserve">so </w:t>
      </w:r>
      <w:r w:rsidR="00A740A6">
        <w:rPr>
          <w:lang w:val="sl-SI"/>
        </w:rPr>
        <w:t xml:space="preserve">bile </w:t>
      </w:r>
      <w:r w:rsidR="002E5A82" w:rsidRPr="00275FBD">
        <w:rPr>
          <w:lang w:val="sl-SI"/>
        </w:rPr>
        <w:t>v IAP vključen</w:t>
      </w:r>
      <w:r w:rsidR="00395621" w:rsidRPr="00275FBD">
        <w:rPr>
          <w:lang w:val="sl-SI"/>
        </w:rPr>
        <w:t>e</w:t>
      </w:r>
      <w:r w:rsidR="002E5A82" w:rsidRPr="00275FBD">
        <w:rPr>
          <w:lang w:val="sl-SI"/>
        </w:rPr>
        <w:t xml:space="preserve"> </w:t>
      </w:r>
      <w:r>
        <w:rPr>
          <w:lang w:val="sl-SI"/>
        </w:rPr>
        <w:t xml:space="preserve">tudi </w:t>
      </w:r>
      <w:r w:rsidR="00395621" w:rsidRPr="00275FBD">
        <w:rPr>
          <w:lang w:val="sl-SI"/>
        </w:rPr>
        <w:t>najdbe</w:t>
      </w:r>
      <w:r w:rsidR="002E5A82" w:rsidRPr="00275FBD">
        <w:rPr>
          <w:lang w:val="sl-SI"/>
        </w:rPr>
        <w:t>, za kater</w:t>
      </w:r>
      <w:r w:rsidR="00395621" w:rsidRPr="00275FBD">
        <w:rPr>
          <w:lang w:val="sl-SI"/>
        </w:rPr>
        <w:t>e</w:t>
      </w:r>
      <w:r w:rsidR="002E5A82" w:rsidRPr="00275FBD">
        <w:rPr>
          <w:lang w:val="sl-SI"/>
        </w:rPr>
        <w:t xml:space="preserve"> je potrebna </w:t>
      </w:r>
      <w:r>
        <w:rPr>
          <w:lang w:val="sl-SI"/>
        </w:rPr>
        <w:t>raz</w:t>
      </w:r>
      <w:r w:rsidR="002E5A82" w:rsidRPr="00275FBD">
        <w:rPr>
          <w:lang w:val="sl-SI"/>
        </w:rPr>
        <w:t xml:space="preserve">rešitev ne glede na rezultate procesa </w:t>
      </w:r>
      <w:proofErr w:type="spellStart"/>
      <w:r w:rsidR="002E5A82" w:rsidRPr="00275FBD">
        <w:rPr>
          <w:lang w:val="sl-SI"/>
        </w:rPr>
        <w:t>rangiranja</w:t>
      </w:r>
      <w:proofErr w:type="spellEnd"/>
      <w:r>
        <w:rPr>
          <w:lang w:val="sl-SI"/>
        </w:rPr>
        <w:t xml:space="preserve"> (</w:t>
      </w:r>
      <w:r w:rsidR="00CE6729" w:rsidRPr="00275FBD">
        <w:rPr>
          <w:lang w:val="sl-SI"/>
        </w:rPr>
        <w:t xml:space="preserve">najdbe </w:t>
      </w:r>
      <w:r w:rsidR="00997B22">
        <w:rPr>
          <w:lang w:val="sl-SI" w:eastAsia="en-GB"/>
        </w:rPr>
        <w:t xml:space="preserve">kategorije </w:t>
      </w:r>
      <w:r w:rsidR="002E5A82" w:rsidRPr="00275FBD">
        <w:rPr>
          <w:lang w:val="sl-SI"/>
        </w:rPr>
        <w:t>»IRR«</w:t>
      </w:r>
      <w:r w:rsidR="00EB2204" w:rsidRPr="00275FBD">
        <w:rPr>
          <w:lang w:val="sl-SI"/>
        </w:rPr>
        <w:t>)</w:t>
      </w:r>
      <w:r w:rsidR="002E5A82" w:rsidRPr="00275FBD">
        <w:rPr>
          <w:lang w:val="sl-SI"/>
        </w:rPr>
        <w:t xml:space="preserve">. </w:t>
      </w:r>
      <w:r w:rsidRPr="00275FBD">
        <w:rPr>
          <w:lang w:val="sl-SI"/>
        </w:rPr>
        <w:t>Nekater</w:t>
      </w:r>
      <w:r>
        <w:rPr>
          <w:lang w:val="sl-SI"/>
        </w:rPr>
        <w:t>e</w:t>
      </w:r>
      <w:r w:rsidRPr="00275FBD">
        <w:rPr>
          <w:lang w:val="sl-SI"/>
        </w:rPr>
        <w:t xml:space="preserve"> </w:t>
      </w:r>
      <w:r w:rsidR="002E5A82" w:rsidRPr="00275FBD">
        <w:rPr>
          <w:lang w:val="sl-SI"/>
        </w:rPr>
        <w:t xml:space="preserve">od teh </w:t>
      </w:r>
      <w:r w:rsidR="00BD5705" w:rsidRPr="00275FBD">
        <w:rPr>
          <w:lang w:val="sl-SI"/>
        </w:rPr>
        <w:t xml:space="preserve">najdb </w:t>
      </w:r>
      <w:r w:rsidR="002E5A82" w:rsidRPr="00275FBD">
        <w:rPr>
          <w:lang w:val="sl-SI"/>
        </w:rPr>
        <w:t xml:space="preserve">izvirajo iz drugih programov (npr. SALTO), </w:t>
      </w:r>
      <w:r w:rsidR="00A740A6">
        <w:rPr>
          <w:lang w:val="sl-SI"/>
        </w:rPr>
        <w:t>druge</w:t>
      </w:r>
      <w:r w:rsidR="00A740A6" w:rsidRPr="00275FBD">
        <w:rPr>
          <w:lang w:val="sl-SI"/>
        </w:rPr>
        <w:t xml:space="preserve"> </w:t>
      </w:r>
      <w:r w:rsidR="002E5A82" w:rsidRPr="00275FBD">
        <w:rPr>
          <w:lang w:val="sl-SI"/>
        </w:rPr>
        <w:t xml:space="preserve">pa </w:t>
      </w:r>
      <w:r>
        <w:rPr>
          <w:lang w:val="sl-SI"/>
        </w:rPr>
        <w:t xml:space="preserve">so dodane </w:t>
      </w:r>
      <w:r w:rsidR="002E5A82" w:rsidRPr="00275FBD">
        <w:rPr>
          <w:lang w:val="sl-SI"/>
        </w:rPr>
        <w:t>na zahtevo URSJV.</w:t>
      </w:r>
    </w:p>
    <w:p w14:paraId="528AD21E" w14:textId="228B3A95" w:rsidR="004D5F06" w:rsidRPr="00275FBD" w:rsidRDefault="004D5F06" w:rsidP="004D5F06">
      <w:pPr>
        <w:rPr>
          <w:lang w:val="sl-SI"/>
        </w:rPr>
      </w:pPr>
      <w:r w:rsidRPr="00275FBD">
        <w:rPr>
          <w:lang w:val="sl-SI"/>
        </w:rPr>
        <w:t xml:space="preserve">Poleg </w:t>
      </w:r>
      <w:r w:rsidR="00970FCB">
        <w:rPr>
          <w:lang w:val="sl-SI"/>
        </w:rPr>
        <w:t xml:space="preserve">teh pa </w:t>
      </w:r>
      <w:r w:rsidRPr="00275FBD">
        <w:rPr>
          <w:lang w:val="sl-SI"/>
        </w:rPr>
        <w:t xml:space="preserve">vsebuje IAP tudi </w:t>
      </w:r>
      <w:r w:rsidR="00970FCB">
        <w:rPr>
          <w:lang w:val="sl-SI"/>
        </w:rPr>
        <w:t>takšne</w:t>
      </w:r>
      <w:r w:rsidR="00970FCB" w:rsidRPr="00275FBD">
        <w:rPr>
          <w:lang w:val="sl-SI"/>
        </w:rPr>
        <w:t xml:space="preserve"> </w:t>
      </w:r>
      <w:r w:rsidR="00CE6729" w:rsidRPr="00275FBD">
        <w:rPr>
          <w:lang w:val="sl-SI"/>
        </w:rPr>
        <w:t>najdbe</w:t>
      </w:r>
      <w:r w:rsidR="00970FCB">
        <w:rPr>
          <w:lang w:val="sl-SI"/>
        </w:rPr>
        <w:t>,</w:t>
      </w:r>
      <w:r w:rsidR="00CE6729" w:rsidRPr="00275FBD">
        <w:rPr>
          <w:lang w:val="sl-SI"/>
        </w:rPr>
        <w:t xml:space="preserve"> </w:t>
      </w:r>
      <w:r w:rsidR="00A740A6">
        <w:rPr>
          <w:lang w:val="sl-SI"/>
        </w:rPr>
        <w:t>za</w:t>
      </w:r>
      <w:r w:rsidR="00A740A6" w:rsidRPr="00275FBD">
        <w:rPr>
          <w:lang w:val="sl-SI"/>
        </w:rPr>
        <w:t xml:space="preserve"> </w:t>
      </w:r>
      <w:r w:rsidRPr="00275FBD">
        <w:rPr>
          <w:lang w:val="sl-SI"/>
        </w:rPr>
        <w:t>kater</w:t>
      </w:r>
      <w:r w:rsidR="00A740A6">
        <w:rPr>
          <w:lang w:val="sl-SI"/>
        </w:rPr>
        <w:t>e</w:t>
      </w:r>
      <w:r w:rsidRPr="00275FBD">
        <w:rPr>
          <w:lang w:val="sl-SI"/>
        </w:rPr>
        <w:t xml:space="preserve"> je </w:t>
      </w:r>
      <w:r w:rsidR="00970FCB">
        <w:rPr>
          <w:lang w:val="sl-SI"/>
        </w:rPr>
        <w:t>raz</w:t>
      </w:r>
      <w:r w:rsidRPr="00275FBD">
        <w:rPr>
          <w:lang w:val="sl-SI"/>
        </w:rPr>
        <w:t xml:space="preserve">rešitev </w:t>
      </w:r>
      <w:r w:rsidR="00435AD7">
        <w:rPr>
          <w:lang w:val="sl-SI"/>
        </w:rPr>
        <w:t>dosegljiva</w:t>
      </w:r>
      <w:r w:rsidR="00970FCB" w:rsidRPr="00275FBD">
        <w:rPr>
          <w:lang w:val="sl-SI"/>
        </w:rPr>
        <w:t xml:space="preserve"> </w:t>
      </w:r>
      <w:r w:rsidRPr="00275FBD">
        <w:rPr>
          <w:lang w:val="sl-SI"/>
        </w:rPr>
        <w:t>z majhnim naporom</w:t>
      </w:r>
      <w:r w:rsidR="00970FCB">
        <w:rPr>
          <w:lang w:val="sl-SI"/>
        </w:rPr>
        <w:t>. Te najdbe</w:t>
      </w:r>
      <w:r w:rsidRPr="00275FBD">
        <w:rPr>
          <w:lang w:val="sl-SI"/>
        </w:rPr>
        <w:t xml:space="preserve"> so </w:t>
      </w:r>
      <w:r w:rsidR="00F8499D" w:rsidRPr="00275FBD">
        <w:rPr>
          <w:lang w:val="sl-SI"/>
        </w:rPr>
        <w:t>bil</w:t>
      </w:r>
      <w:r w:rsidR="00F8499D">
        <w:rPr>
          <w:lang w:val="sl-SI"/>
        </w:rPr>
        <w:t>e</w:t>
      </w:r>
      <w:r w:rsidR="00F8499D" w:rsidRPr="00275FBD">
        <w:rPr>
          <w:lang w:val="sl-SI"/>
        </w:rPr>
        <w:t xml:space="preserve"> </w:t>
      </w:r>
      <w:r w:rsidR="00970FCB">
        <w:rPr>
          <w:lang w:val="sl-SI"/>
        </w:rPr>
        <w:t xml:space="preserve">v IAP </w:t>
      </w:r>
      <w:r w:rsidRPr="00275FBD">
        <w:rPr>
          <w:lang w:val="sl-SI"/>
        </w:rPr>
        <w:t xml:space="preserve">prav tako </w:t>
      </w:r>
      <w:r w:rsidR="00F8499D" w:rsidRPr="00275FBD">
        <w:rPr>
          <w:lang w:val="sl-SI"/>
        </w:rPr>
        <w:t>vključen</w:t>
      </w:r>
      <w:r w:rsidR="00F8499D">
        <w:rPr>
          <w:lang w:val="sl-SI"/>
        </w:rPr>
        <w:t>e</w:t>
      </w:r>
      <w:r w:rsidR="00F8499D" w:rsidRPr="00275FBD">
        <w:rPr>
          <w:lang w:val="sl-SI"/>
        </w:rPr>
        <w:t xml:space="preserve"> </w:t>
      </w:r>
      <w:r w:rsidRPr="00275FBD">
        <w:rPr>
          <w:lang w:val="sl-SI"/>
        </w:rPr>
        <w:t xml:space="preserve">neposredno, brez dodelitve </w:t>
      </w:r>
      <w:r w:rsidR="00F8499D">
        <w:rPr>
          <w:lang w:val="sl-SI"/>
        </w:rPr>
        <w:t>raz</w:t>
      </w:r>
      <w:r w:rsidR="00F8499D" w:rsidRPr="00275FBD">
        <w:rPr>
          <w:lang w:val="sl-SI"/>
        </w:rPr>
        <w:t>vrstitve</w:t>
      </w:r>
      <w:r w:rsidRPr="00275FBD">
        <w:rPr>
          <w:lang w:val="sl-SI"/>
        </w:rPr>
        <w:t xml:space="preserve">. Kategorija takšnih </w:t>
      </w:r>
      <w:r w:rsidR="00BD5705" w:rsidRPr="00275FBD">
        <w:rPr>
          <w:lang w:val="sl-SI"/>
        </w:rPr>
        <w:t xml:space="preserve">najdb </w:t>
      </w:r>
      <w:r w:rsidR="00A27D54">
        <w:rPr>
          <w:lang w:val="sl-SI"/>
        </w:rPr>
        <w:t xml:space="preserve">je </w:t>
      </w:r>
      <w:r w:rsidRPr="00275FBD">
        <w:rPr>
          <w:lang w:val="sl-SI"/>
        </w:rPr>
        <w:t xml:space="preserve">»LE« (»Low </w:t>
      </w:r>
      <w:proofErr w:type="spellStart"/>
      <w:r w:rsidRPr="00275FBD">
        <w:rPr>
          <w:lang w:val="sl-SI"/>
        </w:rPr>
        <w:t>Effort</w:t>
      </w:r>
      <w:proofErr w:type="spellEnd"/>
      <w:r w:rsidRPr="00275FBD">
        <w:rPr>
          <w:lang w:val="sl-SI"/>
        </w:rPr>
        <w:t>«).</w:t>
      </w:r>
    </w:p>
    <w:p w14:paraId="32ABA164" w14:textId="0E221E9D" w:rsidR="004D5F06" w:rsidRPr="00275FBD" w:rsidRDefault="004D5F06" w:rsidP="004D5F06">
      <w:pPr>
        <w:rPr>
          <w:lang w:val="sl-SI"/>
        </w:rPr>
      </w:pPr>
      <w:r w:rsidRPr="00275FBD">
        <w:rPr>
          <w:lang w:val="sl-SI"/>
        </w:rPr>
        <w:lastRenderedPageBreak/>
        <w:t xml:space="preserve">Za vsako </w:t>
      </w:r>
      <w:r w:rsidR="00A27D54">
        <w:rPr>
          <w:lang w:val="sl-SI"/>
        </w:rPr>
        <w:t>najdbo</w:t>
      </w:r>
      <w:r w:rsidR="00A27D54" w:rsidRPr="00275FBD">
        <w:rPr>
          <w:lang w:val="sl-SI"/>
        </w:rPr>
        <w:t xml:space="preserve"> </w:t>
      </w:r>
      <w:r w:rsidR="00A27D54">
        <w:rPr>
          <w:lang w:val="sl-SI"/>
        </w:rPr>
        <w:t xml:space="preserve">oz. korektivni ukrep </w:t>
      </w:r>
      <w:r w:rsidRPr="00275FBD">
        <w:rPr>
          <w:lang w:val="sl-SI"/>
        </w:rPr>
        <w:t xml:space="preserve">so v Načrtu izvedbe ukrepov </w:t>
      </w:r>
      <w:r w:rsidRPr="00275FBD">
        <w:rPr>
          <w:lang w:val="sl-SI"/>
        </w:rPr>
        <w:fldChar w:fldCharType="begin"/>
      </w:r>
      <w:r w:rsidRPr="00275FBD">
        <w:rPr>
          <w:lang w:val="sl-SI"/>
        </w:rPr>
        <w:instrText xml:space="preserve"> REF _Ref133224011 \r \h </w:instrText>
      </w:r>
      <w:r w:rsidRPr="00275FBD">
        <w:rPr>
          <w:lang w:val="sl-SI"/>
        </w:rPr>
      </w:r>
      <w:r w:rsidRPr="00275FBD">
        <w:rPr>
          <w:lang w:val="sl-SI"/>
        </w:rPr>
        <w:fldChar w:fldCharType="separate"/>
      </w:r>
      <w:r w:rsidR="00BA25CD">
        <w:rPr>
          <w:lang w:val="sl-SI"/>
        </w:rPr>
        <w:t>[10]</w:t>
      </w:r>
      <w:r w:rsidRPr="00275FBD">
        <w:rPr>
          <w:lang w:val="sl-SI"/>
        </w:rPr>
        <w:fldChar w:fldCharType="end"/>
      </w:r>
      <w:r w:rsidRPr="00275FBD">
        <w:rPr>
          <w:lang w:val="sl-SI"/>
        </w:rPr>
        <w:t xml:space="preserve"> </w:t>
      </w:r>
      <w:r w:rsidR="00DC549D">
        <w:rPr>
          <w:lang w:val="sl-SI"/>
        </w:rPr>
        <w:t>določ</w:t>
      </w:r>
      <w:r w:rsidR="00DC549D" w:rsidRPr="00275FBD">
        <w:rPr>
          <w:lang w:val="sl-SI"/>
        </w:rPr>
        <w:t xml:space="preserve">eni </w:t>
      </w:r>
      <w:r w:rsidRPr="00275FBD">
        <w:rPr>
          <w:lang w:val="sl-SI"/>
        </w:rPr>
        <w:t>tudi časovni okvir</w:t>
      </w:r>
      <w:r w:rsidR="00A27D54">
        <w:rPr>
          <w:lang w:val="sl-SI"/>
        </w:rPr>
        <w:t>j</w:t>
      </w:r>
      <w:r w:rsidRPr="00275FBD">
        <w:rPr>
          <w:lang w:val="sl-SI"/>
        </w:rPr>
        <w:t>i (časovne kategorije) načrtovanih korektivnih ukrepov po dogovoru z URSJV.</w:t>
      </w:r>
    </w:p>
    <w:p w14:paraId="1BFC4BF6" w14:textId="2A3BFB4D" w:rsidR="004D5F06" w:rsidRPr="00275FBD" w:rsidRDefault="00A27D54" w:rsidP="00B73517">
      <w:pPr>
        <w:rPr>
          <w:lang w:val="sl-SI"/>
        </w:rPr>
      </w:pPr>
      <w:r>
        <w:rPr>
          <w:lang w:val="sl-SI"/>
        </w:rPr>
        <w:t>Korektivni u</w:t>
      </w:r>
      <w:r w:rsidR="004D5F06" w:rsidRPr="00275FBD">
        <w:rPr>
          <w:lang w:val="sl-SI"/>
        </w:rPr>
        <w:t xml:space="preserve">krepi </w:t>
      </w:r>
      <w:r w:rsidR="000B0A13">
        <w:rPr>
          <w:lang w:val="sl-SI"/>
        </w:rPr>
        <w:t>s</w:t>
      </w:r>
      <w:r w:rsidR="004D5F06" w:rsidRPr="00275FBD">
        <w:rPr>
          <w:lang w:val="sl-SI"/>
        </w:rPr>
        <w:t xml:space="preserve">o </w:t>
      </w:r>
      <w:r>
        <w:rPr>
          <w:lang w:val="sl-SI"/>
        </w:rPr>
        <w:t>vključeni</w:t>
      </w:r>
      <w:r w:rsidRPr="00275FBD">
        <w:rPr>
          <w:lang w:val="sl-SI"/>
        </w:rPr>
        <w:t xml:space="preserve"> </w:t>
      </w:r>
      <w:r w:rsidR="004D5F06" w:rsidRPr="00275FBD">
        <w:rPr>
          <w:lang w:val="sl-SI"/>
        </w:rPr>
        <w:t xml:space="preserve">v Program korektivnih ukrepov (CAP), </w:t>
      </w:r>
      <w:r w:rsidR="000B0A13">
        <w:rPr>
          <w:lang w:val="sl-SI"/>
        </w:rPr>
        <w:t xml:space="preserve">ki omogoča </w:t>
      </w:r>
      <w:r w:rsidR="004D5F06" w:rsidRPr="00275FBD">
        <w:rPr>
          <w:lang w:val="sl-SI"/>
        </w:rPr>
        <w:t>njihovo spremljanje in izvajanje.</w:t>
      </w:r>
    </w:p>
    <w:p w14:paraId="6509A91B" w14:textId="20CD1482" w:rsidR="00B73517" w:rsidRPr="007641D4" w:rsidRDefault="004D5F06" w:rsidP="00B73517">
      <w:pPr>
        <w:pStyle w:val="Naslov3"/>
        <w:rPr>
          <w:lang w:val="sl-SI"/>
        </w:rPr>
      </w:pPr>
      <w:bookmarkStart w:id="41" w:name="_Ref223947239"/>
      <w:bookmarkStart w:id="42" w:name="_Toc247516393"/>
      <w:bookmarkStart w:id="43" w:name="_Toc163197424"/>
      <w:r w:rsidRPr="007641D4">
        <w:rPr>
          <w:lang w:val="sl-SI"/>
        </w:rPr>
        <w:t xml:space="preserve">Celovita ocena </w:t>
      </w:r>
      <w:r w:rsidR="005C4E5B" w:rsidRPr="007641D4">
        <w:rPr>
          <w:lang w:val="sl-SI"/>
        </w:rPr>
        <w:t xml:space="preserve">varnosti </w:t>
      </w:r>
      <w:r w:rsidRPr="007641D4">
        <w:rPr>
          <w:lang w:val="sl-SI"/>
        </w:rPr>
        <w:t>elektrarne</w:t>
      </w:r>
      <w:bookmarkEnd w:id="41"/>
      <w:bookmarkEnd w:id="42"/>
      <w:bookmarkEnd w:id="43"/>
    </w:p>
    <w:p w14:paraId="335E6487" w14:textId="26EBAD7F" w:rsidR="00D87E53" w:rsidRPr="00275FBD" w:rsidRDefault="00D87E53" w:rsidP="007641D4">
      <w:pPr>
        <w:tabs>
          <w:tab w:val="left" w:pos="567"/>
        </w:tabs>
        <w:rPr>
          <w:lang w:val="sl-SI"/>
        </w:rPr>
      </w:pPr>
      <w:r w:rsidRPr="00275FBD">
        <w:rPr>
          <w:lang w:val="sl-SI"/>
        </w:rPr>
        <w:t xml:space="preserve">Cilj celovite ocene </w:t>
      </w:r>
      <w:r w:rsidR="007641D4">
        <w:rPr>
          <w:lang w:val="sl-SI"/>
        </w:rPr>
        <w:t xml:space="preserve">varnosti </w:t>
      </w:r>
      <w:r w:rsidR="00A27D54">
        <w:rPr>
          <w:lang w:val="sl-SI"/>
        </w:rPr>
        <w:t xml:space="preserve">elektrarne </w:t>
      </w:r>
      <w:r w:rsidRPr="00275FBD">
        <w:rPr>
          <w:lang w:val="sl-SI"/>
        </w:rPr>
        <w:t xml:space="preserve">je </w:t>
      </w:r>
      <w:r w:rsidR="00A27D54" w:rsidRPr="00275FBD">
        <w:rPr>
          <w:lang w:val="sl-SI"/>
        </w:rPr>
        <w:t>predstavit</w:t>
      </w:r>
      <w:r w:rsidR="00A27D54">
        <w:rPr>
          <w:lang w:val="sl-SI"/>
        </w:rPr>
        <w:t>ev</w:t>
      </w:r>
      <w:r w:rsidR="00A27D54" w:rsidRPr="00275FBD">
        <w:rPr>
          <w:lang w:val="sl-SI"/>
        </w:rPr>
        <w:t xml:space="preserve"> splošn</w:t>
      </w:r>
      <w:r w:rsidR="00A27D54">
        <w:rPr>
          <w:lang w:val="sl-SI"/>
        </w:rPr>
        <w:t>e</w:t>
      </w:r>
      <w:r w:rsidR="00A27D54" w:rsidRPr="00275FBD">
        <w:rPr>
          <w:lang w:val="sl-SI"/>
        </w:rPr>
        <w:t xml:space="preserve"> presoj</w:t>
      </w:r>
      <w:r w:rsidR="00A27D54">
        <w:rPr>
          <w:lang w:val="sl-SI"/>
        </w:rPr>
        <w:t>e</w:t>
      </w:r>
      <w:r w:rsidR="00A27D54" w:rsidRPr="00275FBD">
        <w:rPr>
          <w:lang w:val="sl-SI"/>
        </w:rPr>
        <w:t xml:space="preserve"> </w:t>
      </w:r>
      <w:r w:rsidRPr="00275FBD">
        <w:rPr>
          <w:lang w:val="sl-SI"/>
        </w:rPr>
        <w:t>tveganja (oziroma varnosti) glede na sposobnost elektrarne za nadaljnje obratovanje, ki vključuje uravnotežen pogled na pomembne rezultate PSR</w:t>
      </w:r>
      <w:r w:rsidR="0088439B" w:rsidRPr="00275FBD">
        <w:rPr>
          <w:lang w:val="sl-SI"/>
        </w:rPr>
        <w:t xml:space="preserve"> pregleda</w:t>
      </w:r>
      <w:r w:rsidRPr="00275FBD">
        <w:rPr>
          <w:lang w:val="sl-SI"/>
        </w:rPr>
        <w:t xml:space="preserve">, vključno </w:t>
      </w:r>
      <w:r w:rsidR="0088439B" w:rsidRPr="00275FBD">
        <w:rPr>
          <w:lang w:val="sl-SI"/>
        </w:rPr>
        <w:t xml:space="preserve">s </w:t>
      </w:r>
      <w:r w:rsidRPr="00275FBD">
        <w:rPr>
          <w:lang w:val="sl-SI"/>
        </w:rPr>
        <w:t xml:space="preserve">preostalimi pomanjkljivostmi, korektivnimi ukrepi in/ali varnostnimi izboljšavami ter ugotovljenimi prednostmi elektrarne, pri pregledu vseh varnostnih </w:t>
      </w:r>
      <w:r w:rsidR="00716249">
        <w:rPr>
          <w:lang w:val="sl-SI"/>
        </w:rPr>
        <w:t>vsebin</w:t>
      </w:r>
      <w:r w:rsidR="00716249" w:rsidRPr="00275FBD">
        <w:rPr>
          <w:lang w:val="sl-SI"/>
        </w:rPr>
        <w:t xml:space="preserve"> </w:t>
      </w:r>
      <w:r w:rsidRPr="00275FBD">
        <w:rPr>
          <w:lang w:val="sl-SI"/>
        </w:rPr>
        <w:t>PSR.</w:t>
      </w:r>
    </w:p>
    <w:p w14:paraId="5E66BF59" w14:textId="77777777" w:rsidR="00BA25CD" w:rsidRDefault="00A27D54" w:rsidP="00A27937">
      <w:pPr>
        <w:rPr>
          <w:lang w:val="sl-SI" w:eastAsia="en-GB"/>
        </w:rPr>
      </w:pPr>
      <w:r>
        <w:rPr>
          <w:lang w:val="sl-SI"/>
        </w:rPr>
        <w:t>Za</w:t>
      </w:r>
      <w:r w:rsidR="00D87E53" w:rsidRPr="00275FBD">
        <w:rPr>
          <w:lang w:val="sl-SI"/>
        </w:rPr>
        <w:t xml:space="preserve"> </w:t>
      </w:r>
      <w:r w:rsidR="00F61E88" w:rsidRPr="00275FBD">
        <w:rPr>
          <w:lang w:val="sl-SI"/>
        </w:rPr>
        <w:t xml:space="preserve">NEK </w:t>
      </w:r>
      <w:r w:rsidR="00D87E53" w:rsidRPr="00275FBD">
        <w:rPr>
          <w:lang w:val="sl-SI"/>
        </w:rPr>
        <w:t>PSR3</w:t>
      </w:r>
      <w:r>
        <w:rPr>
          <w:lang w:val="sl-SI"/>
        </w:rPr>
        <w:t xml:space="preserve"> je</w:t>
      </w:r>
      <w:r w:rsidR="00F61E88" w:rsidRPr="00275FBD">
        <w:rPr>
          <w:lang w:val="sl-SI"/>
        </w:rPr>
        <w:t xml:space="preserve"> </w:t>
      </w:r>
      <w:r w:rsidR="00D87E53" w:rsidRPr="00275FBD">
        <w:rPr>
          <w:lang w:val="sl-SI"/>
        </w:rPr>
        <w:t xml:space="preserve">po končni široki in podrobni razvrstitvi varnostnih </w:t>
      </w:r>
      <w:r w:rsidR="00BD5705" w:rsidRPr="00275FBD">
        <w:rPr>
          <w:lang w:val="sl-SI"/>
        </w:rPr>
        <w:t xml:space="preserve">najdb </w:t>
      </w:r>
      <w:r w:rsidR="00D87E53" w:rsidRPr="00275FBD">
        <w:rPr>
          <w:lang w:val="sl-SI"/>
        </w:rPr>
        <w:t xml:space="preserve">in </w:t>
      </w:r>
      <w:r>
        <w:rPr>
          <w:lang w:val="sl-SI"/>
        </w:rPr>
        <w:t xml:space="preserve">izvedbi </w:t>
      </w:r>
      <w:r w:rsidR="00D87E53" w:rsidRPr="00275FBD">
        <w:rPr>
          <w:lang w:val="sl-SI"/>
        </w:rPr>
        <w:t xml:space="preserve">postopka </w:t>
      </w:r>
      <w:r w:rsidR="00767898" w:rsidRPr="00275FBD">
        <w:rPr>
          <w:iCs/>
          <w:lang w:val="sl-SI"/>
        </w:rPr>
        <w:t>določanja prednosti</w:t>
      </w:r>
      <w:r w:rsidR="00D87E53" w:rsidRPr="00275FBD">
        <w:rPr>
          <w:lang w:val="sl-SI"/>
        </w:rPr>
        <w:t xml:space="preserve"> korektivnih ukrepov (PSR3-NEK-9.1 </w:t>
      </w:r>
      <w:r w:rsidR="001F7365" w:rsidRPr="00275FBD">
        <w:rPr>
          <w:lang w:val="sl-SI"/>
        </w:rPr>
        <w:fldChar w:fldCharType="begin"/>
      </w:r>
      <w:r w:rsidR="001F7365" w:rsidRPr="00275FBD">
        <w:rPr>
          <w:lang w:val="sl-SI"/>
        </w:rPr>
        <w:instrText xml:space="preserve"> REF _Ref131143634 \r \h </w:instrText>
      </w:r>
      <w:r w:rsidR="001F7365" w:rsidRPr="00275FBD">
        <w:rPr>
          <w:lang w:val="sl-SI"/>
        </w:rPr>
      </w:r>
      <w:r w:rsidR="001F7365" w:rsidRPr="00275FBD">
        <w:rPr>
          <w:lang w:val="sl-SI"/>
        </w:rPr>
        <w:fldChar w:fldCharType="separate"/>
      </w:r>
      <w:r w:rsidR="00BA25CD">
        <w:rPr>
          <w:lang w:val="sl-SI"/>
        </w:rPr>
        <w:t>[9]</w:t>
      </w:r>
      <w:r w:rsidR="001F7365" w:rsidRPr="00275FBD">
        <w:rPr>
          <w:lang w:val="sl-SI"/>
        </w:rPr>
        <w:fldChar w:fldCharType="end"/>
      </w:r>
      <w:r w:rsidR="00D87E53" w:rsidRPr="00275FBD">
        <w:rPr>
          <w:lang w:val="sl-SI"/>
        </w:rPr>
        <w:t xml:space="preserve">) ter opredelitvi </w:t>
      </w:r>
      <w:r w:rsidR="007641D4">
        <w:rPr>
          <w:rFonts w:cs="TimesNewRomanPSMT"/>
          <w:szCs w:val="20"/>
          <w:lang w:val="sl-SI" w:eastAsia="en-GB"/>
        </w:rPr>
        <w:t>n</w:t>
      </w:r>
      <w:r w:rsidR="007641D4" w:rsidRPr="00275FBD">
        <w:rPr>
          <w:rFonts w:cs="TimesNewRomanPSMT"/>
          <w:szCs w:val="20"/>
          <w:lang w:val="sl-SI" w:eastAsia="en-GB"/>
        </w:rPr>
        <w:t>ačrt</w:t>
      </w:r>
      <w:r w:rsidR="007641D4">
        <w:rPr>
          <w:rFonts w:cs="TimesNewRomanPSMT"/>
          <w:szCs w:val="20"/>
          <w:lang w:val="sl-SI" w:eastAsia="en-GB"/>
        </w:rPr>
        <w:t>a</w:t>
      </w:r>
      <w:r w:rsidR="007641D4" w:rsidRPr="00275FBD">
        <w:rPr>
          <w:rFonts w:cs="TimesNewRomanPSMT"/>
          <w:szCs w:val="20"/>
          <w:lang w:val="sl-SI" w:eastAsia="en-GB"/>
        </w:rPr>
        <w:t xml:space="preserve"> izvedbe ukrepov </w:t>
      </w:r>
      <w:r w:rsidR="00D87E53" w:rsidRPr="00275FBD">
        <w:rPr>
          <w:lang w:val="sl-SI"/>
        </w:rPr>
        <w:t xml:space="preserve">(PSR3-NEK-9.2 </w:t>
      </w:r>
      <w:r w:rsidR="001F7365" w:rsidRPr="00275FBD">
        <w:rPr>
          <w:lang w:val="sl-SI"/>
        </w:rPr>
        <w:fldChar w:fldCharType="begin"/>
      </w:r>
      <w:r w:rsidR="001F7365" w:rsidRPr="00275FBD">
        <w:rPr>
          <w:lang w:val="sl-SI"/>
        </w:rPr>
        <w:instrText xml:space="preserve"> REF _Ref133224011 \r \h </w:instrText>
      </w:r>
      <w:r w:rsidR="001F7365" w:rsidRPr="00275FBD">
        <w:rPr>
          <w:lang w:val="sl-SI"/>
        </w:rPr>
      </w:r>
      <w:r w:rsidR="001F7365" w:rsidRPr="00275FBD">
        <w:rPr>
          <w:lang w:val="sl-SI"/>
        </w:rPr>
        <w:fldChar w:fldCharType="separate"/>
      </w:r>
      <w:r w:rsidR="00BA25CD">
        <w:rPr>
          <w:lang w:val="sl-SI"/>
        </w:rPr>
        <w:t>[10]</w:t>
      </w:r>
      <w:r w:rsidR="001F7365" w:rsidRPr="00275FBD">
        <w:rPr>
          <w:lang w:val="sl-SI"/>
        </w:rPr>
        <w:fldChar w:fldCharType="end"/>
      </w:r>
      <w:r w:rsidR="00D87E53" w:rsidRPr="00275FBD">
        <w:rPr>
          <w:lang w:val="sl-SI"/>
        </w:rPr>
        <w:t xml:space="preserve">) bila </w:t>
      </w:r>
      <w:r>
        <w:rPr>
          <w:lang w:val="sl-SI"/>
        </w:rPr>
        <w:t>narej</w:t>
      </w:r>
      <w:r w:rsidRPr="00275FBD">
        <w:rPr>
          <w:lang w:val="sl-SI"/>
        </w:rPr>
        <w:t xml:space="preserve">ena </w:t>
      </w:r>
      <w:r w:rsidR="000C7C28">
        <w:rPr>
          <w:lang w:val="sl-SI"/>
        </w:rPr>
        <w:t>celovita</w:t>
      </w:r>
      <w:r w:rsidR="000C7C28" w:rsidRPr="00275FBD">
        <w:rPr>
          <w:lang w:val="sl-SI"/>
        </w:rPr>
        <w:t xml:space="preserve"> </w:t>
      </w:r>
      <w:r w:rsidR="00D87E53" w:rsidRPr="00275FBD">
        <w:rPr>
          <w:lang w:val="sl-SI"/>
        </w:rPr>
        <w:t xml:space="preserve">ocena </w:t>
      </w:r>
      <w:r w:rsidR="007641D4">
        <w:rPr>
          <w:lang w:val="sl-SI"/>
        </w:rPr>
        <w:t>varnosti</w:t>
      </w:r>
      <w:r w:rsidR="007641D4" w:rsidRPr="00275FBD">
        <w:rPr>
          <w:lang w:val="sl-SI"/>
        </w:rPr>
        <w:t xml:space="preserve"> </w:t>
      </w:r>
      <w:r w:rsidR="00F61E88" w:rsidRPr="00275FBD">
        <w:rPr>
          <w:lang w:val="sl-SI"/>
        </w:rPr>
        <w:t>elektrarne</w:t>
      </w:r>
      <w:r w:rsidR="00D87E53" w:rsidRPr="00275FBD">
        <w:rPr>
          <w:lang w:val="sl-SI"/>
        </w:rPr>
        <w:t xml:space="preserve">, ki je predstavljena v poročilu PSR3-NEK-9.3 </w:t>
      </w:r>
      <w:r w:rsidR="001F7365" w:rsidRPr="00275FBD">
        <w:rPr>
          <w:lang w:val="sl-SI"/>
        </w:rPr>
        <w:fldChar w:fldCharType="begin"/>
      </w:r>
      <w:r w:rsidR="001F7365" w:rsidRPr="00275FBD">
        <w:rPr>
          <w:lang w:val="sl-SI"/>
        </w:rPr>
        <w:instrText xml:space="preserve"> REF _Ref138279840 \r \h </w:instrText>
      </w:r>
      <w:r w:rsidR="001F7365" w:rsidRPr="00275FBD">
        <w:rPr>
          <w:lang w:val="sl-SI"/>
        </w:rPr>
      </w:r>
      <w:r w:rsidR="001F7365" w:rsidRPr="00275FBD">
        <w:rPr>
          <w:lang w:val="sl-SI"/>
        </w:rPr>
        <w:fldChar w:fldCharType="separate"/>
      </w:r>
      <w:r w:rsidR="00BA25CD">
        <w:rPr>
          <w:lang w:val="sl-SI"/>
        </w:rPr>
        <w:t>[2]</w:t>
      </w:r>
      <w:r w:rsidR="001F7365" w:rsidRPr="00275FBD">
        <w:rPr>
          <w:lang w:val="sl-SI"/>
        </w:rPr>
        <w:fldChar w:fldCharType="end"/>
      </w:r>
      <w:r w:rsidR="00D87E53" w:rsidRPr="00275FBD">
        <w:rPr>
          <w:lang w:val="sl-SI"/>
        </w:rPr>
        <w:t xml:space="preserve">. </w:t>
      </w:r>
      <w:r w:rsidR="001F7365" w:rsidRPr="00275FBD">
        <w:rPr>
          <w:lang w:val="sl-SI"/>
        </w:rPr>
        <w:fldChar w:fldCharType="begin"/>
      </w:r>
      <w:r w:rsidR="001F7365" w:rsidRPr="00275FBD">
        <w:rPr>
          <w:lang w:val="sl-SI"/>
        </w:rPr>
        <w:instrText xml:space="preserve"> REF _Ref138325529 \h </w:instrText>
      </w:r>
      <w:r w:rsidR="001F7365" w:rsidRPr="00275FBD">
        <w:rPr>
          <w:lang w:val="sl-SI"/>
        </w:rPr>
      </w:r>
      <w:r w:rsidR="001F7365" w:rsidRPr="00275FBD">
        <w:rPr>
          <w:lang w:val="sl-SI"/>
        </w:rPr>
        <w:fldChar w:fldCharType="separate"/>
      </w:r>
    </w:p>
    <w:p w14:paraId="7F7F6D1A" w14:textId="2940701B" w:rsidR="00D87E53" w:rsidRPr="00275FBD" w:rsidRDefault="00BA25CD" w:rsidP="00D87E53">
      <w:pPr>
        <w:rPr>
          <w:lang w:val="sl-SI"/>
        </w:rPr>
      </w:pPr>
      <w:r w:rsidRPr="00275FBD">
        <w:rPr>
          <w:lang w:val="sl-SI" w:eastAsia="en-GB"/>
        </w:rPr>
        <w:t xml:space="preserve">Slika </w:t>
      </w:r>
      <w:r>
        <w:rPr>
          <w:noProof/>
          <w:lang w:val="sl-SI" w:eastAsia="en-GB"/>
        </w:rPr>
        <w:t>2</w:t>
      </w:r>
      <w:r w:rsidRPr="00275FBD">
        <w:rPr>
          <w:lang w:val="sl-SI" w:eastAsia="en-GB"/>
        </w:rPr>
        <w:noBreakHyphen/>
      </w:r>
      <w:r>
        <w:rPr>
          <w:noProof/>
          <w:lang w:val="sl-SI" w:eastAsia="en-GB"/>
        </w:rPr>
        <w:t>4</w:t>
      </w:r>
      <w:r w:rsidR="001F7365" w:rsidRPr="00275FBD">
        <w:rPr>
          <w:lang w:val="sl-SI"/>
        </w:rPr>
        <w:fldChar w:fldCharType="end"/>
      </w:r>
      <w:r w:rsidR="00D87E53" w:rsidRPr="00275FBD">
        <w:rPr>
          <w:lang w:val="sl-SI"/>
        </w:rPr>
        <w:t xml:space="preserve"> prikazuje </w:t>
      </w:r>
      <w:r w:rsidR="000C7C28">
        <w:rPr>
          <w:lang w:val="sl-SI"/>
        </w:rPr>
        <w:t>celovito</w:t>
      </w:r>
      <w:r w:rsidR="000C7C28" w:rsidRPr="00275FBD">
        <w:rPr>
          <w:lang w:val="sl-SI"/>
        </w:rPr>
        <w:t xml:space="preserve"> </w:t>
      </w:r>
      <w:r w:rsidR="00D87E53" w:rsidRPr="00275FBD">
        <w:rPr>
          <w:lang w:val="sl-SI"/>
        </w:rPr>
        <w:t xml:space="preserve">oceno </w:t>
      </w:r>
      <w:r w:rsidR="007641D4">
        <w:rPr>
          <w:lang w:val="sl-SI"/>
        </w:rPr>
        <w:t>varnosti</w:t>
      </w:r>
      <w:r w:rsidR="007641D4" w:rsidRPr="00275FBD">
        <w:rPr>
          <w:lang w:val="sl-SI"/>
        </w:rPr>
        <w:t xml:space="preserve"> </w:t>
      </w:r>
      <w:r w:rsidR="00D87E53" w:rsidRPr="00275FBD">
        <w:rPr>
          <w:lang w:val="sl-SI"/>
        </w:rPr>
        <w:t xml:space="preserve">elektrarne v kontekstu glavnih nalog PSR3, splošnega poteka dela in dokumentov, ki so nastali med projektom. </w:t>
      </w:r>
      <w:r w:rsidR="00052E53" w:rsidRPr="00275FBD">
        <w:rPr>
          <w:lang w:val="sl-SI"/>
        </w:rPr>
        <w:t xml:space="preserve">Poglavji </w:t>
      </w:r>
      <w:r w:rsidR="00B20165" w:rsidRPr="00275FBD">
        <w:rPr>
          <w:lang w:val="sl-SI"/>
        </w:rPr>
        <w:fldChar w:fldCharType="begin"/>
      </w:r>
      <w:r w:rsidR="00B20165" w:rsidRPr="00275FBD">
        <w:rPr>
          <w:lang w:val="sl-SI"/>
        </w:rPr>
        <w:instrText xml:space="preserve"> REF _Ref138425098 \r \h </w:instrText>
      </w:r>
      <w:r w:rsidR="00B20165" w:rsidRPr="00275FBD">
        <w:rPr>
          <w:lang w:val="sl-SI"/>
        </w:rPr>
      </w:r>
      <w:r w:rsidR="00B20165" w:rsidRPr="00275FBD">
        <w:rPr>
          <w:lang w:val="sl-SI"/>
        </w:rPr>
        <w:fldChar w:fldCharType="separate"/>
      </w:r>
      <w:r>
        <w:rPr>
          <w:lang w:val="sl-SI"/>
        </w:rPr>
        <w:t>3</w:t>
      </w:r>
      <w:r w:rsidR="00B20165" w:rsidRPr="00275FBD">
        <w:rPr>
          <w:lang w:val="sl-SI"/>
        </w:rPr>
        <w:fldChar w:fldCharType="end"/>
      </w:r>
      <w:r w:rsidR="00D87E53" w:rsidRPr="00275FBD">
        <w:rPr>
          <w:lang w:val="sl-SI"/>
        </w:rPr>
        <w:t xml:space="preserve"> in </w:t>
      </w:r>
      <w:r w:rsidR="00B20165" w:rsidRPr="00275FBD">
        <w:rPr>
          <w:lang w:val="sl-SI"/>
        </w:rPr>
        <w:fldChar w:fldCharType="begin"/>
      </w:r>
      <w:r w:rsidR="00B20165" w:rsidRPr="00275FBD">
        <w:rPr>
          <w:lang w:val="sl-SI"/>
        </w:rPr>
        <w:instrText xml:space="preserve"> REF _Ref138424885 \r \h </w:instrText>
      </w:r>
      <w:r w:rsidR="00B20165" w:rsidRPr="00275FBD">
        <w:rPr>
          <w:lang w:val="sl-SI"/>
        </w:rPr>
      </w:r>
      <w:r w:rsidR="00B20165" w:rsidRPr="00275FBD">
        <w:rPr>
          <w:lang w:val="sl-SI"/>
        </w:rPr>
        <w:fldChar w:fldCharType="separate"/>
      </w:r>
      <w:r>
        <w:rPr>
          <w:lang w:val="sl-SI"/>
        </w:rPr>
        <w:t>4</w:t>
      </w:r>
      <w:r w:rsidR="00B20165" w:rsidRPr="00275FBD">
        <w:rPr>
          <w:lang w:val="sl-SI"/>
        </w:rPr>
        <w:fldChar w:fldCharType="end"/>
      </w:r>
      <w:r w:rsidR="00D87E53" w:rsidRPr="00275FBD">
        <w:rPr>
          <w:lang w:val="sl-SI"/>
        </w:rPr>
        <w:t xml:space="preserve"> </w:t>
      </w:r>
      <w:r w:rsidR="007641D4">
        <w:rPr>
          <w:lang w:val="sl-SI"/>
        </w:rPr>
        <w:t>predstavita</w:t>
      </w:r>
      <w:r w:rsidR="00D87E53" w:rsidRPr="00275FBD">
        <w:rPr>
          <w:lang w:val="sl-SI"/>
        </w:rPr>
        <w:t xml:space="preserve"> kratek povzetek faze pregleda PSR3 z orisom glavnih rezultatov (števil</w:t>
      </w:r>
      <w:r w:rsidR="001F7365" w:rsidRPr="00275FBD">
        <w:rPr>
          <w:lang w:val="sl-SI"/>
        </w:rPr>
        <w:t>a</w:t>
      </w:r>
      <w:r w:rsidR="00D87E53" w:rsidRPr="00275FBD">
        <w:rPr>
          <w:lang w:val="sl-SI"/>
        </w:rPr>
        <w:t xml:space="preserve"> </w:t>
      </w:r>
      <w:r w:rsidR="00CB6B10">
        <w:rPr>
          <w:lang w:val="sl-SI"/>
        </w:rPr>
        <w:t>najdb</w:t>
      </w:r>
      <w:r w:rsidR="00D87E53" w:rsidRPr="00275FBD">
        <w:rPr>
          <w:lang w:val="sl-SI"/>
        </w:rPr>
        <w:t>).</w:t>
      </w:r>
    </w:p>
    <w:p w14:paraId="437CDF1C" w14:textId="0A469648" w:rsidR="00563871" w:rsidRPr="00275FBD" w:rsidRDefault="00563871" w:rsidP="00563871">
      <w:pPr>
        <w:rPr>
          <w:lang w:val="sl-SI"/>
        </w:rPr>
      </w:pPr>
      <w:r w:rsidRPr="00275FBD">
        <w:rPr>
          <w:lang w:val="sl-SI"/>
        </w:rPr>
        <w:t xml:space="preserve">Po zaključku prve faze je bila opravljena </w:t>
      </w:r>
      <w:r w:rsidR="000C7C28">
        <w:rPr>
          <w:lang w:val="sl-SI"/>
        </w:rPr>
        <w:t>celovita</w:t>
      </w:r>
      <w:r w:rsidR="000C7C28" w:rsidRPr="00275FBD">
        <w:rPr>
          <w:lang w:val="sl-SI"/>
        </w:rPr>
        <w:t xml:space="preserve"> </w:t>
      </w:r>
      <w:r w:rsidRPr="00275FBD">
        <w:rPr>
          <w:lang w:val="sl-SI"/>
        </w:rPr>
        <w:t xml:space="preserve">ocena stanja elektrarne. Referenčno stanje varnosti elektrarne za PSR3 je bilo najprej ocenjeno glede na </w:t>
      </w:r>
      <w:r w:rsidR="007641D4">
        <w:rPr>
          <w:lang w:val="sl-SI"/>
        </w:rPr>
        <w:t>globino</w:t>
      </w:r>
      <w:r w:rsidR="007641D4" w:rsidRPr="00275FBD">
        <w:rPr>
          <w:lang w:val="sl-SI"/>
        </w:rPr>
        <w:t xml:space="preserve"> </w:t>
      </w:r>
      <w:r w:rsidRPr="00275FBD">
        <w:rPr>
          <w:lang w:val="sl-SI"/>
        </w:rPr>
        <w:t>obramb</w:t>
      </w:r>
      <w:r w:rsidR="007641D4">
        <w:rPr>
          <w:lang w:val="sl-SI"/>
        </w:rPr>
        <w:t>e</w:t>
      </w:r>
      <w:r w:rsidR="006F0D69">
        <w:rPr>
          <w:lang w:val="sl-SI"/>
        </w:rPr>
        <w:t xml:space="preserve"> </w:t>
      </w:r>
      <w:r w:rsidRPr="00275FBD">
        <w:rPr>
          <w:lang w:val="sl-SI"/>
        </w:rPr>
        <w:t xml:space="preserve">(DOD), kot je na kratko povzeto v </w:t>
      </w:r>
      <w:r w:rsidR="007641D4">
        <w:rPr>
          <w:lang w:val="sl-SI"/>
        </w:rPr>
        <w:t>poglavju</w:t>
      </w:r>
      <w:r w:rsidR="007641D4" w:rsidRPr="00275FBD">
        <w:rPr>
          <w:lang w:val="sl-SI"/>
        </w:rPr>
        <w:t xml:space="preserve"> </w:t>
      </w:r>
      <w:r w:rsidRPr="00275FBD">
        <w:rPr>
          <w:lang w:val="sl-SI"/>
        </w:rPr>
        <w:fldChar w:fldCharType="begin"/>
      </w:r>
      <w:r w:rsidRPr="00275FBD">
        <w:rPr>
          <w:lang w:val="sl-SI"/>
        </w:rPr>
        <w:instrText xml:space="preserve"> REF _Ref132729208 \r \h </w:instrText>
      </w:r>
      <w:r w:rsidRPr="00275FBD">
        <w:rPr>
          <w:lang w:val="sl-SI"/>
        </w:rPr>
      </w:r>
      <w:r w:rsidRPr="00275FBD">
        <w:rPr>
          <w:lang w:val="sl-SI"/>
        </w:rPr>
        <w:fldChar w:fldCharType="separate"/>
      </w:r>
      <w:r w:rsidR="00BA25CD">
        <w:rPr>
          <w:lang w:val="sl-SI"/>
        </w:rPr>
        <w:t>5.1</w:t>
      </w:r>
      <w:r w:rsidRPr="00275FBD">
        <w:rPr>
          <w:lang w:val="sl-SI"/>
        </w:rPr>
        <w:fldChar w:fldCharType="end"/>
      </w:r>
      <w:r w:rsidRPr="00275FBD">
        <w:rPr>
          <w:lang w:val="sl-SI"/>
        </w:rPr>
        <w:t xml:space="preserve">, potem pa glede na tveganje na podlagi verjetnostnih varnostnih </w:t>
      </w:r>
      <w:r w:rsidR="007641D4">
        <w:rPr>
          <w:lang w:val="sl-SI"/>
        </w:rPr>
        <w:t>analiz</w:t>
      </w:r>
      <w:r w:rsidR="007641D4" w:rsidRPr="00275FBD">
        <w:rPr>
          <w:lang w:val="sl-SI"/>
        </w:rPr>
        <w:t xml:space="preserve"> </w:t>
      </w:r>
      <w:r w:rsidRPr="00275FBD">
        <w:rPr>
          <w:lang w:val="sl-SI"/>
        </w:rPr>
        <w:t xml:space="preserve">NEK, kot je opisano v </w:t>
      </w:r>
      <w:r w:rsidR="0088439B" w:rsidRPr="00275FBD">
        <w:rPr>
          <w:lang w:val="sl-SI"/>
        </w:rPr>
        <w:t xml:space="preserve">poglavju </w:t>
      </w:r>
      <w:r w:rsidR="00B20165" w:rsidRPr="00275FBD">
        <w:rPr>
          <w:lang w:val="sl-SI"/>
        </w:rPr>
        <w:fldChar w:fldCharType="begin"/>
      </w:r>
      <w:r w:rsidR="00B20165" w:rsidRPr="00275FBD">
        <w:rPr>
          <w:lang w:val="sl-SI"/>
        </w:rPr>
        <w:instrText xml:space="preserve"> REF _Ref138424290 \r \h </w:instrText>
      </w:r>
      <w:r w:rsidR="00B20165" w:rsidRPr="00275FBD">
        <w:rPr>
          <w:lang w:val="sl-SI"/>
        </w:rPr>
      </w:r>
      <w:r w:rsidR="00B20165" w:rsidRPr="00275FBD">
        <w:rPr>
          <w:lang w:val="sl-SI"/>
        </w:rPr>
        <w:fldChar w:fldCharType="separate"/>
      </w:r>
      <w:r w:rsidR="00BA25CD">
        <w:rPr>
          <w:lang w:val="sl-SI"/>
        </w:rPr>
        <w:t>5.2</w:t>
      </w:r>
      <w:r w:rsidR="00B20165" w:rsidRPr="00275FBD">
        <w:rPr>
          <w:lang w:val="sl-SI"/>
        </w:rPr>
        <w:fldChar w:fldCharType="end"/>
      </w:r>
      <w:r w:rsidRPr="00275FBD">
        <w:rPr>
          <w:lang w:val="sl-SI"/>
        </w:rPr>
        <w:t>.</w:t>
      </w:r>
    </w:p>
    <w:p w14:paraId="2887FDEE" w14:textId="0756F3AD" w:rsidR="00563871" w:rsidRPr="00275FBD" w:rsidRDefault="00563871" w:rsidP="00563871">
      <w:pPr>
        <w:rPr>
          <w:lang w:val="sl-SI"/>
        </w:rPr>
      </w:pPr>
      <w:r w:rsidRPr="00275FBD">
        <w:rPr>
          <w:lang w:val="sl-SI"/>
        </w:rPr>
        <w:t xml:space="preserve">Vpliv </w:t>
      </w:r>
      <w:r w:rsidR="00BD5705" w:rsidRPr="00275FBD">
        <w:rPr>
          <w:lang w:val="sl-SI"/>
        </w:rPr>
        <w:t>najdb</w:t>
      </w:r>
      <w:r w:rsidR="00A27D54">
        <w:rPr>
          <w:lang w:val="sl-SI"/>
        </w:rPr>
        <w:t xml:space="preserve"> iz</w:t>
      </w:r>
      <w:r w:rsidRPr="00275FBD">
        <w:rPr>
          <w:lang w:val="sl-SI"/>
        </w:rPr>
        <w:t xml:space="preserve"> faz</w:t>
      </w:r>
      <w:r w:rsidR="00A27D54">
        <w:rPr>
          <w:lang w:val="sl-SI"/>
        </w:rPr>
        <w:t>e</w:t>
      </w:r>
      <w:r w:rsidRPr="00275FBD">
        <w:rPr>
          <w:lang w:val="sl-SI"/>
        </w:rPr>
        <w:t xml:space="preserve"> pregleda na referenčni status elektrarne je bil nato ovrednoten</w:t>
      </w:r>
      <w:r w:rsidR="007641D4">
        <w:rPr>
          <w:lang w:val="sl-SI"/>
        </w:rPr>
        <w:t xml:space="preserve"> in opisan </w:t>
      </w:r>
      <w:r w:rsidRPr="00275FBD">
        <w:rPr>
          <w:lang w:val="sl-SI"/>
        </w:rPr>
        <w:t xml:space="preserve">v </w:t>
      </w:r>
      <w:r w:rsidR="0088439B" w:rsidRPr="00275FBD">
        <w:rPr>
          <w:lang w:val="sl-SI"/>
        </w:rPr>
        <w:t xml:space="preserve">poglavju </w:t>
      </w:r>
      <w:r w:rsidRPr="00275FBD">
        <w:rPr>
          <w:lang w:val="sl-SI"/>
        </w:rPr>
        <w:fldChar w:fldCharType="begin"/>
      </w:r>
      <w:r w:rsidRPr="00275FBD">
        <w:rPr>
          <w:lang w:val="sl-SI"/>
        </w:rPr>
        <w:instrText xml:space="preserve"> REF _Ref138335197 \r \h </w:instrText>
      </w:r>
      <w:r w:rsidRPr="00275FBD">
        <w:rPr>
          <w:lang w:val="sl-SI"/>
        </w:rPr>
      </w:r>
      <w:r w:rsidRPr="00275FBD">
        <w:rPr>
          <w:lang w:val="sl-SI"/>
        </w:rPr>
        <w:fldChar w:fldCharType="separate"/>
      </w:r>
      <w:r w:rsidR="00BA25CD">
        <w:rPr>
          <w:lang w:val="sl-SI"/>
        </w:rPr>
        <w:t>5.3</w:t>
      </w:r>
      <w:r w:rsidRPr="00275FBD">
        <w:rPr>
          <w:lang w:val="sl-SI"/>
        </w:rPr>
        <w:fldChar w:fldCharType="end"/>
      </w:r>
      <w:r w:rsidRPr="00275FBD">
        <w:rPr>
          <w:lang w:val="sl-SI"/>
        </w:rPr>
        <w:t>.</w:t>
      </w:r>
    </w:p>
    <w:p w14:paraId="04255541" w14:textId="750612E6" w:rsidR="00563871" w:rsidRPr="00275FBD" w:rsidRDefault="00563871" w:rsidP="00563871">
      <w:pPr>
        <w:rPr>
          <w:lang w:val="sl-SI"/>
        </w:rPr>
      </w:pPr>
      <w:r w:rsidRPr="00275FBD">
        <w:rPr>
          <w:lang w:val="sl-SI"/>
        </w:rPr>
        <w:t xml:space="preserve">Nadaljnje vrednotenje je vključevalo predvidene </w:t>
      </w:r>
      <w:r w:rsidR="00A27D54">
        <w:rPr>
          <w:lang w:val="sl-SI"/>
        </w:rPr>
        <w:t>raz</w:t>
      </w:r>
      <w:r w:rsidRPr="00275FBD">
        <w:rPr>
          <w:lang w:val="sl-SI"/>
        </w:rPr>
        <w:t xml:space="preserve">rešitve pomembnih varnostnih </w:t>
      </w:r>
      <w:r w:rsidR="00BD5705" w:rsidRPr="00275FBD">
        <w:rPr>
          <w:lang w:val="sl-SI"/>
        </w:rPr>
        <w:t xml:space="preserve">najdb </w:t>
      </w:r>
      <w:r w:rsidRPr="00275FBD">
        <w:rPr>
          <w:lang w:val="sl-SI"/>
        </w:rPr>
        <w:t xml:space="preserve">(predvideni korektivni ukrepi), kot je obravnavano v </w:t>
      </w:r>
      <w:r w:rsidR="0088439B" w:rsidRPr="00275FBD">
        <w:rPr>
          <w:lang w:val="sl-SI"/>
        </w:rPr>
        <w:t xml:space="preserve">poglavju </w:t>
      </w:r>
      <w:r w:rsidR="00B20165" w:rsidRPr="00275FBD">
        <w:rPr>
          <w:lang w:val="sl-SI"/>
        </w:rPr>
        <w:fldChar w:fldCharType="begin"/>
      </w:r>
      <w:r w:rsidR="00B20165" w:rsidRPr="00275FBD">
        <w:rPr>
          <w:lang w:val="sl-SI"/>
        </w:rPr>
        <w:instrText xml:space="preserve"> REF _Ref138605766 \r \h </w:instrText>
      </w:r>
      <w:r w:rsidR="00B20165" w:rsidRPr="00275FBD">
        <w:rPr>
          <w:lang w:val="sl-SI"/>
        </w:rPr>
      </w:r>
      <w:r w:rsidR="00B20165" w:rsidRPr="00275FBD">
        <w:rPr>
          <w:lang w:val="sl-SI"/>
        </w:rPr>
        <w:fldChar w:fldCharType="separate"/>
      </w:r>
      <w:r w:rsidR="00BA25CD">
        <w:rPr>
          <w:lang w:val="sl-SI"/>
        </w:rPr>
        <w:t>5.4</w:t>
      </w:r>
      <w:r w:rsidR="00B20165" w:rsidRPr="00275FBD">
        <w:rPr>
          <w:lang w:val="sl-SI"/>
        </w:rPr>
        <w:fldChar w:fldCharType="end"/>
      </w:r>
      <w:r w:rsidRPr="00275FBD">
        <w:rPr>
          <w:lang w:val="sl-SI"/>
        </w:rPr>
        <w:t>.</w:t>
      </w:r>
    </w:p>
    <w:p w14:paraId="27443E29" w14:textId="5256DED7" w:rsidR="00563871" w:rsidRPr="00275FBD" w:rsidRDefault="00563871" w:rsidP="00563871">
      <w:pPr>
        <w:rPr>
          <w:lang w:val="sl-SI"/>
        </w:rPr>
      </w:pPr>
      <w:r w:rsidRPr="00275FBD">
        <w:rPr>
          <w:lang w:val="sl-SI"/>
        </w:rPr>
        <w:t xml:space="preserve">Zaključki o referenčnem stanju </w:t>
      </w:r>
      <w:r w:rsidR="007641D4">
        <w:rPr>
          <w:lang w:val="sl-SI"/>
        </w:rPr>
        <w:t xml:space="preserve">in </w:t>
      </w:r>
      <w:r w:rsidRPr="00275FBD">
        <w:rPr>
          <w:lang w:val="sl-SI"/>
        </w:rPr>
        <w:t xml:space="preserve">varnosti elektrarne ob upoštevanju </w:t>
      </w:r>
      <w:r w:rsidR="00BD5705" w:rsidRPr="00275FBD">
        <w:rPr>
          <w:lang w:val="sl-SI"/>
        </w:rPr>
        <w:t xml:space="preserve">najdb </w:t>
      </w:r>
      <w:r w:rsidRPr="00275FBD">
        <w:rPr>
          <w:lang w:val="sl-SI"/>
        </w:rPr>
        <w:t xml:space="preserve">in njihovega načrtovanega reševanja so predstavljeni v poglavju </w:t>
      </w:r>
      <w:r w:rsidRPr="00275FBD">
        <w:rPr>
          <w:lang w:val="sl-SI"/>
        </w:rPr>
        <w:fldChar w:fldCharType="begin"/>
      </w:r>
      <w:r w:rsidRPr="00275FBD">
        <w:rPr>
          <w:lang w:val="sl-SI"/>
        </w:rPr>
        <w:instrText xml:space="preserve"> REF _Ref138335283 \r \h </w:instrText>
      </w:r>
      <w:r w:rsidRPr="00275FBD">
        <w:rPr>
          <w:lang w:val="sl-SI"/>
        </w:rPr>
      </w:r>
      <w:r w:rsidRPr="00275FBD">
        <w:rPr>
          <w:lang w:val="sl-SI"/>
        </w:rPr>
        <w:fldChar w:fldCharType="separate"/>
      </w:r>
      <w:r w:rsidR="00BA25CD">
        <w:rPr>
          <w:lang w:val="sl-SI"/>
        </w:rPr>
        <w:t>5.5</w:t>
      </w:r>
      <w:r w:rsidRPr="00275FBD">
        <w:rPr>
          <w:lang w:val="sl-SI"/>
        </w:rPr>
        <w:fldChar w:fldCharType="end"/>
      </w:r>
      <w:r w:rsidRPr="00275FBD">
        <w:rPr>
          <w:lang w:val="sl-SI"/>
        </w:rPr>
        <w:t>.</w:t>
      </w:r>
    </w:p>
    <w:p w14:paraId="1B3BD276" w14:textId="16F99C07" w:rsidR="00563871" w:rsidRPr="00275FBD" w:rsidRDefault="00563871" w:rsidP="00563871">
      <w:pPr>
        <w:rPr>
          <w:lang w:val="sl-SI"/>
        </w:rPr>
      </w:pPr>
      <w:r w:rsidRPr="00275FBD">
        <w:rPr>
          <w:lang w:val="sl-SI"/>
        </w:rPr>
        <w:t xml:space="preserve">Na koncu je v </w:t>
      </w:r>
      <w:r w:rsidR="0088439B" w:rsidRPr="00275FBD">
        <w:rPr>
          <w:lang w:val="sl-SI"/>
        </w:rPr>
        <w:t xml:space="preserve">poglavju </w:t>
      </w:r>
      <w:r w:rsidR="00014849" w:rsidRPr="00275FBD">
        <w:rPr>
          <w:lang w:val="sl-SI"/>
        </w:rPr>
        <w:fldChar w:fldCharType="begin"/>
      </w:r>
      <w:r w:rsidR="00014849" w:rsidRPr="00275FBD">
        <w:rPr>
          <w:lang w:val="sl-SI"/>
        </w:rPr>
        <w:instrText xml:space="preserve"> REF _Ref138771918 \r \h </w:instrText>
      </w:r>
      <w:r w:rsidR="00014849" w:rsidRPr="00275FBD">
        <w:rPr>
          <w:lang w:val="sl-SI"/>
        </w:rPr>
      </w:r>
      <w:r w:rsidR="00014849" w:rsidRPr="00275FBD">
        <w:rPr>
          <w:lang w:val="sl-SI"/>
        </w:rPr>
        <w:fldChar w:fldCharType="separate"/>
      </w:r>
      <w:r w:rsidR="00BA25CD">
        <w:rPr>
          <w:lang w:val="sl-SI"/>
        </w:rPr>
        <w:t>6</w:t>
      </w:r>
      <w:r w:rsidR="00014849" w:rsidRPr="00275FBD">
        <w:rPr>
          <w:lang w:val="sl-SI"/>
        </w:rPr>
        <w:fldChar w:fldCharType="end"/>
      </w:r>
      <w:r w:rsidRPr="00275FBD">
        <w:rPr>
          <w:lang w:val="sl-SI"/>
        </w:rPr>
        <w:t xml:space="preserve"> naveden povzetek postopka skupaj s splošnimi zaključki glede varnosti elektrarne </w:t>
      </w:r>
      <w:r w:rsidR="007641D4">
        <w:rPr>
          <w:lang w:val="sl-SI"/>
        </w:rPr>
        <w:t>v</w:t>
      </w:r>
      <w:r w:rsidR="007641D4" w:rsidRPr="00275FBD">
        <w:rPr>
          <w:lang w:val="sl-SI"/>
        </w:rPr>
        <w:t xml:space="preserve"> </w:t>
      </w:r>
      <w:r w:rsidRPr="00275FBD">
        <w:rPr>
          <w:lang w:val="sl-SI"/>
        </w:rPr>
        <w:t>nadaljnje</w:t>
      </w:r>
      <w:r w:rsidR="007641D4">
        <w:rPr>
          <w:lang w:val="sl-SI"/>
        </w:rPr>
        <w:t>m</w:t>
      </w:r>
      <w:r w:rsidRPr="00275FBD">
        <w:rPr>
          <w:lang w:val="sl-SI"/>
        </w:rPr>
        <w:t xml:space="preserve"> obratovanj</w:t>
      </w:r>
      <w:r w:rsidR="007641D4">
        <w:rPr>
          <w:lang w:val="sl-SI"/>
        </w:rPr>
        <w:t>u</w:t>
      </w:r>
      <w:r w:rsidRPr="00275FBD">
        <w:rPr>
          <w:lang w:val="sl-SI"/>
        </w:rPr>
        <w:t>.</w:t>
      </w:r>
    </w:p>
    <w:p w14:paraId="6D71E311" w14:textId="77777777" w:rsidR="00146860" w:rsidRPr="00275FBD" w:rsidRDefault="00146860" w:rsidP="00982918">
      <w:pPr>
        <w:rPr>
          <w:lang w:val="sl-SI"/>
        </w:rPr>
      </w:pPr>
    </w:p>
    <w:p w14:paraId="4521063A" w14:textId="77777777" w:rsidR="00146860" w:rsidRPr="00275FBD" w:rsidRDefault="00146860" w:rsidP="00982918">
      <w:pPr>
        <w:rPr>
          <w:lang w:val="sl-SI"/>
        </w:rPr>
        <w:sectPr w:rsidR="00146860" w:rsidRPr="00275FBD" w:rsidSect="005F6909">
          <w:headerReference w:type="default" r:id="rId35"/>
          <w:footerReference w:type="default" r:id="rId36"/>
          <w:footnotePr>
            <w:numRestart w:val="eachPage"/>
          </w:footnotePr>
          <w:pgSz w:w="11906" w:h="16838"/>
          <w:pgMar w:top="1417" w:right="1417" w:bottom="1134" w:left="1417" w:header="708" w:footer="708" w:gutter="0"/>
          <w:cols w:space="708"/>
          <w:docGrid w:linePitch="360"/>
        </w:sectPr>
      </w:pPr>
    </w:p>
    <w:p w14:paraId="1706CBD5" w14:textId="2F268724" w:rsidR="00A27937" w:rsidRDefault="006348C7" w:rsidP="00A27937">
      <w:pPr>
        <w:rPr>
          <w:lang w:val="sl-SI" w:eastAsia="en-GB"/>
        </w:rPr>
      </w:pPr>
      <w:r w:rsidRPr="006348C7">
        <w:rPr>
          <w:noProof/>
        </w:rPr>
        <w:lastRenderedPageBreak/>
        <w:drawing>
          <wp:inline distT="0" distB="0" distL="0" distR="0" wp14:anchorId="63A6AA82" wp14:editId="2C2F293D">
            <wp:extent cx="7402710" cy="4983480"/>
            <wp:effectExtent l="0" t="0" r="8255" b="7620"/>
            <wp:docPr id="104868897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688978" name="Picture 1">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417013" cy="4993109"/>
                    </a:xfrm>
                    <a:prstGeom prst="rect">
                      <a:avLst/>
                    </a:prstGeom>
                    <a:noFill/>
                    <a:ln>
                      <a:noFill/>
                    </a:ln>
                  </pic:spPr>
                </pic:pic>
              </a:graphicData>
            </a:graphic>
          </wp:inline>
        </w:drawing>
      </w:r>
      <w:bookmarkStart w:id="44" w:name="_Ref138325529"/>
    </w:p>
    <w:p w14:paraId="0B2DF8A3" w14:textId="0CC54D6D" w:rsidR="00146860" w:rsidRPr="00275FBD" w:rsidRDefault="008C61F9" w:rsidP="008C61F9">
      <w:pPr>
        <w:pStyle w:val="Napis"/>
        <w:rPr>
          <w:lang w:val="sl-SI" w:eastAsia="en-GB"/>
        </w:rPr>
      </w:pPr>
      <w:bookmarkStart w:id="45" w:name="_Toc163197453"/>
      <w:r w:rsidRPr="00275FBD">
        <w:rPr>
          <w:lang w:val="sl-SI" w:eastAsia="en-GB"/>
        </w:rPr>
        <w:t xml:space="preserve">Slika </w:t>
      </w:r>
      <w:r w:rsidR="000A2C1E" w:rsidRPr="00275FBD">
        <w:rPr>
          <w:lang w:val="sl-SI" w:eastAsia="en-GB"/>
        </w:rPr>
        <w:fldChar w:fldCharType="begin"/>
      </w:r>
      <w:r w:rsidR="000A2C1E" w:rsidRPr="00275FBD">
        <w:rPr>
          <w:lang w:val="sl-SI" w:eastAsia="en-GB"/>
        </w:rPr>
        <w:instrText xml:space="preserve"> STYLEREF 1 \s </w:instrText>
      </w:r>
      <w:r w:rsidR="000A2C1E" w:rsidRPr="00275FBD">
        <w:rPr>
          <w:lang w:val="sl-SI" w:eastAsia="en-GB"/>
        </w:rPr>
        <w:fldChar w:fldCharType="separate"/>
      </w:r>
      <w:r w:rsidR="00BA25CD">
        <w:rPr>
          <w:noProof/>
          <w:lang w:val="sl-SI" w:eastAsia="en-GB"/>
        </w:rPr>
        <w:t>2</w:t>
      </w:r>
      <w:r w:rsidR="000A2C1E" w:rsidRPr="00275FBD">
        <w:rPr>
          <w:lang w:val="sl-SI" w:eastAsia="en-GB"/>
        </w:rPr>
        <w:fldChar w:fldCharType="end"/>
      </w:r>
      <w:r w:rsidR="000A2C1E" w:rsidRPr="00275FBD">
        <w:rPr>
          <w:lang w:val="sl-SI" w:eastAsia="en-GB"/>
        </w:rPr>
        <w:noBreakHyphen/>
      </w:r>
      <w:r w:rsidR="000A2C1E" w:rsidRPr="00275FBD">
        <w:rPr>
          <w:lang w:val="sl-SI" w:eastAsia="en-GB"/>
        </w:rPr>
        <w:fldChar w:fldCharType="begin"/>
      </w:r>
      <w:r w:rsidR="000A2C1E" w:rsidRPr="00275FBD">
        <w:rPr>
          <w:lang w:val="sl-SI" w:eastAsia="en-GB"/>
        </w:rPr>
        <w:instrText xml:space="preserve"> SEQ Slika \* ARABIC \s 1 </w:instrText>
      </w:r>
      <w:r w:rsidR="000A2C1E" w:rsidRPr="00275FBD">
        <w:rPr>
          <w:lang w:val="sl-SI" w:eastAsia="en-GB"/>
        </w:rPr>
        <w:fldChar w:fldCharType="separate"/>
      </w:r>
      <w:r w:rsidR="00BA25CD">
        <w:rPr>
          <w:noProof/>
          <w:lang w:val="sl-SI" w:eastAsia="en-GB"/>
        </w:rPr>
        <w:t>4</w:t>
      </w:r>
      <w:r w:rsidR="000A2C1E" w:rsidRPr="00275FBD">
        <w:rPr>
          <w:lang w:val="sl-SI" w:eastAsia="en-GB"/>
        </w:rPr>
        <w:fldChar w:fldCharType="end"/>
      </w:r>
      <w:bookmarkEnd w:id="44"/>
      <w:r w:rsidRPr="00275FBD">
        <w:rPr>
          <w:lang w:val="sl-SI" w:eastAsia="en-GB"/>
        </w:rPr>
        <w:t xml:space="preserve">: </w:t>
      </w:r>
      <w:r w:rsidR="00755706" w:rsidRPr="00275FBD">
        <w:rPr>
          <w:lang w:val="sl-SI" w:eastAsia="en-GB"/>
        </w:rPr>
        <w:t>P</w:t>
      </w:r>
      <w:r w:rsidRPr="00275FBD">
        <w:rPr>
          <w:lang w:val="sl-SI" w:eastAsia="en-GB"/>
        </w:rPr>
        <w:t xml:space="preserve">roces ocene rezultatov faze </w:t>
      </w:r>
      <w:r w:rsidR="007955E1" w:rsidRPr="00275FBD">
        <w:rPr>
          <w:lang w:val="sl-SI" w:eastAsia="en-GB"/>
        </w:rPr>
        <w:t>pregled</w:t>
      </w:r>
      <w:r w:rsidR="007955E1">
        <w:rPr>
          <w:lang w:val="sl-SI" w:eastAsia="en-GB"/>
        </w:rPr>
        <w:t>a</w:t>
      </w:r>
      <w:r w:rsidR="007955E1" w:rsidRPr="00275FBD">
        <w:rPr>
          <w:lang w:val="sl-SI" w:eastAsia="en-GB"/>
        </w:rPr>
        <w:t xml:space="preserve"> </w:t>
      </w:r>
      <w:r w:rsidR="00755706" w:rsidRPr="00275FBD">
        <w:rPr>
          <w:lang w:val="sl-SI" w:eastAsia="en-GB"/>
        </w:rPr>
        <w:t xml:space="preserve">v kontekstu glavnih korakov </w:t>
      </w:r>
      <w:r w:rsidRPr="00275FBD">
        <w:rPr>
          <w:lang w:val="sl-SI" w:eastAsia="en-GB"/>
        </w:rPr>
        <w:t>PSR</w:t>
      </w:r>
      <w:r w:rsidR="0053720F" w:rsidRPr="00275FBD">
        <w:rPr>
          <w:lang w:val="sl-SI" w:eastAsia="en-GB"/>
        </w:rPr>
        <w:t>3</w:t>
      </w:r>
      <w:bookmarkEnd w:id="45"/>
    </w:p>
    <w:p w14:paraId="7DA83E28" w14:textId="77777777" w:rsidR="00146860" w:rsidRPr="00275FBD" w:rsidRDefault="00146860" w:rsidP="00146860">
      <w:pPr>
        <w:rPr>
          <w:lang w:val="sl-SI" w:eastAsia="en-GB"/>
        </w:rPr>
      </w:pPr>
    </w:p>
    <w:p w14:paraId="3A658688" w14:textId="77777777" w:rsidR="00146860" w:rsidRPr="00275FBD" w:rsidRDefault="00146860" w:rsidP="00982918">
      <w:pPr>
        <w:rPr>
          <w:lang w:val="sl-SI"/>
        </w:rPr>
        <w:sectPr w:rsidR="00146860" w:rsidRPr="00275FBD" w:rsidSect="005F6909">
          <w:headerReference w:type="default" r:id="rId38"/>
          <w:footerReference w:type="default" r:id="rId39"/>
          <w:footnotePr>
            <w:numRestart w:val="eachPage"/>
          </w:footnotePr>
          <w:pgSz w:w="16838" w:h="11906" w:orient="landscape"/>
          <w:pgMar w:top="1417" w:right="1417" w:bottom="1417" w:left="1134" w:header="708" w:footer="708" w:gutter="0"/>
          <w:cols w:space="708"/>
          <w:docGrid w:linePitch="360"/>
        </w:sectPr>
      </w:pPr>
    </w:p>
    <w:p w14:paraId="63E6EEF0" w14:textId="77777777" w:rsidR="00BF5371" w:rsidRPr="00275FBD" w:rsidRDefault="00BF5371" w:rsidP="0078776E">
      <w:pPr>
        <w:spacing w:before="0" w:after="0"/>
        <w:jc w:val="left"/>
        <w:rPr>
          <w:sz w:val="2"/>
          <w:szCs w:val="2"/>
          <w:lang w:val="sl-SI"/>
        </w:rPr>
      </w:pPr>
    </w:p>
    <w:p w14:paraId="2D695DBB" w14:textId="6FC3BA7A" w:rsidR="004E184B" w:rsidRPr="002D7719" w:rsidRDefault="00563871" w:rsidP="00065BC6">
      <w:pPr>
        <w:pStyle w:val="Naslov1"/>
        <w:ind w:left="431" w:hanging="431"/>
        <w:rPr>
          <w:rFonts w:cs="Times New Roman"/>
          <w:lang w:val="sl-SI"/>
        </w:rPr>
      </w:pPr>
      <w:bookmarkStart w:id="46" w:name="_Toc342051685"/>
      <w:bookmarkStart w:id="47" w:name="_Ref138425098"/>
      <w:bookmarkStart w:id="48" w:name="_Toc163197425"/>
      <w:bookmarkEnd w:id="46"/>
      <w:r w:rsidRPr="002D7719">
        <w:rPr>
          <w:rFonts w:cs="Times New Roman"/>
          <w:lang w:val="sl-SI"/>
        </w:rPr>
        <w:t xml:space="preserve">Povzetek rezultatov </w:t>
      </w:r>
      <w:r w:rsidR="007C67D8" w:rsidRPr="002D7719">
        <w:rPr>
          <w:rFonts w:cs="Times New Roman"/>
          <w:lang w:val="sl-SI"/>
        </w:rPr>
        <w:t>faze pregledA</w:t>
      </w:r>
      <w:bookmarkEnd w:id="47"/>
      <w:bookmarkEnd w:id="48"/>
    </w:p>
    <w:p w14:paraId="39DC516F" w14:textId="475849ED" w:rsidR="00563871" w:rsidRPr="00275FBD" w:rsidRDefault="00563871" w:rsidP="00563871">
      <w:pPr>
        <w:rPr>
          <w:lang w:val="sl-SI" w:eastAsia="zh-CN"/>
        </w:rPr>
      </w:pPr>
      <w:r w:rsidRPr="005C7EA6">
        <w:rPr>
          <w:lang w:val="sl-SI" w:eastAsia="zh-CN"/>
        </w:rPr>
        <w:t xml:space="preserve">Različne skupine </w:t>
      </w:r>
      <w:r w:rsidR="005C7EA6" w:rsidRPr="005C7EA6">
        <w:rPr>
          <w:lang w:val="sl-SI" w:eastAsia="zh-CN"/>
        </w:rPr>
        <w:t xml:space="preserve">pregledovalcev </w:t>
      </w:r>
      <w:r w:rsidRPr="005C7EA6">
        <w:rPr>
          <w:lang w:val="sl-SI" w:eastAsia="zh-CN"/>
        </w:rPr>
        <w:t xml:space="preserve">so opravile obsežen pregled 18 varnostnih </w:t>
      </w:r>
      <w:r w:rsidR="007A5E54" w:rsidRPr="005C7EA6">
        <w:rPr>
          <w:lang w:val="sl-SI" w:eastAsia="zh-CN"/>
        </w:rPr>
        <w:t>vsebin</w:t>
      </w:r>
      <w:r w:rsidRPr="005C7EA6">
        <w:rPr>
          <w:lang w:val="sl-SI" w:eastAsia="zh-CN"/>
        </w:rPr>
        <w:t xml:space="preserve">, navedenih v </w:t>
      </w:r>
      <w:r w:rsidR="00052E53" w:rsidRPr="005C7EA6">
        <w:rPr>
          <w:lang w:val="sl-SI" w:eastAsia="zh-CN"/>
        </w:rPr>
        <w:t xml:space="preserve">poglavju </w:t>
      </w:r>
      <w:r w:rsidRPr="005C7EA6">
        <w:rPr>
          <w:lang w:val="sl-SI" w:eastAsia="zh-CN"/>
        </w:rPr>
        <w:fldChar w:fldCharType="begin"/>
      </w:r>
      <w:r w:rsidRPr="005C7EA6">
        <w:rPr>
          <w:lang w:val="sl-SI" w:eastAsia="zh-CN"/>
        </w:rPr>
        <w:instrText xml:space="preserve"> REF _Ref138276729 \r \h </w:instrText>
      </w:r>
      <w:r w:rsidR="005C7EA6">
        <w:rPr>
          <w:lang w:val="sl-SI" w:eastAsia="zh-CN"/>
        </w:rPr>
        <w:instrText xml:space="preserve"> \* MERGEFORMAT </w:instrText>
      </w:r>
      <w:r w:rsidRPr="005C7EA6">
        <w:rPr>
          <w:lang w:val="sl-SI" w:eastAsia="zh-CN"/>
        </w:rPr>
      </w:r>
      <w:r w:rsidRPr="005C7EA6">
        <w:rPr>
          <w:lang w:val="sl-SI" w:eastAsia="zh-CN"/>
        </w:rPr>
        <w:fldChar w:fldCharType="separate"/>
      </w:r>
      <w:r w:rsidR="00BA25CD">
        <w:rPr>
          <w:lang w:val="sl-SI" w:eastAsia="zh-CN"/>
        </w:rPr>
        <w:t>1.2</w:t>
      </w:r>
      <w:r w:rsidRPr="005C7EA6">
        <w:rPr>
          <w:lang w:val="sl-SI" w:eastAsia="zh-CN"/>
        </w:rPr>
        <w:fldChar w:fldCharType="end"/>
      </w:r>
      <w:r w:rsidRPr="005C7EA6">
        <w:rPr>
          <w:lang w:val="sl-SI" w:eastAsia="zh-CN"/>
        </w:rPr>
        <w:t xml:space="preserve">. Obseg pregleda je bil </w:t>
      </w:r>
      <w:r w:rsidR="00DC549D" w:rsidRPr="005C7EA6">
        <w:rPr>
          <w:lang w:val="sl-SI" w:eastAsia="zh-CN"/>
        </w:rPr>
        <w:t xml:space="preserve">določen </w:t>
      </w:r>
      <w:r w:rsidRPr="005C7EA6">
        <w:rPr>
          <w:lang w:val="sl-SI" w:eastAsia="zh-CN"/>
        </w:rPr>
        <w:t xml:space="preserve">s programom NEK </w:t>
      </w:r>
      <w:r w:rsidR="007A5E54" w:rsidRPr="005C7EA6">
        <w:rPr>
          <w:lang w:val="sl-SI" w:eastAsia="zh-CN"/>
        </w:rPr>
        <w:t>PSR</w:t>
      </w:r>
      <w:r w:rsidR="005C7EA6" w:rsidRPr="005C7EA6">
        <w:rPr>
          <w:lang w:val="sl-SI" w:eastAsia="zh-CN"/>
        </w:rPr>
        <w:t>3</w:t>
      </w:r>
      <w:r w:rsidRPr="005C7EA6">
        <w:rPr>
          <w:lang w:val="sl-SI" w:eastAsia="zh-CN"/>
        </w:rPr>
        <w:t xml:space="preserve"> </w:t>
      </w:r>
      <w:r w:rsidRPr="005C7EA6">
        <w:rPr>
          <w:lang w:val="sl-SI" w:eastAsia="zh-CN"/>
        </w:rPr>
        <w:fldChar w:fldCharType="begin"/>
      </w:r>
      <w:r w:rsidRPr="005C7EA6">
        <w:rPr>
          <w:lang w:val="sl-SI" w:eastAsia="zh-CN"/>
        </w:rPr>
        <w:instrText xml:space="preserve"> REF _Ref133222751 \r \h </w:instrText>
      </w:r>
      <w:r w:rsidR="005C7EA6">
        <w:rPr>
          <w:lang w:val="sl-SI" w:eastAsia="zh-CN"/>
        </w:rPr>
        <w:instrText xml:space="preserve"> \* MERGEFORMAT </w:instrText>
      </w:r>
      <w:r w:rsidRPr="005C7EA6">
        <w:rPr>
          <w:lang w:val="sl-SI" w:eastAsia="zh-CN"/>
        </w:rPr>
      </w:r>
      <w:r w:rsidRPr="005C7EA6">
        <w:rPr>
          <w:lang w:val="sl-SI" w:eastAsia="zh-CN"/>
        </w:rPr>
        <w:fldChar w:fldCharType="separate"/>
      </w:r>
      <w:r w:rsidR="00BA25CD">
        <w:rPr>
          <w:lang w:val="sl-SI" w:eastAsia="zh-CN"/>
        </w:rPr>
        <w:t>[1]</w:t>
      </w:r>
      <w:r w:rsidRPr="005C7EA6">
        <w:rPr>
          <w:lang w:val="sl-SI" w:eastAsia="zh-CN"/>
        </w:rPr>
        <w:fldChar w:fldCharType="end"/>
      </w:r>
      <w:r w:rsidR="005C7EA6" w:rsidRPr="005C7EA6">
        <w:rPr>
          <w:lang w:val="sl-SI" w:eastAsia="zh-CN"/>
        </w:rPr>
        <w:t>, ki je</w:t>
      </w:r>
      <w:r w:rsidR="005C7EA6">
        <w:rPr>
          <w:lang w:val="sl-SI" w:eastAsia="zh-CN"/>
        </w:rPr>
        <w:t xml:space="preserve"> bil pripravljen</w:t>
      </w:r>
      <w:r w:rsidRPr="00275FBD">
        <w:rPr>
          <w:lang w:val="sl-SI" w:eastAsia="zh-CN"/>
        </w:rPr>
        <w:t xml:space="preserve"> </w:t>
      </w:r>
      <w:r w:rsidR="005C7EA6">
        <w:rPr>
          <w:lang w:val="sl-SI" w:eastAsia="zh-CN"/>
        </w:rPr>
        <w:t>po</w:t>
      </w:r>
      <w:r w:rsidRPr="00275FBD">
        <w:rPr>
          <w:lang w:val="sl-SI" w:eastAsia="zh-CN"/>
        </w:rPr>
        <w:t xml:space="preserve"> </w:t>
      </w:r>
      <w:r w:rsidR="007A5E54">
        <w:rPr>
          <w:lang w:val="sl-SI" w:eastAsia="zh-CN"/>
        </w:rPr>
        <w:t>slovenskih</w:t>
      </w:r>
      <w:r w:rsidR="007A5E54" w:rsidRPr="00275FBD">
        <w:rPr>
          <w:lang w:val="sl-SI" w:eastAsia="zh-CN"/>
        </w:rPr>
        <w:t xml:space="preserve"> </w:t>
      </w:r>
      <w:r w:rsidRPr="00275FBD">
        <w:rPr>
          <w:lang w:val="sl-SI" w:eastAsia="zh-CN"/>
        </w:rPr>
        <w:t xml:space="preserve">predpisih (zlasti </w:t>
      </w:r>
      <w:r w:rsidR="007A5E54">
        <w:rPr>
          <w:lang w:val="sl-SI" w:eastAsia="zh-CN"/>
        </w:rPr>
        <w:t xml:space="preserve">pravilniku </w:t>
      </w:r>
      <w:r w:rsidRPr="00275FBD">
        <w:rPr>
          <w:lang w:val="sl-SI" w:eastAsia="zh-CN"/>
        </w:rPr>
        <w:t xml:space="preserve">JV9 </w:t>
      </w:r>
      <w:r w:rsidRPr="00275FBD">
        <w:rPr>
          <w:lang w:val="sl-SI" w:eastAsia="zh-CN"/>
        </w:rPr>
        <w:fldChar w:fldCharType="begin"/>
      </w:r>
      <w:r w:rsidRPr="00275FBD">
        <w:rPr>
          <w:lang w:val="sl-SI" w:eastAsia="zh-CN"/>
        </w:rPr>
        <w:instrText xml:space="preserve"> REF _Ref129601022 \r \h </w:instrText>
      </w:r>
      <w:r w:rsidRPr="00275FBD">
        <w:rPr>
          <w:lang w:val="sl-SI" w:eastAsia="zh-CN"/>
        </w:rPr>
      </w:r>
      <w:r w:rsidRPr="00275FBD">
        <w:rPr>
          <w:lang w:val="sl-SI" w:eastAsia="zh-CN"/>
        </w:rPr>
        <w:fldChar w:fldCharType="separate"/>
      </w:r>
      <w:r w:rsidR="00BA25CD">
        <w:rPr>
          <w:lang w:val="sl-SI" w:eastAsia="zh-CN"/>
        </w:rPr>
        <w:t>[6]</w:t>
      </w:r>
      <w:r w:rsidRPr="00275FBD">
        <w:rPr>
          <w:lang w:val="sl-SI" w:eastAsia="zh-CN"/>
        </w:rPr>
        <w:fldChar w:fldCharType="end"/>
      </w:r>
      <w:r w:rsidRPr="00275FBD">
        <w:rPr>
          <w:lang w:val="sl-SI" w:eastAsia="zh-CN"/>
        </w:rPr>
        <w:t xml:space="preserve"> in </w:t>
      </w:r>
      <w:r w:rsidR="000106FE" w:rsidRPr="00275FBD">
        <w:rPr>
          <w:lang w:val="sl-SI" w:eastAsia="zh-CN"/>
        </w:rPr>
        <w:t>P</w:t>
      </w:r>
      <w:r w:rsidRPr="00275FBD">
        <w:rPr>
          <w:lang w:val="sl-SI" w:eastAsia="zh-CN"/>
        </w:rPr>
        <w:t xml:space="preserve">raktičnih </w:t>
      </w:r>
      <w:r w:rsidR="000106FE" w:rsidRPr="00275FBD">
        <w:rPr>
          <w:lang w:val="sl-SI" w:eastAsia="zh-CN"/>
        </w:rPr>
        <w:t>smernicah</w:t>
      </w:r>
      <w:r w:rsidRPr="00275FBD">
        <w:rPr>
          <w:lang w:val="sl-SI" w:eastAsia="zh-CN"/>
        </w:rPr>
        <w:t xml:space="preserve"> URSJV </w:t>
      </w:r>
      <w:r w:rsidR="000106FE" w:rsidRPr="00275FBD">
        <w:rPr>
          <w:lang w:val="sl-SI" w:eastAsia="zh-CN"/>
        </w:rPr>
        <w:fldChar w:fldCharType="begin"/>
      </w:r>
      <w:r w:rsidR="000106FE" w:rsidRPr="00275FBD">
        <w:rPr>
          <w:lang w:val="sl-SI" w:eastAsia="zh-CN"/>
        </w:rPr>
        <w:instrText xml:space="preserve"> REF _Ref138229213 \r \h </w:instrText>
      </w:r>
      <w:r w:rsidR="000106FE" w:rsidRPr="00275FBD">
        <w:rPr>
          <w:lang w:val="sl-SI" w:eastAsia="zh-CN"/>
        </w:rPr>
      </w:r>
      <w:r w:rsidR="000106FE" w:rsidRPr="00275FBD">
        <w:rPr>
          <w:lang w:val="sl-SI" w:eastAsia="zh-CN"/>
        </w:rPr>
        <w:fldChar w:fldCharType="separate"/>
      </w:r>
      <w:r w:rsidR="00BA25CD">
        <w:rPr>
          <w:lang w:val="sl-SI" w:eastAsia="zh-CN"/>
        </w:rPr>
        <w:t>[7]</w:t>
      </w:r>
      <w:r w:rsidR="000106FE" w:rsidRPr="00275FBD">
        <w:rPr>
          <w:lang w:val="sl-SI" w:eastAsia="zh-CN"/>
        </w:rPr>
        <w:fldChar w:fldCharType="end"/>
      </w:r>
      <w:r w:rsidRPr="00275FBD">
        <w:rPr>
          <w:lang w:val="sl-SI" w:eastAsia="zh-CN"/>
        </w:rPr>
        <w:t xml:space="preserve">) </w:t>
      </w:r>
      <w:r w:rsidR="000106FE" w:rsidRPr="00275FBD">
        <w:rPr>
          <w:lang w:val="sl-SI" w:eastAsia="zh-CN"/>
        </w:rPr>
        <w:t xml:space="preserve">ter </w:t>
      </w:r>
      <w:r w:rsidR="005C7EA6">
        <w:rPr>
          <w:lang w:val="sl-SI" w:eastAsia="zh-CN"/>
        </w:rPr>
        <w:t>po</w:t>
      </w:r>
      <w:r w:rsidR="005C7EA6" w:rsidRPr="00275FBD">
        <w:rPr>
          <w:lang w:val="sl-SI" w:eastAsia="zh-CN"/>
        </w:rPr>
        <w:t xml:space="preserve"> </w:t>
      </w:r>
      <w:r w:rsidRPr="00275FBD">
        <w:rPr>
          <w:lang w:val="sl-SI" w:eastAsia="zh-CN"/>
        </w:rPr>
        <w:t xml:space="preserve">mednarodnih referencah (predvsem </w:t>
      </w:r>
      <w:r w:rsidR="008D45E2">
        <w:rPr>
          <w:lang w:val="sl-SI" w:eastAsia="zh-CN"/>
        </w:rPr>
        <w:t xml:space="preserve">smernici </w:t>
      </w:r>
      <w:r w:rsidRPr="00275FBD">
        <w:rPr>
          <w:lang w:val="sl-SI" w:eastAsia="zh-CN"/>
        </w:rPr>
        <w:t xml:space="preserve">IAEA SSG-25 </w:t>
      </w:r>
      <w:r w:rsidR="000106FE" w:rsidRPr="00275FBD">
        <w:rPr>
          <w:lang w:val="sl-SI" w:eastAsia="zh-CN"/>
        </w:rPr>
        <w:fldChar w:fldCharType="begin"/>
      </w:r>
      <w:r w:rsidR="000106FE" w:rsidRPr="00275FBD">
        <w:rPr>
          <w:lang w:val="sl-SI" w:eastAsia="zh-CN"/>
        </w:rPr>
        <w:instrText xml:space="preserve"> REF _Ref129855843 \r \h </w:instrText>
      </w:r>
      <w:r w:rsidR="000106FE" w:rsidRPr="00275FBD">
        <w:rPr>
          <w:lang w:val="sl-SI" w:eastAsia="zh-CN"/>
        </w:rPr>
      </w:r>
      <w:r w:rsidR="000106FE" w:rsidRPr="00275FBD">
        <w:rPr>
          <w:lang w:val="sl-SI" w:eastAsia="zh-CN"/>
        </w:rPr>
        <w:fldChar w:fldCharType="separate"/>
      </w:r>
      <w:r w:rsidR="00BA25CD">
        <w:rPr>
          <w:lang w:val="sl-SI" w:eastAsia="zh-CN"/>
        </w:rPr>
        <w:t>[8]</w:t>
      </w:r>
      <w:r w:rsidR="000106FE" w:rsidRPr="00275FBD">
        <w:rPr>
          <w:lang w:val="sl-SI" w:eastAsia="zh-CN"/>
        </w:rPr>
        <w:fldChar w:fldCharType="end"/>
      </w:r>
      <w:r w:rsidRPr="00275FBD">
        <w:rPr>
          <w:lang w:val="sl-SI" w:eastAsia="zh-CN"/>
        </w:rPr>
        <w:t xml:space="preserve">). Na podlagi vnaprej določenega obsega in izhodišč iz programa </w:t>
      </w:r>
      <w:r w:rsidR="005C7EA6">
        <w:rPr>
          <w:lang w:val="sl-SI" w:eastAsia="zh-CN"/>
        </w:rPr>
        <w:t xml:space="preserve">PSR3 </w:t>
      </w:r>
      <w:r w:rsidRPr="00275FBD">
        <w:rPr>
          <w:lang w:val="sl-SI" w:eastAsia="zh-CN"/>
        </w:rPr>
        <w:t xml:space="preserve">je vsaka </w:t>
      </w:r>
      <w:r w:rsidR="008D45E2">
        <w:rPr>
          <w:lang w:val="sl-SI" w:eastAsia="zh-CN"/>
        </w:rPr>
        <w:t>skupina pregledovalcev</w:t>
      </w:r>
      <w:r w:rsidR="008D45E2" w:rsidRPr="00275FBD">
        <w:rPr>
          <w:lang w:val="sl-SI" w:eastAsia="zh-CN"/>
        </w:rPr>
        <w:t xml:space="preserve"> </w:t>
      </w:r>
      <w:r w:rsidRPr="00275FBD">
        <w:rPr>
          <w:lang w:val="sl-SI" w:eastAsia="zh-CN"/>
        </w:rPr>
        <w:t>izdelala in razvila posebno metodologijo pregleda</w:t>
      </w:r>
      <w:r w:rsidR="000106FE" w:rsidRPr="00275FBD">
        <w:rPr>
          <w:lang w:val="sl-SI" w:eastAsia="zh-CN"/>
        </w:rPr>
        <w:t xml:space="preserve"> </w:t>
      </w:r>
      <w:r w:rsidRPr="00275FBD">
        <w:rPr>
          <w:lang w:val="sl-SI" w:eastAsia="zh-CN"/>
        </w:rPr>
        <w:t>/</w:t>
      </w:r>
      <w:r w:rsidR="000106FE" w:rsidRPr="00275FBD">
        <w:rPr>
          <w:lang w:val="sl-SI" w:eastAsia="zh-CN"/>
        </w:rPr>
        <w:t xml:space="preserve"> </w:t>
      </w:r>
      <w:r w:rsidRPr="00275FBD">
        <w:rPr>
          <w:lang w:val="sl-SI" w:eastAsia="zh-CN"/>
        </w:rPr>
        <w:t xml:space="preserve">ocenjevanja, ki je najbolj primerna za </w:t>
      </w:r>
      <w:r w:rsidR="00FE4C6E">
        <w:rPr>
          <w:lang w:val="sl-SI" w:eastAsia="zh-CN"/>
        </w:rPr>
        <w:t>določeno</w:t>
      </w:r>
      <w:r w:rsidR="00FE4C6E" w:rsidRPr="00275FBD">
        <w:rPr>
          <w:lang w:val="sl-SI" w:eastAsia="zh-CN"/>
        </w:rPr>
        <w:t xml:space="preserve"> </w:t>
      </w:r>
      <w:r w:rsidRPr="00275FBD">
        <w:rPr>
          <w:lang w:val="sl-SI" w:eastAsia="zh-CN"/>
        </w:rPr>
        <w:t>varnostn</w:t>
      </w:r>
      <w:r w:rsidR="00FE4C6E">
        <w:rPr>
          <w:lang w:val="sl-SI" w:eastAsia="zh-CN"/>
        </w:rPr>
        <w:t>o</w:t>
      </w:r>
      <w:r w:rsidRPr="00275FBD">
        <w:rPr>
          <w:lang w:val="sl-SI" w:eastAsia="zh-CN"/>
        </w:rPr>
        <w:t xml:space="preserve"> </w:t>
      </w:r>
      <w:r w:rsidR="00FE4C6E">
        <w:rPr>
          <w:lang w:val="sl-SI"/>
        </w:rPr>
        <w:t>vsebino</w:t>
      </w:r>
      <w:r w:rsidRPr="00275FBD">
        <w:rPr>
          <w:lang w:val="sl-SI" w:eastAsia="zh-CN"/>
        </w:rPr>
        <w:t xml:space="preserve">, ter podlage, </w:t>
      </w:r>
      <w:r w:rsidR="005C7EA6">
        <w:rPr>
          <w:lang w:val="sl-SI" w:eastAsia="zh-CN"/>
        </w:rPr>
        <w:t>po</w:t>
      </w:r>
      <w:r w:rsidRPr="00275FBD">
        <w:rPr>
          <w:lang w:val="sl-SI" w:eastAsia="zh-CN"/>
        </w:rPr>
        <w:t xml:space="preserve"> katerih </w:t>
      </w:r>
      <w:r w:rsidR="008D45E2">
        <w:rPr>
          <w:lang w:val="sl-SI" w:eastAsia="zh-CN"/>
        </w:rPr>
        <w:t xml:space="preserve">je </w:t>
      </w:r>
      <w:r w:rsidRPr="00275FBD">
        <w:rPr>
          <w:lang w:val="sl-SI" w:eastAsia="zh-CN"/>
        </w:rPr>
        <w:t>b</w:t>
      </w:r>
      <w:r w:rsidR="008D45E2">
        <w:rPr>
          <w:lang w:val="sl-SI" w:eastAsia="zh-CN"/>
        </w:rPr>
        <w:t>il</w:t>
      </w:r>
      <w:r w:rsidRPr="00275FBD">
        <w:rPr>
          <w:lang w:val="sl-SI" w:eastAsia="zh-CN"/>
        </w:rPr>
        <w:t>o ocenjevanje opravljeno.</w:t>
      </w:r>
    </w:p>
    <w:p w14:paraId="20D6EF33" w14:textId="5535A7D8" w:rsidR="00563871" w:rsidRPr="00275FBD" w:rsidRDefault="00563871" w:rsidP="00563871">
      <w:pPr>
        <w:rPr>
          <w:lang w:val="sl-SI" w:eastAsia="zh-CN"/>
        </w:rPr>
      </w:pPr>
      <w:r w:rsidRPr="00275FBD">
        <w:rPr>
          <w:lang w:val="sl-SI" w:eastAsia="zh-CN"/>
        </w:rPr>
        <w:t xml:space="preserve">V tematskih poročilih so bili opisani opravljeni pregledi in ocene za </w:t>
      </w:r>
      <w:r w:rsidR="008D45E2" w:rsidRPr="00275FBD">
        <w:rPr>
          <w:lang w:val="sl-SI" w:eastAsia="zh-CN"/>
        </w:rPr>
        <w:t>vsak</w:t>
      </w:r>
      <w:r w:rsidR="008D45E2">
        <w:rPr>
          <w:lang w:val="sl-SI" w:eastAsia="zh-CN"/>
        </w:rPr>
        <w:t>o</w:t>
      </w:r>
      <w:r w:rsidR="008D45E2" w:rsidRPr="00275FBD">
        <w:rPr>
          <w:lang w:val="sl-SI" w:eastAsia="zh-CN"/>
        </w:rPr>
        <w:t xml:space="preserve"> </w:t>
      </w:r>
      <w:r w:rsidRPr="00275FBD">
        <w:rPr>
          <w:lang w:val="sl-SI" w:eastAsia="zh-CN"/>
        </w:rPr>
        <w:t xml:space="preserve">od </w:t>
      </w:r>
      <w:r w:rsidR="008D45E2">
        <w:rPr>
          <w:lang w:val="sl-SI" w:eastAsia="zh-CN"/>
        </w:rPr>
        <w:t>varnostnih vsebin</w:t>
      </w:r>
      <w:r w:rsidR="008D45E2" w:rsidRPr="00275FBD">
        <w:rPr>
          <w:lang w:val="sl-SI" w:eastAsia="zh-CN"/>
        </w:rPr>
        <w:t xml:space="preserve"> </w:t>
      </w:r>
      <w:r w:rsidRPr="00275FBD">
        <w:rPr>
          <w:lang w:val="sl-SI" w:eastAsia="zh-CN"/>
        </w:rPr>
        <w:t xml:space="preserve">ter podani zaključki o izpolnjevanju veljavnih predpisov in </w:t>
      </w:r>
      <w:r w:rsidR="008D45E2">
        <w:rPr>
          <w:lang w:val="sl-SI" w:eastAsia="zh-CN"/>
        </w:rPr>
        <w:t>mednarodnih</w:t>
      </w:r>
      <w:r w:rsidR="008D45E2" w:rsidRPr="00275FBD">
        <w:rPr>
          <w:lang w:val="sl-SI" w:eastAsia="zh-CN"/>
        </w:rPr>
        <w:t xml:space="preserve"> </w:t>
      </w:r>
      <w:r w:rsidRPr="00275FBD">
        <w:rPr>
          <w:lang w:val="sl-SI" w:eastAsia="zh-CN"/>
        </w:rPr>
        <w:t xml:space="preserve">praks. Na splošno </w:t>
      </w:r>
      <w:r w:rsidR="005C7EA6">
        <w:rPr>
          <w:lang w:val="sl-SI" w:eastAsia="zh-CN"/>
        </w:rPr>
        <w:t xml:space="preserve">velja zaključek, da </w:t>
      </w:r>
      <w:r w:rsidRPr="00275FBD">
        <w:rPr>
          <w:lang w:val="sl-SI" w:eastAsia="zh-CN"/>
        </w:rPr>
        <w:t xml:space="preserve">pregled katere koli varnostne </w:t>
      </w:r>
      <w:r w:rsidR="00716249">
        <w:rPr>
          <w:lang w:val="sl-SI"/>
        </w:rPr>
        <w:t>vsebine</w:t>
      </w:r>
      <w:r w:rsidR="00716249" w:rsidRPr="00275FBD">
        <w:rPr>
          <w:lang w:val="sl-SI"/>
        </w:rPr>
        <w:t xml:space="preserve"> </w:t>
      </w:r>
      <w:r w:rsidRPr="00275FBD">
        <w:rPr>
          <w:lang w:val="sl-SI" w:eastAsia="zh-CN"/>
        </w:rPr>
        <w:t>ni razkril varnostn</w:t>
      </w:r>
      <w:r w:rsidR="005C7EA6">
        <w:rPr>
          <w:lang w:val="sl-SI" w:eastAsia="zh-CN"/>
        </w:rPr>
        <w:t>o zelo pomembn</w:t>
      </w:r>
      <w:r w:rsidRPr="00275FBD">
        <w:rPr>
          <w:lang w:val="sl-SI" w:eastAsia="zh-CN"/>
        </w:rPr>
        <w:t xml:space="preserve">ih </w:t>
      </w:r>
      <w:r w:rsidR="005C7EA6">
        <w:rPr>
          <w:lang w:val="sl-SI" w:eastAsia="zh-CN"/>
        </w:rPr>
        <w:t>najdb</w:t>
      </w:r>
      <w:r w:rsidRPr="00275FBD">
        <w:rPr>
          <w:lang w:val="sl-SI" w:eastAsia="zh-CN"/>
        </w:rPr>
        <w:t xml:space="preserve">. V primeru vseh varnostnih </w:t>
      </w:r>
      <w:r w:rsidR="008D45E2">
        <w:rPr>
          <w:lang w:val="sl-SI" w:eastAsia="zh-CN"/>
        </w:rPr>
        <w:t>vsebin</w:t>
      </w:r>
      <w:r w:rsidR="008D45E2" w:rsidRPr="00275FBD">
        <w:rPr>
          <w:lang w:val="sl-SI" w:eastAsia="zh-CN"/>
        </w:rPr>
        <w:t xml:space="preserve"> </w:t>
      </w:r>
      <w:r w:rsidRPr="00275FBD">
        <w:rPr>
          <w:lang w:val="sl-SI" w:eastAsia="zh-CN"/>
        </w:rPr>
        <w:t xml:space="preserve">je bilo ugotovljeno določeno število </w:t>
      </w:r>
      <w:r w:rsidR="00BD5705" w:rsidRPr="00275FBD">
        <w:rPr>
          <w:lang w:val="sl-SI" w:eastAsia="zh-CN"/>
        </w:rPr>
        <w:t>najdb,</w:t>
      </w:r>
      <w:r w:rsidRPr="00275FBD">
        <w:rPr>
          <w:lang w:val="sl-SI" w:eastAsia="zh-CN"/>
        </w:rPr>
        <w:t xml:space="preserve"> </w:t>
      </w:r>
      <w:r w:rsidR="005C7EA6">
        <w:rPr>
          <w:lang w:val="sl-SI" w:eastAsia="zh-CN"/>
        </w:rPr>
        <w:t xml:space="preserve">tako </w:t>
      </w:r>
      <w:r w:rsidR="008D45E2">
        <w:rPr>
          <w:lang w:val="sl-SI" w:eastAsia="zh-CN"/>
        </w:rPr>
        <w:t>kot je navedeno</w:t>
      </w:r>
      <w:r w:rsidR="008D45E2" w:rsidRPr="00275FBD">
        <w:rPr>
          <w:lang w:val="sl-SI" w:eastAsia="zh-CN"/>
        </w:rPr>
        <w:t xml:space="preserve"> </w:t>
      </w:r>
      <w:r w:rsidRPr="00275FBD">
        <w:rPr>
          <w:lang w:val="sl-SI" w:eastAsia="zh-CN"/>
        </w:rPr>
        <w:t xml:space="preserve">v </w:t>
      </w:r>
      <w:r w:rsidR="009E4984" w:rsidRPr="00275FBD">
        <w:rPr>
          <w:lang w:val="sl-SI" w:eastAsia="zh-CN"/>
        </w:rPr>
        <w:fldChar w:fldCharType="begin"/>
      </w:r>
      <w:r w:rsidR="009E4984" w:rsidRPr="00275FBD">
        <w:rPr>
          <w:lang w:val="sl-SI" w:eastAsia="zh-CN"/>
        </w:rPr>
        <w:instrText xml:space="preserve"> REF _Ref138337622 \h </w:instrText>
      </w:r>
      <w:r w:rsidR="009E4984" w:rsidRPr="00275FBD">
        <w:rPr>
          <w:lang w:val="sl-SI" w:eastAsia="zh-CN"/>
        </w:rPr>
      </w:r>
      <w:r w:rsidR="009E4984" w:rsidRPr="00275FBD">
        <w:rPr>
          <w:lang w:val="sl-SI" w:eastAsia="zh-CN"/>
        </w:rPr>
        <w:fldChar w:fldCharType="separate"/>
      </w:r>
      <w:r w:rsidR="00BA25CD" w:rsidRPr="00275FBD">
        <w:rPr>
          <w:lang w:val="sl-SI"/>
        </w:rPr>
        <w:t xml:space="preserve">Tabela </w:t>
      </w:r>
      <w:r w:rsidR="00BA25CD">
        <w:rPr>
          <w:noProof/>
          <w:lang w:val="sl-SI"/>
        </w:rPr>
        <w:t>3</w:t>
      </w:r>
      <w:r w:rsidR="00BA25CD" w:rsidRPr="00275FBD">
        <w:rPr>
          <w:lang w:val="sl-SI"/>
        </w:rPr>
        <w:noBreakHyphen/>
      </w:r>
      <w:r w:rsidR="00BA25CD">
        <w:rPr>
          <w:noProof/>
          <w:lang w:val="sl-SI"/>
        </w:rPr>
        <w:t>1</w:t>
      </w:r>
      <w:r w:rsidR="009E4984" w:rsidRPr="00275FBD">
        <w:rPr>
          <w:lang w:val="sl-SI" w:eastAsia="zh-CN"/>
        </w:rPr>
        <w:fldChar w:fldCharType="end"/>
      </w:r>
      <w:r w:rsidRPr="00275FBD">
        <w:rPr>
          <w:lang w:val="sl-SI" w:eastAsia="zh-CN"/>
        </w:rPr>
        <w:t xml:space="preserve"> skupaj </w:t>
      </w:r>
      <w:r w:rsidR="00EF23B0" w:rsidRPr="00275FBD">
        <w:rPr>
          <w:lang w:val="sl-SI" w:eastAsia="zh-CN"/>
        </w:rPr>
        <w:t>s</w:t>
      </w:r>
      <w:r w:rsidRPr="00275FBD">
        <w:rPr>
          <w:lang w:val="sl-SI" w:eastAsia="zh-CN"/>
        </w:rPr>
        <w:t xml:space="preserve"> porazdelitvijo </w:t>
      </w:r>
      <w:r w:rsidR="002D7719">
        <w:rPr>
          <w:lang w:val="sl-SI" w:eastAsia="zh-CN"/>
        </w:rPr>
        <w:t>ocen po</w:t>
      </w:r>
      <w:r w:rsidRPr="00275FBD">
        <w:rPr>
          <w:lang w:val="sl-SI" w:eastAsia="zh-CN"/>
        </w:rPr>
        <w:t xml:space="preserve"> </w:t>
      </w:r>
      <w:r w:rsidR="002D7719" w:rsidRPr="00275FBD">
        <w:rPr>
          <w:lang w:val="sl-SI" w:eastAsia="zh-CN"/>
        </w:rPr>
        <w:t>širok</w:t>
      </w:r>
      <w:r w:rsidR="002D7719">
        <w:rPr>
          <w:lang w:val="sl-SI" w:eastAsia="zh-CN"/>
        </w:rPr>
        <w:t>i</w:t>
      </w:r>
      <w:r w:rsidR="002D7719" w:rsidRPr="00275FBD">
        <w:rPr>
          <w:lang w:val="sl-SI" w:eastAsia="zh-CN"/>
        </w:rPr>
        <w:t xml:space="preserve"> razvrstit</w:t>
      </w:r>
      <w:r w:rsidR="002D7719">
        <w:rPr>
          <w:lang w:val="sl-SI" w:eastAsia="zh-CN"/>
        </w:rPr>
        <w:t>vi</w:t>
      </w:r>
      <w:r w:rsidRPr="00275FBD">
        <w:rPr>
          <w:lang w:val="sl-SI" w:eastAsia="zh-CN"/>
        </w:rPr>
        <w:t>.</w:t>
      </w:r>
    </w:p>
    <w:p w14:paraId="3BE84C07" w14:textId="0AB0DDF5" w:rsidR="000F4FD6" w:rsidRPr="00275FBD" w:rsidRDefault="00395621" w:rsidP="000F4FD6">
      <w:pPr>
        <w:rPr>
          <w:lang w:val="sl-SI"/>
        </w:rPr>
      </w:pPr>
      <w:r w:rsidRPr="00275FBD">
        <w:rPr>
          <w:lang w:val="sl-SI"/>
        </w:rPr>
        <w:t>Najdbe</w:t>
      </w:r>
      <w:r w:rsidR="000F4FD6" w:rsidRPr="00275FBD">
        <w:rPr>
          <w:lang w:val="sl-SI"/>
        </w:rPr>
        <w:t xml:space="preserve"> </w:t>
      </w:r>
      <w:r w:rsidR="005C7EA6">
        <w:rPr>
          <w:lang w:val="sl-SI"/>
        </w:rPr>
        <w:t>iz</w:t>
      </w:r>
      <w:r w:rsidR="000F4FD6" w:rsidRPr="00275FBD">
        <w:rPr>
          <w:lang w:val="sl-SI"/>
        </w:rPr>
        <w:t xml:space="preserve"> posameznih </w:t>
      </w:r>
      <w:r w:rsidR="002D7719">
        <w:rPr>
          <w:lang w:val="sl-SI" w:eastAsia="zh-CN"/>
        </w:rPr>
        <w:t>varnostnih vsebin</w:t>
      </w:r>
      <w:r w:rsidR="000F4FD6" w:rsidRPr="00275FBD">
        <w:rPr>
          <w:lang w:val="sl-SI"/>
        </w:rPr>
        <w:t xml:space="preserve"> so bil</w:t>
      </w:r>
      <w:r w:rsidR="00100997">
        <w:rPr>
          <w:lang w:val="sl-SI"/>
        </w:rPr>
        <w:t>e</w:t>
      </w:r>
      <w:r w:rsidR="000F4FD6" w:rsidRPr="00275FBD">
        <w:rPr>
          <w:lang w:val="sl-SI"/>
        </w:rPr>
        <w:t xml:space="preserve"> zbran</w:t>
      </w:r>
      <w:r w:rsidR="00100997">
        <w:rPr>
          <w:lang w:val="sl-SI"/>
        </w:rPr>
        <w:t>e</w:t>
      </w:r>
      <w:r w:rsidR="000F4FD6" w:rsidRPr="00275FBD">
        <w:rPr>
          <w:lang w:val="sl-SI"/>
        </w:rPr>
        <w:t xml:space="preserve"> skupaj </w:t>
      </w:r>
      <w:r w:rsidR="005C7EA6">
        <w:rPr>
          <w:lang w:val="sl-SI"/>
        </w:rPr>
        <w:t>v</w:t>
      </w:r>
      <w:r w:rsidR="000F4FD6" w:rsidRPr="00275FBD">
        <w:rPr>
          <w:lang w:val="sl-SI"/>
        </w:rPr>
        <w:t xml:space="preserve"> </w:t>
      </w:r>
      <w:r w:rsidR="001D65DF">
        <w:rPr>
          <w:lang w:val="sl-SI"/>
        </w:rPr>
        <w:t>»</w:t>
      </w:r>
      <w:r w:rsidR="000F4FD6" w:rsidRPr="00275FBD">
        <w:rPr>
          <w:lang w:val="sl-SI"/>
        </w:rPr>
        <w:t>inventar</w:t>
      </w:r>
      <w:r w:rsidR="001D65DF">
        <w:rPr>
          <w:lang w:val="sl-SI"/>
        </w:rPr>
        <w:t>«</w:t>
      </w:r>
      <w:r w:rsidR="000F4FD6" w:rsidRPr="00275FBD">
        <w:rPr>
          <w:lang w:val="sl-SI"/>
        </w:rPr>
        <w:t xml:space="preserve"> </w:t>
      </w:r>
      <w:r w:rsidR="00BD5705" w:rsidRPr="00275FBD">
        <w:rPr>
          <w:lang w:val="sl-SI"/>
        </w:rPr>
        <w:t>najdb,</w:t>
      </w:r>
      <w:r w:rsidR="000F4FD6" w:rsidRPr="00275FBD">
        <w:rPr>
          <w:lang w:val="sl-SI"/>
        </w:rPr>
        <w:t xml:space="preserve"> ki jih je treba nadalje obravnavati v podrobne</w:t>
      </w:r>
      <w:r w:rsidR="002D7719">
        <w:rPr>
          <w:lang w:val="sl-SI"/>
        </w:rPr>
        <w:t>m</w:t>
      </w:r>
      <w:r w:rsidR="000F4FD6" w:rsidRPr="00275FBD">
        <w:rPr>
          <w:lang w:val="sl-SI"/>
        </w:rPr>
        <w:t xml:space="preserve"> </w:t>
      </w:r>
      <w:r w:rsidR="002D7719" w:rsidRPr="00275FBD">
        <w:rPr>
          <w:lang w:val="sl-SI"/>
        </w:rPr>
        <w:t>razvrščanj</w:t>
      </w:r>
      <w:r w:rsidR="002D7719">
        <w:rPr>
          <w:lang w:val="sl-SI"/>
        </w:rPr>
        <w:t>u</w:t>
      </w:r>
      <w:r w:rsidR="000F4FD6" w:rsidRPr="00275FBD">
        <w:rPr>
          <w:lang w:val="sl-SI"/>
        </w:rPr>
        <w:t>.</w:t>
      </w:r>
    </w:p>
    <w:p w14:paraId="255D646A" w14:textId="2D9664BA" w:rsidR="00193698" w:rsidRPr="00275FBD" w:rsidRDefault="005C7EA6" w:rsidP="000F4FD6">
      <w:pPr>
        <w:rPr>
          <w:lang w:val="sl-SI"/>
        </w:rPr>
      </w:pPr>
      <w:r>
        <w:rPr>
          <w:lang w:val="sl-SI"/>
        </w:rPr>
        <w:t xml:space="preserve">V posebnem poročilu je dokumentiran </w:t>
      </w:r>
      <w:r w:rsidR="000F4FD6" w:rsidRPr="00275FBD">
        <w:rPr>
          <w:lang w:val="sl-SI"/>
        </w:rPr>
        <w:t xml:space="preserve">pregled skladnosti z </w:t>
      </w:r>
      <w:r w:rsidR="002D7719">
        <w:rPr>
          <w:lang w:val="sl-SI"/>
        </w:rPr>
        <w:t>zakonodajnimi</w:t>
      </w:r>
      <w:r w:rsidR="002D7719" w:rsidRPr="00275FBD">
        <w:rPr>
          <w:lang w:val="sl-SI"/>
        </w:rPr>
        <w:t xml:space="preserve"> </w:t>
      </w:r>
      <w:r w:rsidR="000F4FD6" w:rsidRPr="00275FBD">
        <w:rPr>
          <w:lang w:val="sl-SI"/>
        </w:rPr>
        <w:t xml:space="preserve">in </w:t>
      </w:r>
      <w:r w:rsidR="000D7D8A">
        <w:rPr>
          <w:lang w:val="sl-SI"/>
        </w:rPr>
        <w:t>upravnimi</w:t>
      </w:r>
      <w:r w:rsidR="000D7D8A" w:rsidRPr="00275FBD">
        <w:rPr>
          <w:lang w:val="sl-SI"/>
        </w:rPr>
        <w:t xml:space="preserve"> </w:t>
      </w:r>
      <w:r w:rsidR="000F4FD6" w:rsidRPr="00275FBD">
        <w:rPr>
          <w:lang w:val="sl-SI"/>
        </w:rPr>
        <w:t xml:space="preserve">zahtevami, ki je </w:t>
      </w:r>
      <w:r>
        <w:rPr>
          <w:lang w:val="sl-SI"/>
        </w:rPr>
        <w:t>vključeval</w:t>
      </w:r>
      <w:r w:rsidR="002D7719" w:rsidRPr="00275FBD">
        <w:rPr>
          <w:lang w:val="sl-SI"/>
        </w:rPr>
        <w:t xml:space="preserve"> </w:t>
      </w:r>
      <w:r w:rsidR="000F4FD6" w:rsidRPr="00275FBD">
        <w:rPr>
          <w:lang w:val="sl-SI"/>
        </w:rPr>
        <w:t>pregled vseh sprememb dovoljenj</w:t>
      </w:r>
      <w:r w:rsidR="002D7719">
        <w:rPr>
          <w:lang w:val="sl-SI"/>
        </w:rPr>
        <w:t xml:space="preserve"> po odločbah</w:t>
      </w:r>
      <w:r w:rsidR="000F4FD6" w:rsidRPr="00275FBD">
        <w:rPr>
          <w:lang w:val="sl-SI"/>
        </w:rPr>
        <w:t xml:space="preserve"> URSJV, ter zahtev drugih </w:t>
      </w:r>
      <w:r w:rsidR="0099642B">
        <w:rPr>
          <w:lang w:val="sl-SI"/>
        </w:rPr>
        <w:t>upra</w:t>
      </w:r>
      <w:r w:rsidR="000F4FD6" w:rsidRPr="00275FBD">
        <w:rPr>
          <w:lang w:val="sl-SI"/>
        </w:rPr>
        <w:t xml:space="preserve">vnih organov do svojih </w:t>
      </w:r>
      <w:r w:rsidR="002D7719">
        <w:rPr>
          <w:lang w:val="sl-SI"/>
        </w:rPr>
        <w:t>upravljavcev objektov</w:t>
      </w:r>
      <w:r w:rsidR="000F4FD6" w:rsidRPr="00275FBD">
        <w:rPr>
          <w:lang w:val="sl-SI"/>
        </w:rPr>
        <w:t xml:space="preserve"> (NEK v okviru svoje prakse pri zagotavljanju varnosti načrtovanja in obratovanja upošteva </w:t>
      </w:r>
      <w:r w:rsidR="002D7719">
        <w:rPr>
          <w:lang w:val="sl-SI"/>
        </w:rPr>
        <w:t>zakonodajne</w:t>
      </w:r>
      <w:r w:rsidR="002D7719" w:rsidRPr="00275FBD">
        <w:rPr>
          <w:lang w:val="sl-SI"/>
        </w:rPr>
        <w:t xml:space="preserve"> </w:t>
      </w:r>
      <w:r w:rsidR="000F4FD6" w:rsidRPr="00275FBD">
        <w:rPr>
          <w:lang w:val="sl-SI"/>
        </w:rPr>
        <w:t xml:space="preserve">zahteve drugih </w:t>
      </w:r>
      <w:r w:rsidR="0099642B">
        <w:rPr>
          <w:lang w:val="sl-SI"/>
        </w:rPr>
        <w:t>upra</w:t>
      </w:r>
      <w:r w:rsidR="000F4FD6" w:rsidRPr="00275FBD">
        <w:rPr>
          <w:lang w:val="sl-SI"/>
        </w:rPr>
        <w:t xml:space="preserve">vnih organov do njihovih </w:t>
      </w:r>
      <w:r w:rsidR="002D7719">
        <w:rPr>
          <w:lang w:val="sl-SI"/>
        </w:rPr>
        <w:t>upravljavcev in preveri</w:t>
      </w:r>
      <w:r w:rsidR="000F4FD6" w:rsidRPr="00275FBD">
        <w:rPr>
          <w:lang w:val="sl-SI"/>
        </w:rPr>
        <w:t xml:space="preserve"> morebitno uporabnost in </w:t>
      </w:r>
      <w:r w:rsidR="002D7719">
        <w:rPr>
          <w:lang w:val="sl-SI"/>
        </w:rPr>
        <w:t>smiselnost izvedbe</w:t>
      </w:r>
      <w:r w:rsidR="002D7719" w:rsidRPr="00275FBD">
        <w:rPr>
          <w:lang w:val="sl-SI"/>
        </w:rPr>
        <w:t xml:space="preserve"> </w:t>
      </w:r>
      <w:r w:rsidR="000F4FD6" w:rsidRPr="00275FBD">
        <w:rPr>
          <w:lang w:val="sl-SI"/>
        </w:rPr>
        <w:t>v NEK)</w:t>
      </w:r>
      <w:r w:rsidR="002D7719" w:rsidRPr="00275FBD">
        <w:rPr>
          <w:lang w:val="sl-SI"/>
        </w:rPr>
        <w:t>.</w:t>
      </w:r>
      <w:r w:rsidR="000F4FD6" w:rsidRPr="00275FBD">
        <w:rPr>
          <w:lang w:val="sl-SI"/>
        </w:rPr>
        <w:t xml:space="preserve"> </w:t>
      </w:r>
      <w:r>
        <w:rPr>
          <w:lang w:val="sl-SI"/>
        </w:rPr>
        <w:t>Določ</w:t>
      </w:r>
      <w:r w:rsidRPr="00275FBD">
        <w:rPr>
          <w:lang w:val="sl-SI"/>
        </w:rPr>
        <w:t xml:space="preserve">ena je bila </w:t>
      </w:r>
      <w:r>
        <w:rPr>
          <w:lang w:val="sl-SI"/>
        </w:rPr>
        <w:t>l</w:t>
      </w:r>
      <w:r w:rsidRPr="00275FBD">
        <w:rPr>
          <w:lang w:val="sl-SI"/>
        </w:rPr>
        <w:t xml:space="preserve">e </w:t>
      </w:r>
      <w:r w:rsidR="000F4FD6" w:rsidRPr="00275FBD">
        <w:rPr>
          <w:lang w:val="sl-SI"/>
        </w:rPr>
        <w:t>en</w:t>
      </w:r>
      <w:r w:rsidR="00EC5401" w:rsidRPr="00275FBD">
        <w:rPr>
          <w:lang w:val="sl-SI"/>
        </w:rPr>
        <w:t>a</w:t>
      </w:r>
      <w:r w:rsidR="000F4FD6" w:rsidRPr="00275FBD">
        <w:rPr>
          <w:lang w:val="sl-SI"/>
        </w:rPr>
        <w:t xml:space="preserve"> varnostn</w:t>
      </w:r>
      <w:r w:rsidR="00EC5401" w:rsidRPr="00275FBD">
        <w:rPr>
          <w:lang w:val="sl-SI"/>
        </w:rPr>
        <w:t>a</w:t>
      </w:r>
      <w:r w:rsidR="000F4FD6" w:rsidRPr="00275FBD">
        <w:rPr>
          <w:lang w:val="sl-SI"/>
        </w:rPr>
        <w:t xml:space="preserve"> </w:t>
      </w:r>
      <w:r w:rsidR="00EC5401" w:rsidRPr="00275FBD">
        <w:rPr>
          <w:lang w:val="sl-SI"/>
        </w:rPr>
        <w:t>najdba</w:t>
      </w:r>
      <w:r w:rsidR="000F4FD6" w:rsidRPr="00275FBD">
        <w:rPr>
          <w:lang w:val="sl-SI"/>
        </w:rPr>
        <w:t xml:space="preserve"> s statusom »Ne </w:t>
      </w:r>
      <w:r w:rsidR="002D7719">
        <w:rPr>
          <w:lang w:val="sl-SI"/>
        </w:rPr>
        <w:t>izpolnjuje zahteve</w:t>
      </w:r>
      <w:r w:rsidR="000F4FD6" w:rsidRPr="00275FBD">
        <w:rPr>
          <w:lang w:val="sl-SI"/>
        </w:rPr>
        <w:t>« (»</w:t>
      </w:r>
      <w:proofErr w:type="spellStart"/>
      <w:r w:rsidR="000F4FD6" w:rsidRPr="00275FBD">
        <w:rPr>
          <w:lang w:val="sl-SI"/>
        </w:rPr>
        <w:t>Does</w:t>
      </w:r>
      <w:proofErr w:type="spellEnd"/>
      <w:r w:rsidR="000F4FD6" w:rsidRPr="00275FBD">
        <w:rPr>
          <w:lang w:val="sl-SI"/>
        </w:rPr>
        <w:t xml:space="preserve"> Not </w:t>
      </w:r>
      <w:proofErr w:type="spellStart"/>
      <w:r w:rsidR="000F4FD6" w:rsidRPr="00275FBD">
        <w:rPr>
          <w:lang w:val="sl-SI"/>
        </w:rPr>
        <w:t>Comply</w:t>
      </w:r>
      <w:proofErr w:type="spellEnd"/>
      <w:r w:rsidR="000F4FD6" w:rsidRPr="00275FBD">
        <w:rPr>
          <w:lang w:val="sl-SI"/>
        </w:rPr>
        <w:t xml:space="preserve">«, DNC) </w:t>
      </w:r>
      <w:r w:rsidR="002D7719">
        <w:rPr>
          <w:lang w:val="sl-SI"/>
        </w:rPr>
        <w:t>ter je</w:t>
      </w:r>
      <w:r w:rsidR="000F4FD6" w:rsidRPr="00275FBD">
        <w:rPr>
          <w:lang w:val="sl-SI"/>
        </w:rPr>
        <w:t xml:space="preserve"> </w:t>
      </w:r>
      <w:r>
        <w:rPr>
          <w:lang w:val="sl-SI"/>
        </w:rPr>
        <w:t xml:space="preserve">bila </w:t>
      </w:r>
      <w:r w:rsidR="000F4FD6" w:rsidRPr="00275FBD">
        <w:rPr>
          <w:lang w:val="sl-SI"/>
        </w:rPr>
        <w:t>vključen</w:t>
      </w:r>
      <w:r w:rsidR="00EC5401" w:rsidRPr="00275FBD">
        <w:rPr>
          <w:lang w:val="sl-SI"/>
        </w:rPr>
        <w:t>a</w:t>
      </w:r>
      <w:r w:rsidR="000F4FD6" w:rsidRPr="00275FBD">
        <w:rPr>
          <w:lang w:val="sl-SI"/>
        </w:rPr>
        <w:t xml:space="preserve"> </w:t>
      </w:r>
      <w:r w:rsidR="002D7719">
        <w:rPr>
          <w:lang w:val="sl-SI"/>
        </w:rPr>
        <w:t>k</w:t>
      </w:r>
      <w:r w:rsidR="000F4FD6" w:rsidRPr="00275FBD">
        <w:rPr>
          <w:lang w:val="sl-SI"/>
        </w:rPr>
        <w:t xml:space="preserve"> </w:t>
      </w:r>
      <w:r w:rsidR="002D7719" w:rsidRPr="00275FBD">
        <w:rPr>
          <w:lang w:val="sl-SI"/>
        </w:rPr>
        <w:t>rezultat</w:t>
      </w:r>
      <w:r w:rsidR="002D7719">
        <w:rPr>
          <w:lang w:val="sl-SI"/>
        </w:rPr>
        <w:t>om</w:t>
      </w:r>
      <w:r w:rsidR="002D7719" w:rsidRPr="00275FBD">
        <w:rPr>
          <w:lang w:val="sl-SI"/>
        </w:rPr>
        <w:t xml:space="preserve"> </w:t>
      </w:r>
      <w:r w:rsidR="000F4FD6" w:rsidRPr="00275FBD">
        <w:rPr>
          <w:lang w:val="sl-SI"/>
        </w:rPr>
        <w:t xml:space="preserve">pregleda »varnostne </w:t>
      </w:r>
      <w:r w:rsidR="00716249">
        <w:rPr>
          <w:lang w:val="sl-SI"/>
        </w:rPr>
        <w:t>vsebine</w:t>
      </w:r>
      <w:r w:rsidR="00716249" w:rsidRPr="00275FBD">
        <w:rPr>
          <w:lang w:val="sl-SI"/>
        </w:rPr>
        <w:t xml:space="preserve"> </w:t>
      </w:r>
      <w:r w:rsidR="000F4FD6" w:rsidRPr="00275FBD">
        <w:rPr>
          <w:lang w:val="sl-SI"/>
        </w:rPr>
        <w:t>1« (projekt objekta), kjer je bil</w:t>
      </w:r>
      <w:r w:rsidR="00EC5401" w:rsidRPr="00275FBD">
        <w:rPr>
          <w:lang w:val="sl-SI"/>
        </w:rPr>
        <w:t>a</w:t>
      </w:r>
      <w:r w:rsidR="000F4FD6" w:rsidRPr="00275FBD">
        <w:rPr>
          <w:lang w:val="sl-SI"/>
        </w:rPr>
        <w:t xml:space="preserve"> povezan</w:t>
      </w:r>
      <w:r w:rsidR="00EC5401" w:rsidRPr="00275FBD">
        <w:rPr>
          <w:lang w:val="sl-SI"/>
        </w:rPr>
        <w:t>a</w:t>
      </w:r>
      <w:r w:rsidR="000F4FD6" w:rsidRPr="00275FBD">
        <w:rPr>
          <w:lang w:val="sl-SI"/>
        </w:rPr>
        <w:t xml:space="preserve"> s sorodn</w:t>
      </w:r>
      <w:r w:rsidR="00EC5401" w:rsidRPr="00275FBD">
        <w:rPr>
          <w:lang w:val="sl-SI"/>
        </w:rPr>
        <w:t>o</w:t>
      </w:r>
      <w:r w:rsidR="000F4FD6" w:rsidRPr="00275FBD">
        <w:rPr>
          <w:lang w:val="sl-SI"/>
        </w:rPr>
        <w:t xml:space="preserve"> </w:t>
      </w:r>
      <w:r w:rsidR="00EC5401" w:rsidRPr="00275FBD">
        <w:rPr>
          <w:lang w:val="sl-SI"/>
        </w:rPr>
        <w:t>najdbo</w:t>
      </w:r>
      <w:r w:rsidR="0099642B">
        <w:rPr>
          <w:lang w:val="sl-SI"/>
        </w:rPr>
        <w:t xml:space="preserve"> iz te</w:t>
      </w:r>
      <w:r w:rsidR="000F4FD6" w:rsidRPr="00275FBD">
        <w:rPr>
          <w:lang w:val="sl-SI"/>
        </w:rPr>
        <w:t xml:space="preserve"> varnostne </w:t>
      </w:r>
      <w:r w:rsidR="00716249">
        <w:rPr>
          <w:lang w:val="sl-SI"/>
        </w:rPr>
        <w:t>vsebine</w:t>
      </w:r>
      <w:r w:rsidR="000F4FD6" w:rsidRPr="00275FBD">
        <w:rPr>
          <w:lang w:val="sl-SI"/>
        </w:rPr>
        <w:t>.</w:t>
      </w:r>
    </w:p>
    <w:p w14:paraId="49BA0750" w14:textId="05FC25F9" w:rsidR="00193698" w:rsidRPr="00275FBD" w:rsidRDefault="00193698">
      <w:pPr>
        <w:spacing w:before="0" w:after="0"/>
        <w:jc w:val="left"/>
        <w:rPr>
          <w:lang w:val="sl-SI"/>
        </w:rPr>
      </w:pPr>
      <w:r w:rsidRPr="00275FBD">
        <w:rPr>
          <w:lang w:val="sl-SI"/>
        </w:rPr>
        <w:br w:type="page"/>
      </w:r>
    </w:p>
    <w:p w14:paraId="35498784" w14:textId="77777777" w:rsidR="008A047D" w:rsidRPr="00275FBD" w:rsidRDefault="008A047D" w:rsidP="00F041A6">
      <w:pPr>
        <w:rPr>
          <w:lang w:val="sl-SI"/>
        </w:rPr>
      </w:pPr>
    </w:p>
    <w:p w14:paraId="1362F563" w14:textId="01DE66D4" w:rsidR="0053720F" w:rsidRPr="00275FBD" w:rsidRDefault="0053720F" w:rsidP="0053720F">
      <w:pPr>
        <w:pStyle w:val="Napis"/>
        <w:rPr>
          <w:lang w:val="sl-SI"/>
        </w:rPr>
      </w:pPr>
      <w:bookmarkStart w:id="49" w:name="_Ref138337622"/>
      <w:bookmarkStart w:id="50" w:name="_Toc163197438"/>
      <w:r w:rsidRPr="00275FBD">
        <w:rPr>
          <w:lang w:val="sl-SI"/>
        </w:rPr>
        <w:t xml:space="preserve">Tabela </w:t>
      </w:r>
      <w:r w:rsidR="00D51CB7" w:rsidRPr="00275FBD">
        <w:rPr>
          <w:lang w:val="sl-SI"/>
        </w:rPr>
        <w:fldChar w:fldCharType="begin"/>
      </w:r>
      <w:r w:rsidR="00D51CB7" w:rsidRPr="00275FBD">
        <w:rPr>
          <w:lang w:val="sl-SI"/>
        </w:rPr>
        <w:instrText xml:space="preserve"> STYLEREF 1 \s </w:instrText>
      </w:r>
      <w:r w:rsidR="00D51CB7" w:rsidRPr="00275FBD">
        <w:rPr>
          <w:lang w:val="sl-SI"/>
        </w:rPr>
        <w:fldChar w:fldCharType="separate"/>
      </w:r>
      <w:r w:rsidR="00BA25CD">
        <w:rPr>
          <w:noProof/>
          <w:lang w:val="sl-SI"/>
        </w:rPr>
        <w:t>3</w:t>
      </w:r>
      <w:r w:rsidR="00D51CB7" w:rsidRPr="00275FBD">
        <w:rPr>
          <w:lang w:val="sl-SI"/>
        </w:rPr>
        <w:fldChar w:fldCharType="end"/>
      </w:r>
      <w:r w:rsidR="00D51CB7" w:rsidRPr="00275FBD">
        <w:rPr>
          <w:lang w:val="sl-SI"/>
        </w:rPr>
        <w:noBreakHyphen/>
      </w:r>
      <w:r w:rsidR="00D51CB7" w:rsidRPr="00275FBD">
        <w:rPr>
          <w:lang w:val="sl-SI"/>
        </w:rPr>
        <w:fldChar w:fldCharType="begin"/>
      </w:r>
      <w:r w:rsidR="00D51CB7" w:rsidRPr="00275FBD">
        <w:rPr>
          <w:lang w:val="sl-SI"/>
        </w:rPr>
        <w:instrText xml:space="preserve"> SEQ Tabela \* ARABIC \s 1 </w:instrText>
      </w:r>
      <w:r w:rsidR="00D51CB7" w:rsidRPr="00275FBD">
        <w:rPr>
          <w:lang w:val="sl-SI"/>
        </w:rPr>
        <w:fldChar w:fldCharType="separate"/>
      </w:r>
      <w:r w:rsidR="00BA25CD">
        <w:rPr>
          <w:noProof/>
          <w:lang w:val="sl-SI"/>
        </w:rPr>
        <w:t>1</w:t>
      </w:r>
      <w:r w:rsidR="00D51CB7" w:rsidRPr="00275FBD">
        <w:rPr>
          <w:lang w:val="sl-SI"/>
        </w:rPr>
        <w:fldChar w:fldCharType="end"/>
      </w:r>
      <w:bookmarkEnd w:id="49"/>
      <w:r w:rsidRPr="00275FBD">
        <w:rPr>
          <w:lang w:val="sl-SI"/>
        </w:rPr>
        <w:t>: Povzetek faze</w:t>
      </w:r>
      <w:r w:rsidR="00FD3159" w:rsidRPr="00FD3159">
        <w:rPr>
          <w:lang w:val="sl-SI"/>
        </w:rPr>
        <w:t xml:space="preserve"> </w:t>
      </w:r>
      <w:r w:rsidR="00FD3159" w:rsidRPr="00275FBD">
        <w:rPr>
          <w:lang w:val="sl-SI"/>
        </w:rPr>
        <w:t>pregled</w:t>
      </w:r>
      <w:r w:rsidR="00FD3159">
        <w:rPr>
          <w:lang w:val="sl-SI"/>
        </w:rPr>
        <w:t>a</w:t>
      </w:r>
      <w:bookmarkEnd w:id="50"/>
    </w:p>
    <w:tbl>
      <w:tblPr>
        <w:tblW w:w="9040" w:type="dxa"/>
        <w:tblInd w:w="113" w:type="dxa"/>
        <w:tblLook w:val="04A0" w:firstRow="1" w:lastRow="0" w:firstColumn="1" w:lastColumn="0" w:noHBand="0" w:noVBand="1"/>
      </w:tblPr>
      <w:tblGrid>
        <w:gridCol w:w="560"/>
        <w:gridCol w:w="5220"/>
        <w:gridCol w:w="878"/>
        <w:gridCol w:w="850"/>
        <w:gridCol w:w="783"/>
        <w:gridCol w:w="880"/>
      </w:tblGrid>
      <w:tr w:rsidR="00193698" w:rsidRPr="00275FBD" w14:paraId="52E9C2C8" w14:textId="77777777" w:rsidTr="00E26431">
        <w:trPr>
          <w:trHeight w:val="288"/>
        </w:trPr>
        <w:tc>
          <w:tcPr>
            <w:tcW w:w="5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D9AA98" w14:textId="1BFD2C8B" w:rsidR="00193698" w:rsidRPr="00275FBD" w:rsidRDefault="00DD3AB3"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Št</w:t>
            </w:r>
            <w:r w:rsidR="00193698" w:rsidRPr="00275FBD">
              <w:rPr>
                <w:rFonts w:ascii="Calibri" w:hAnsi="Calibri" w:cs="Calibri"/>
                <w:color w:val="000000"/>
                <w:sz w:val="22"/>
                <w:szCs w:val="22"/>
                <w:lang w:val="sl-SI" w:eastAsia="en-GB"/>
              </w:rPr>
              <w:t>.</w:t>
            </w:r>
          </w:p>
        </w:tc>
        <w:tc>
          <w:tcPr>
            <w:tcW w:w="522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1723B45" w14:textId="6CCB2A64" w:rsidR="00193698" w:rsidRPr="00275FBD" w:rsidRDefault="00DD3AB3"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Varnostn</w:t>
            </w:r>
            <w:r w:rsidR="00FE4C6E">
              <w:rPr>
                <w:rFonts w:ascii="Calibri" w:hAnsi="Calibri" w:cs="Calibri"/>
                <w:color w:val="000000"/>
                <w:sz w:val="22"/>
                <w:szCs w:val="22"/>
                <w:lang w:val="sl-SI" w:eastAsia="en-GB"/>
              </w:rPr>
              <w:t>a</w:t>
            </w:r>
            <w:r w:rsidR="00E26431" w:rsidRPr="00275FBD">
              <w:rPr>
                <w:rFonts w:ascii="Calibri" w:hAnsi="Calibri" w:cs="Calibri"/>
                <w:color w:val="000000"/>
                <w:sz w:val="22"/>
                <w:szCs w:val="22"/>
                <w:lang w:val="sl-SI" w:eastAsia="en-GB"/>
              </w:rPr>
              <w:t xml:space="preserve"> </w:t>
            </w:r>
            <w:r w:rsidR="00FE4C6E">
              <w:rPr>
                <w:lang w:val="sl-SI"/>
              </w:rPr>
              <w:t>vsebina</w:t>
            </w:r>
          </w:p>
        </w:tc>
        <w:tc>
          <w:tcPr>
            <w:tcW w:w="326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658ACCB" w14:textId="0B09C8FB" w:rsidR="00193698" w:rsidRPr="00275FBD" w:rsidRDefault="00E26431"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 xml:space="preserve">Število </w:t>
            </w:r>
            <w:r w:rsidR="00EC5401" w:rsidRPr="00275FBD">
              <w:rPr>
                <w:rFonts w:ascii="Calibri" w:hAnsi="Calibri" w:cs="Calibri"/>
                <w:color w:val="000000"/>
                <w:sz w:val="22"/>
                <w:szCs w:val="22"/>
                <w:lang w:val="sl-SI" w:eastAsia="en-GB"/>
              </w:rPr>
              <w:t>najdb</w:t>
            </w:r>
          </w:p>
        </w:tc>
      </w:tr>
      <w:tr w:rsidR="00193698" w:rsidRPr="00275FBD" w14:paraId="5275FED9" w14:textId="77777777" w:rsidTr="00E26431">
        <w:trPr>
          <w:trHeight w:val="288"/>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6CE26718" w14:textId="77777777" w:rsidR="00193698" w:rsidRPr="00275FBD" w:rsidRDefault="00193698" w:rsidP="00E26431">
            <w:pPr>
              <w:spacing w:before="40" w:after="40"/>
              <w:jc w:val="center"/>
              <w:rPr>
                <w:rFonts w:ascii="Calibri" w:hAnsi="Calibri" w:cs="Calibri"/>
                <w:color w:val="000000"/>
                <w:sz w:val="22"/>
                <w:szCs w:val="22"/>
                <w:lang w:val="sl-SI" w:eastAsia="en-GB"/>
              </w:rPr>
            </w:pPr>
          </w:p>
        </w:tc>
        <w:tc>
          <w:tcPr>
            <w:tcW w:w="5220" w:type="dxa"/>
            <w:vMerge/>
            <w:tcBorders>
              <w:top w:val="single" w:sz="4" w:space="0" w:color="auto"/>
              <w:left w:val="single" w:sz="4" w:space="0" w:color="auto"/>
              <w:bottom w:val="single" w:sz="4" w:space="0" w:color="auto"/>
              <w:right w:val="single" w:sz="4" w:space="0" w:color="auto"/>
            </w:tcBorders>
            <w:vAlign w:val="center"/>
            <w:hideMark/>
          </w:tcPr>
          <w:p w14:paraId="4499E7E6" w14:textId="77777777" w:rsidR="00193698" w:rsidRPr="00275FBD" w:rsidRDefault="00193698" w:rsidP="00E26431">
            <w:pPr>
              <w:spacing w:before="40" w:after="40"/>
              <w:jc w:val="center"/>
              <w:rPr>
                <w:rFonts w:ascii="Calibri" w:hAnsi="Calibri" w:cs="Calibri"/>
                <w:color w:val="000000"/>
                <w:sz w:val="22"/>
                <w:szCs w:val="22"/>
                <w:lang w:val="sl-SI" w:eastAsia="en-GB"/>
              </w:rPr>
            </w:pPr>
          </w:p>
        </w:tc>
        <w:tc>
          <w:tcPr>
            <w:tcW w:w="878" w:type="dxa"/>
            <w:tcBorders>
              <w:top w:val="nil"/>
              <w:left w:val="nil"/>
              <w:bottom w:val="single" w:sz="4" w:space="0" w:color="auto"/>
              <w:right w:val="single" w:sz="4" w:space="0" w:color="auto"/>
            </w:tcBorders>
            <w:shd w:val="clear" w:color="000000" w:fill="D9D9D9"/>
            <w:noWrap/>
            <w:vAlign w:val="center"/>
            <w:hideMark/>
          </w:tcPr>
          <w:p w14:paraId="5F6236D9" w14:textId="178C1A15" w:rsidR="00193698" w:rsidRPr="00275FBD" w:rsidRDefault="00E26431"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H</w:t>
            </w:r>
          </w:p>
        </w:tc>
        <w:tc>
          <w:tcPr>
            <w:tcW w:w="850" w:type="dxa"/>
            <w:tcBorders>
              <w:top w:val="nil"/>
              <w:left w:val="nil"/>
              <w:bottom w:val="single" w:sz="4" w:space="0" w:color="auto"/>
              <w:right w:val="single" w:sz="4" w:space="0" w:color="auto"/>
            </w:tcBorders>
            <w:shd w:val="clear" w:color="000000" w:fill="D9D9D9"/>
            <w:noWrap/>
            <w:vAlign w:val="center"/>
            <w:hideMark/>
          </w:tcPr>
          <w:p w14:paraId="55DF09EF" w14:textId="1E910195" w:rsidR="00193698" w:rsidRPr="00275FBD" w:rsidRDefault="00E26431"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M</w:t>
            </w:r>
          </w:p>
        </w:tc>
        <w:tc>
          <w:tcPr>
            <w:tcW w:w="783" w:type="dxa"/>
            <w:tcBorders>
              <w:top w:val="nil"/>
              <w:left w:val="nil"/>
              <w:bottom w:val="single" w:sz="4" w:space="0" w:color="auto"/>
              <w:right w:val="single" w:sz="4" w:space="0" w:color="auto"/>
            </w:tcBorders>
            <w:shd w:val="clear" w:color="000000" w:fill="D9D9D9"/>
            <w:noWrap/>
            <w:vAlign w:val="center"/>
            <w:hideMark/>
          </w:tcPr>
          <w:p w14:paraId="688CED43" w14:textId="7A38B50B" w:rsidR="00193698" w:rsidRPr="00275FBD" w:rsidRDefault="00E26431"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L</w:t>
            </w:r>
          </w:p>
        </w:tc>
        <w:tc>
          <w:tcPr>
            <w:tcW w:w="749" w:type="dxa"/>
            <w:tcBorders>
              <w:top w:val="nil"/>
              <w:left w:val="nil"/>
              <w:bottom w:val="single" w:sz="4" w:space="0" w:color="auto"/>
              <w:right w:val="single" w:sz="4" w:space="0" w:color="auto"/>
            </w:tcBorders>
            <w:shd w:val="clear" w:color="000000" w:fill="D9D9D9"/>
            <w:noWrap/>
            <w:vAlign w:val="center"/>
            <w:hideMark/>
          </w:tcPr>
          <w:p w14:paraId="01772292" w14:textId="3CD87602" w:rsidR="00193698" w:rsidRPr="00275FBD" w:rsidRDefault="00E26431"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Skupno</w:t>
            </w:r>
          </w:p>
        </w:tc>
      </w:tr>
      <w:tr w:rsidR="00193698" w:rsidRPr="00275FBD" w14:paraId="15F67E25" w14:textId="77777777" w:rsidTr="00E26431">
        <w:trPr>
          <w:trHeight w:val="288"/>
        </w:trPr>
        <w:tc>
          <w:tcPr>
            <w:tcW w:w="9040" w:type="dxa"/>
            <w:gridSpan w:val="6"/>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BEB370" w14:textId="139134B5" w:rsidR="00193698" w:rsidRPr="00275FBD" w:rsidRDefault="00E26431" w:rsidP="00E26431">
            <w:pPr>
              <w:spacing w:before="40" w:after="40"/>
              <w:jc w:val="left"/>
              <w:rPr>
                <w:rFonts w:ascii="Calibri" w:hAnsi="Calibri" w:cs="Calibri"/>
                <w:i/>
                <w:iCs/>
                <w:color w:val="000000"/>
                <w:sz w:val="22"/>
                <w:szCs w:val="22"/>
                <w:lang w:val="sl-SI" w:eastAsia="en-GB"/>
              </w:rPr>
            </w:pPr>
            <w:r w:rsidRPr="00275FBD">
              <w:rPr>
                <w:rFonts w:ascii="Calibri" w:hAnsi="Calibri" w:cs="Calibri"/>
                <w:i/>
                <w:iCs/>
                <w:color w:val="000000"/>
                <w:sz w:val="22"/>
                <w:szCs w:val="22"/>
                <w:lang w:val="sl-SI" w:eastAsia="en-GB"/>
              </w:rPr>
              <w:t>Objekt</w:t>
            </w:r>
          </w:p>
        </w:tc>
      </w:tr>
      <w:tr w:rsidR="00193698" w:rsidRPr="00275FBD" w14:paraId="638B83DF" w14:textId="77777777" w:rsidTr="00E26431">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521C99"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w:t>
            </w:r>
          </w:p>
        </w:tc>
        <w:tc>
          <w:tcPr>
            <w:tcW w:w="5220" w:type="dxa"/>
            <w:tcBorders>
              <w:top w:val="nil"/>
              <w:left w:val="nil"/>
              <w:bottom w:val="single" w:sz="4" w:space="0" w:color="auto"/>
              <w:right w:val="single" w:sz="4" w:space="0" w:color="auto"/>
            </w:tcBorders>
            <w:shd w:val="clear" w:color="auto" w:fill="auto"/>
            <w:noWrap/>
            <w:vAlign w:val="center"/>
            <w:hideMark/>
          </w:tcPr>
          <w:p w14:paraId="651FD42D" w14:textId="67112030" w:rsidR="00193698" w:rsidRPr="00275FBD" w:rsidRDefault="00E26431" w:rsidP="00E26431">
            <w:pPr>
              <w:spacing w:before="40" w:after="40"/>
              <w:jc w:val="left"/>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Projekt objekta</w:t>
            </w:r>
          </w:p>
        </w:tc>
        <w:tc>
          <w:tcPr>
            <w:tcW w:w="878" w:type="dxa"/>
            <w:tcBorders>
              <w:top w:val="nil"/>
              <w:left w:val="nil"/>
              <w:bottom w:val="single" w:sz="4" w:space="0" w:color="auto"/>
              <w:right w:val="single" w:sz="4" w:space="0" w:color="auto"/>
            </w:tcBorders>
            <w:shd w:val="clear" w:color="auto" w:fill="auto"/>
            <w:noWrap/>
            <w:vAlign w:val="center"/>
            <w:hideMark/>
          </w:tcPr>
          <w:p w14:paraId="111B9DD7"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w:t>
            </w:r>
          </w:p>
        </w:tc>
        <w:tc>
          <w:tcPr>
            <w:tcW w:w="850" w:type="dxa"/>
            <w:tcBorders>
              <w:top w:val="nil"/>
              <w:left w:val="nil"/>
              <w:bottom w:val="single" w:sz="4" w:space="0" w:color="auto"/>
              <w:right w:val="single" w:sz="4" w:space="0" w:color="auto"/>
            </w:tcBorders>
            <w:shd w:val="clear" w:color="auto" w:fill="auto"/>
            <w:noWrap/>
            <w:vAlign w:val="center"/>
            <w:hideMark/>
          </w:tcPr>
          <w:p w14:paraId="6B82EC43"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3</w:t>
            </w:r>
          </w:p>
        </w:tc>
        <w:tc>
          <w:tcPr>
            <w:tcW w:w="783" w:type="dxa"/>
            <w:tcBorders>
              <w:top w:val="nil"/>
              <w:left w:val="nil"/>
              <w:bottom w:val="single" w:sz="4" w:space="0" w:color="auto"/>
              <w:right w:val="single" w:sz="4" w:space="0" w:color="auto"/>
            </w:tcBorders>
            <w:shd w:val="clear" w:color="auto" w:fill="auto"/>
            <w:noWrap/>
            <w:vAlign w:val="center"/>
            <w:hideMark/>
          </w:tcPr>
          <w:p w14:paraId="18AEB829"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24</w:t>
            </w:r>
          </w:p>
        </w:tc>
        <w:tc>
          <w:tcPr>
            <w:tcW w:w="749" w:type="dxa"/>
            <w:tcBorders>
              <w:top w:val="nil"/>
              <w:left w:val="nil"/>
              <w:bottom w:val="single" w:sz="4" w:space="0" w:color="auto"/>
              <w:right w:val="single" w:sz="4" w:space="0" w:color="auto"/>
            </w:tcBorders>
            <w:shd w:val="clear" w:color="auto" w:fill="auto"/>
            <w:noWrap/>
            <w:vAlign w:val="center"/>
            <w:hideMark/>
          </w:tcPr>
          <w:p w14:paraId="01DBAD14"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28</w:t>
            </w:r>
          </w:p>
        </w:tc>
      </w:tr>
      <w:tr w:rsidR="00193698" w:rsidRPr="00275FBD" w14:paraId="71576CB6" w14:textId="77777777" w:rsidTr="00E26431">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4EF746"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2</w:t>
            </w:r>
          </w:p>
        </w:tc>
        <w:tc>
          <w:tcPr>
            <w:tcW w:w="5220" w:type="dxa"/>
            <w:tcBorders>
              <w:top w:val="nil"/>
              <w:left w:val="nil"/>
              <w:bottom w:val="single" w:sz="4" w:space="0" w:color="auto"/>
              <w:right w:val="single" w:sz="4" w:space="0" w:color="auto"/>
            </w:tcBorders>
            <w:shd w:val="clear" w:color="auto" w:fill="auto"/>
            <w:noWrap/>
            <w:vAlign w:val="center"/>
            <w:hideMark/>
          </w:tcPr>
          <w:p w14:paraId="42713389" w14:textId="567387E8" w:rsidR="00193698" w:rsidRPr="00275FBD" w:rsidRDefault="00E26431" w:rsidP="00E26431">
            <w:pPr>
              <w:spacing w:before="40" w:after="40"/>
              <w:jc w:val="left"/>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Dejansko stanje SSK</w:t>
            </w:r>
          </w:p>
        </w:tc>
        <w:tc>
          <w:tcPr>
            <w:tcW w:w="878" w:type="dxa"/>
            <w:tcBorders>
              <w:top w:val="nil"/>
              <w:left w:val="nil"/>
              <w:bottom w:val="single" w:sz="4" w:space="0" w:color="auto"/>
              <w:right w:val="single" w:sz="4" w:space="0" w:color="auto"/>
            </w:tcBorders>
            <w:shd w:val="clear" w:color="auto" w:fill="auto"/>
            <w:noWrap/>
            <w:vAlign w:val="center"/>
          </w:tcPr>
          <w:p w14:paraId="0BD2F965" w14:textId="3F12F9DF" w:rsidR="00193698" w:rsidRPr="00275FBD" w:rsidRDefault="00193698" w:rsidP="00E26431">
            <w:pPr>
              <w:spacing w:before="40" w:after="40"/>
              <w:jc w:val="center"/>
              <w:rPr>
                <w:rFonts w:ascii="Calibri" w:hAnsi="Calibri" w:cs="Calibri"/>
                <w:color w:val="000000"/>
                <w:sz w:val="22"/>
                <w:szCs w:val="22"/>
                <w:lang w:val="sl-SI" w:eastAsia="en-GB"/>
              </w:rPr>
            </w:pPr>
          </w:p>
        </w:tc>
        <w:tc>
          <w:tcPr>
            <w:tcW w:w="850" w:type="dxa"/>
            <w:tcBorders>
              <w:top w:val="nil"/>
              <w:left w:val="nil"/>
              <w:bottom w:val="single" w:sz="4" w:space="0" w:color="auto"/>
              <w:right w:val="single" w:sz="4" w:space="0" w:color="auto"/>
            </w:tcBorders>
            <w:shd w:val="clear" w:color="auto" w:fill="auto"/>
            <w:noWrap/>
            <w:vAlign w:val="center"/>
            <w:hideMark/>
          </w:tcPr>
          <w:p w14:paraId="37B65D60"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7</w:t>
            </w:r>
          </w:p>
        </w:tc>
        <w:tc>
          <w:tcPr>
            <w:tcW w:w="783" w:type="dxa"/>
            <w:tcBorders>
              <w:top w:val="nil"/>
              <w:left w:val="nil"/>
              <w:bottom w:val="single" w:sz="4" w:space="0" w:color="auto"/>
              <w:right w:val="single" w:sz="4" w:space="0" w:color="auto"/>
            </w:tcBorders>
            <w:shd w:val="clear" w:color="auto" w:fill="auto"/>
            <w:noWrap/>
            <w:vAlign w:val="center"/>
            <w:hideMark/>
          </w:tcPr>
          <w:p w14:paraId="6A2902DD"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12</w:t>
            </w:r>
          </w:p>
        </w:tc>
        <w:tc>
          <w:tcPr>
            <w:tcW w:w="749" w:type="dxa"/>
            <w:tcBorders>
              <w:top w:val="nil"/>
              <w:left w:val="nil"/>
              <w:bottom w:val="single" w:sz="4" w:space="0" w:color="auto"/>
              <w:right w:val="single" w:sz="4" w:space="0" w:color="auto"/>
            </w:tcBorders>
            <w:shd w:val="clear" w:color="auto" w:fill="auto"/>
            <w:noWrap/>
            <w:vAlign w:val="center"/>
            <w:hideMark/>
          </w:tcPr>
          <w:p w14:paraId="425FD411"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19</w:t>
            </w:r>
          </w:p>
        </w:tc>
      </w:tr>
      <w:tr w:rsidR="00193698" w:rsidRPr="00275FBD" w14:paraId="64D3F2C7" w14:textId="77777777" w:rsidTr="00E26431">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1F26878"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3</w:t>
            </w:r>
          </w:p>
        </w:tc>
        <w:tc>
          <w:tcPr>
            <w:tcW w:w="5220" w:type="dxa"/>
            <w:tcBorders>
              <w:top w:val="nil"/>
              <w:left w:val="nil"/>
              <w:bottom w:val="single" w:sz="4" w:space="0" w:color="auto"/>
              <w:right w:val="single" w:sz="4" w:space="0" w:color="auto"/>
            </w:tcBorders>
            <w:shd w:val="clear" w:color="auto" w:fill="auto"/>
            <w:noWrap/>
            <w:vAlign w:val="center"/>
            <w:hideMark/>
          </w:tcPr>
          <w:p w14:paraId="0B9EA23B" w14:textId="538288AC" w:rsidR="00193698" w:rsidRPr="00275FBD" w:rsidRDefault="00E26431" w:rsidP="00E26431">
            <w:pPr>
              <w:spacing w:before="40" w:after="40"/>
              <w:jc w:val="left"/>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Kvalifikacija opreme</w:t>
            </w:r>
          </w:p>
        </w:tc>
        <w:tc>
          <w:tcPr>
            <w:tcW w:w="878" w:type="dxa"/>
            <w:tcBorders>
              <w:top w:val="nil"/>
              <w:left w:val="nil"/>
              <w:bottom w:val="single" w:sz="4" w:space="0" w:color="auto"/>
              <w:right w:val="single" w:sz="4" w:space="0" w:color="auto"/>
            </w:tcBorders>
            <w:shd w:val="clear" w:color="auto" w:fill="auto"/>
            <w:noWrap/>
            <w:vAlign w:val="center"/>
          </w:tcPr>
          <w:p w14:paraId="5FC274B8" w14:textId="5608C7C9" w:rsidR="00193698" w:rsidRPr="00275FBD" w:rsidRDefault="00193698" w:rsidP="00E26431">
            <w:pPr>
              <w:spacing w:before="40" w:after="40"/>
              <w:jc w:val="center"/>
              <w:rPr>
                <w:rFonts w:ascii="Calibri" w:hAnsi="Calibri" w:cs="Calibri"/>
                <w:color w:val="000000"/>
                <w:sz w:val="22"/>
                <w:szCs w:val="22"/>
                <w:lang w:val="sl-SI" w:eastAsia="en-GB"/>
              </w:rPr>
            </w:pPr>
          </w:p>
        </w:tc>
        <w:tc>
          <w:tcPr>
            <w:tcW w:w="850" w:type="dxa"/>
            <w:tcBorders>
              <w:top w:val="nil"/>
              <w:left w:val="nil"/>
              <w:bottom w:val="single" w:sz="4" w:space="0" w:color="auto"/>
              <w:right w:val="single" w:sz="4" w:space="0" w:color="auto"/>
            </w:tcBorders>
            <w:shd w:val="clear" w:color="auto" w:fill="auto"/>
            <w:noWrap/>
            <w:vAlign w:val="center"/>
            <w:hideMark/>
          </w:tcPr>
          <w:p w14:paraId="42049507"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6</w:t>
            </w:r>
          </w:p>
        </w:tc>
        <w:tc>
          <w:tcPr>
            <w:tcW w:w="783" w:type="dxa"/>
            <w:tcBorders>
              <w:top w:val="nil"/>
              <w:left w:val="nil"/>
              <w:bottom w:val="single" w:sz="4" w:space="0" w:color="auto"/>
              <w:right w:val="single" w:sz="4" w:space="0" w:color="auto"/>
            </w:tcBorders>
            <w:shd w:val="clear" w:color="auto" w:fill="auto"/>
            <w:noWrap/>
            <w:vAlign w:val="center"/>
            <w:hideMark/>
          </w:tcPr>
          <w:p w14:paraId="44D613BF"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4</w:t>
            </w:r>
          </w:p>
        </w:tc>
        <w:tc>
          <w:tcPr>
            <w:tcW w:w="749" w:type="dxa"/>
            <w:tcBorders>
              <w:top w:val="nil"/>
              <w:left w:val="nil"/>
              <w:bottom w:val="single" w:sz="4" w:space="0" w:color="auto"/>
              <w:right w:val="single" w:sz="4" w:space="0" w:color="auto"/>
            </w:tcBorders>
            <w:shd w:val="clear" w:color="auto" w:fill="auto"/>
            <w:noWrap/>
            <w:vAlign w:val="center"/>
            <w:hideMark/>
          </w:tcPr>
          <w:p w14:paraId="63C056EF"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10</w:t>
            </w:r>
          </w:p>
        </w:tc>
      </w:tr>
      <w:tr w:rsidR="00193698" w:rsidRPr="00275FBD" w14:paraId="66D3E667" w14:textId="77777777" w:rsidTr="00E26431">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15A1F9"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4</w:t>
            </w:r>
          </w:p>
        </w:tc>
        <w:tc>
          <w:tcPr>
            <w:tcW w:w="5220" w:type="dxa"/>
            <w:tcBorders>
              <w:top w:val="nil"/>
              <w:left w:val="nil"/>
              <w:bottom w:val="single" w:sz="4" w:space="0" w:color="auto"/>
              <w:right w:val="single" w:sz="4" w:space="0" w:color="auto"/>
            </w:tcBorders>
            <w:shd w:val="clear" w:color="auto" w:fill="auto"/>
            <w:noWrap/>
            <w:vAlign w:val="center"/>
            <w:hideMark/>
          </w:tcPr>
          <w:p w14:paraId="02F39398" w14:textId="4597F30B" w:rsidR="00193698" w:rsidRPr="00275FBD" w:rsidRDefault="00E26431" w:rsidP="00E26431">
            <w:pPr>
              <w:spacing w:before="40" w:after="40"/>
              <w:jc w:val="left"/>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Staranje objekta</w:t>
            </w:r>
          </w:p>
        </w:tc>
        <w:tc>
          <w:tcPr>
            <w:tcW w:w="878" w:type="dxa"/>
            <w:tcBorders>
              <w:top w:val="nil"/>
              <w:left w:val="nil"/>
              <w:bottom w:val="single" w:sz="4" w:space="0" w:color="auto"/>
              <w:right w:val="single" w:sz="4" w:space="0" w:color="auto"/>
            </w:tcBorders>
            <w:shd w:val="clear" w:color="auto" w:fill="auto"/>
            <w:noWrap/>
            <w:vAlign w:val="center"/>
          </w:tcPr>
          <w:p w14:paraId="5571E24B" w14:textId="29E559D0" w:rsidR="00193698" w:rsidRPr="00275FBD" w:rsidRDefault="00193698" w:rsidP="00E26431">
            <w:pPr>
              <w:spacing w:before="40" w:after="40"/>
              <w:jc w:val="center"/>
              <w:rPr>
                <w:rFonts w:ascii="Calibri" w:hAnsi="Calibri" w:cs="Calibri"/>
                <w:color w:val="000000"/>
                <w:sz w:val="22"/>
                <w:szCs w:val="22"/>
                <w:lang w:val="sl-SI" w:eastAsia="en-GB"/>
              </w:rPr>
            </w:pPr>
          </w:p>
        </w:tc>
        <w:tc>
          <w:tcPr>
            <w:tcW w:w="850" w:type="dxa"/>
            <w:tcBorders>
              <w:top w:val="nil"/>
              <w:left w:val="nil"/>
              <w:bottom w:val="single" w:sz="4" w:space="0" w:color="auto"/>
              <w:right w:val="single" w:sz="4" w:space="0" w:color="auto"/>
            </w:tcBorders>
            <w:shd w:val="clear" w:color="auto" w:fill="auto"/>
            <w:noWrap/>
            <w:vAlign w:val="center"/>
            <w:hideMark/>
          </w:tcPr>
          <w:p w14:paraId="0D033A4F"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3</w:t>
            </w:r>
          </w:p>
        </w:tc>
        <w:tc>
          <w:tcPr>
            <w:tcW w:w="783" w:type="dxa"/>
            <w:tcBorders>
              <w:top w:val="nil"/>
              <w:left w:val="nil"/>
              <w:bottom w:val="single" w:sz="4" w:space="0" w:color="auto"/>
              <w:right w:val="single" w:sz="4" w:space="0" w:color="auto"/>
            </w:tcBorders>
            <w:shd w:val="clear" w:color="auto" w:fill="auto"/>
            <w:noWrap/>
            <w:vAlign w:val="center"/>
            <w:hideMark/>
          </w:tcPr>
          <w:p w14:paraId="4FE091C2"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4</w:t>
            </w:r>
          </w:p>
        </w:tc>
        <w:tc>
          <w:tcPr>
            <w:tcW w:w="749" w:type="dxa"/>
            <w:tcBorders>
              <w:top w:val="nil"/>
              <w:left w:val="nil"/>
              <w:bottom w:val="single" w:sz="4" w:space="0" w:color="auto"/>
              <w:right w:val="single" w:sz="4" w:space="0" w:color="auto"/>
            </w:tcBorders>
            <w:shd w:val="clear" w:color="auto" w:fill="auto"/>
            <w:noWrap/>
            <w:vAlign w:val="center"/>
            <w:hideMark/>
          </w:tcPr>
          <w:p w14:paraId="7544ADFE"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7</w:t>
            </w:r>
          </w:p>
        </w:tc>
      </w:tr>
      <w:tr w:rsidR="00193698" w:rsidRPr="00275FBD" w14:paraId="705AB9E2" w14:textId="77777777" w:rsidTr="00E26431">
        <w:trPr>
          <w:trHeight w:val="288"/>
        </w:trPr>
        <w:tc>
          <w:tcPr>
            <w:tcW w:w="9040" w:type="dxa"/>
            <w:gridSpan w:val="6"/>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A3AE471" w14:textId="2E6A8AD1" w:rsidR="00193698" w:rsidRPr="00275FBD" w:rsidRDefault="00E26431" w:rsidP="00E26431">
            <w:pPr>
              <w:spacing w:before="40" w:after="40"/>
              <w:jc w:val="left"/>
              <w:rPr>
                <w:rFonts w:ascii="Calibri" w:hAnsi="Calibri" w:cs="Calibri"/>
                <w:i/>
                <w:iCs/>
                <w:color w:val="000000"/>
                <w:sz w:val="22"/>
                <w:szCs w:val="22"/>
                <w:lang w:val="sl-SI" w:eastAsia="en-GB"/>
              </w:rPr>
            </w:pPr>
            <w:r w:rsidRPr="00275FBD">
              <w:rPr>
                <w:rFonts w:ascii="Calibri" w:hAnsi="Calibri" w:cs="Calibri"/>
                <w:i/>
                <w:iCs/>
                <w:color w:val="000000"/>
                <w:sz w:val="22"/>
                <w:szCs w:val="22"/>
                <w:lang w:val="sl-SI" w:eastAsia="en-GB"/>
              </w:rPr>
              <w:t>Varnostne analize</w:t>
            </w:r>
          </w:p>
        </w:tc>
      </w:tr>
      <w:tr w:rsidR="00193698" w:rsidRPr="00275FBD" w14:paraId="3EE21442" w14:textId="77777777" w:rsidTr="00E26431">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9A1673"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5</w:t>
            </w:r>
          </w:p>
        </w:tc>
        <w:tc>
          <w:tcPr>
            <w:tcW w:w="5220" w:type="dxa"/>
            <w:tcBorders>
              <w:top w:val="nil"/>
              <w:left w:val="nil"/>
              <w:bottom w:val="single" w:sz="4" w:space="0" w:color="auto"/>
              <w:right w:val="single" w:sz="4" w:space="0" w:color="auto"/>
            </w:tcBorders>
            <w:shd w:val="clear" w:color="auto" w:fill="auto"/>
            <w:noWrap/>
            <w:vAlign w:val="center"/>
            <w:hideMark/>
          </w:tcPr>
          <w:p w14:paraId="295C23A7" w14:textId="61C7F952" w:rsidR="00193698" w:rsidRPr="00275FBD" w:rsidRDefault="00E26431" w:rsidP="00E26431">
            <w:pPr>
              <w:spacing w:before="40" w:after="40"/>
              <w:jc w:val="left"/>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Deterministične varnostne analize objekta</w:t>
            </w:r>
          </w:p>
        </w:tc>
        <w:tc>
          <w:tcPr>
            <w:tcW w:w="878" w:type="dxa"/>
            <w:tcBorders>
              <w:top w:val="nil"/>
              <w:left w:val="nil"/>
              <w:bottom w:val="single" w:sz="4" w:space="0" w:color="auto"/>
              <w:right w:val="single" w:sz="4" w:space="0" w:color="auto"/>
            </w:tcBorders>
            <w:shd w:val="clear" w:color="auto" w:fill="auto"/>
            <w:noWrap/>
            <w:vAlign w:val="center"/>
            <w:hideMark/>
          </w:tcPr>
          <w:p w14:paraId="4ED08A65"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w:t>
            </w:r>
          </w:p>
        </w:tc>
        <w:tc>
          <w:tcPr>
            <w:tcW w:w="850" w:type="dxa"/>
            <w:tcBorders>
              <w:top w:val="nil"/>
              <w:left w:val="nil"/>
              <w:bottom w:val="single" w:sz="4" w:space="0" w:color="auto"/>
              <w:right w:val="single" w:sz="4" w:space="0" w:color="auto"/>
            </w:tcBorders>
            <w:shd w:val="clear" w:color="auto" w:fill="auto"/>
            <w:noWrap/>
            <w:vAlign w:val="center"/>
            <w:hideMark/>
          </w:tcPr>
          <w:p w14:paraId="315A1E88"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7</w:t>
            </w:r>
          </w:p>
        </w:tc>
        <w:tc>
          <w:tcPr>
            <w:tcW w:w="783" w:type="dxa"/>
            <w:tcBorders>
              <w:top w:val="nil"/>
              <w:left w:val="nil"/>
              <w:bottom w:val="single" w:sz="4" w:space="0" w:color="auto"/>
              <w:right w:val="single" w:sz="4" w:space="0" w:color="auto"/>
            </w:tcBorders>
            <w:shd w:val="clear" w:color="auto" w:fill="auto"/>
            <w:noWrap/>
            <w:vAlign w:val="center"/>
            <w:hideMark/>
          </w:tcPr>
          <w:p w14:paraId="69521913"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7</w:t>
            </w:r>
          </w:p>
        </w:tc>
        <w:tc>
          <w:tcPr>
            <w:tcW w:w="749" w:type="dxa"/>
            <w:tcBorders>
              <w:top w:val="nil"/>
              <w:left w:val="nil"/>
              <w:bottom w:val="single" w:sz="4" w:space="0" w:color="auto"/>
              <w:right w:val="single" w:sz="4" w:space="0" w:color="auto"/>
            </w:tcBorders>
            <w:shd w:val="clear" w:color="auto" w:fill="auto"/>
            <w:noWrap/>
            <w:vAlign w:val="center"/>
            <w:hideMark/>
          </w:tcPr>
          <w:p w14:paraId="0D98EDA9"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15</w:t>
            </w:r>
          </w:p>
        </w:tc>
      </w:tr>
      <w:tr w:rsidR="00193698" w:rsidRPr="00275FBD" w14:paraId="675B8F05" w14:textId="77777777" w:rsidTr="00E26431">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22FF3BC"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6</w:t>
            </w:r>
          </w:p>
        </w:tc>
        <w:tc>
          <w:tcPr>
            <w:tcW w:w="5220" w:type="dxa"/>
            <w:tcBorders>
              <w:top w:val="nil"/>
              <w:left w:val="nil"/>
              <w:bottom w:val="single" w:sz="4" w:space="0" w:color="auto"/>
              <w:right w:val="single" w:sz="4" w:space="0" w:color="auto"/>
            </w:tcBorders>
            <w:shd w:val="clear" w:color="auto" w:fill="auto"/>
            <w:noWrap/>
            <w:vAlign w:val="center"/>
            <w:hideMark/>
          </w:tcPr>
          <w:p w14:paraId="04A618EA" w14:textId="26562D60" w:rsidR="00193698" w:rsidRPr="00275FBD" w:rsidRDefault="00E26431" w:rsidP="00E26431">
            <w:pPr>
              <w:spacing w:before="40" w:after="40"/>
              <w:jc w:val="left"/>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Verjetnostne varnostne analize objekta</w:t>
            </w:r>
          </w:p>
        </w:tc>
        <w:tc>
          <w:tcPr>
            <w:tcW w:w="878" w:type="dxa"/>
            <w:tcBorders>
              <w:top w:val="nil"/>
              <w:left w:val="nil"/>
              <w:bottom w:val="single" w:sz="4" w:space="0" w:color="auto"/>
              <w:right w:val="single" w:sz="4" w:space="0" w:color="auto"/>
            </w:tcBorders>
            <w:shd w:val="clear" w:color="auto" w:fill="auto"/>
            <w:noWrap/>
            <w:vAlign w:val="center"/>
          </w:tcPr>
          <w:p w14:paraId="73168387" w14:textId="21AB7293" w:rsidR="00193698" w:rsidRPr="00275FBD" w:rsidRDefault="00193698" w:rsidP="00E26431">
            <w:pPr>
              <w:spacing w:before="40" w:after="40"/>
              <w:jc w:val="center"/>
              <w:rPr>
                <w:rFonts w:ascii="Calibri" w:hAnsi="Calibri" w:cs="Calibri"/>
                <w:color w:val="000000"/>
                <w:sz w:val="22"/>
                <w:szCs w:val="22"/>
                <w:lang w:val="sl-SI" w:eastAsia="en-GB"/>
              </w:rPr>
            </w:pPr>
          </w:p>
        </w:tc>
        <w:tc>
          <w:tcPr>
            <w:tcW w:w="850" w:type="dxa"/>
            <w:tcBorders>
              <w:top w:val="nil"/>
              <w:left w:val="nil"/>
              <w:bottom w:val="single" w:sz="4" w:space="0" w:color="auto"/>
              <w:right w:val="single" w:sz="4" w:space="0" w:color="auto"/>
            </w:tcBorders>
            <w:shd w:val="clear" w:color="auto" w:fill="auto"/>
            <w:noWrap/>
            <w:vAlign w:val="center"/>
          </w:tcPr>
          <w:p w14:paraId="41C0BD8E" w14:textId="5EB35AB3" w:rsidR="00193698" w:rsidRPr="00275FBD" w:rsidRDefault="00193698" w:rsidP="00E26431">
            <w:pPr>
              <w:spacing w:before="40" w:after="40"/>
              <w:jc w:val="center"/>
              <w:rPr>
                <w:rFonts w:ascii="Calibri" w:hAnsi="Calibri" w:cs="Calibri"/>
                <w:color w:val="000000"/>
                <w:sz w:val="22"/>
                <w:szCs w:val="22"/>
                <w:lang w:val="sl-SI" w:eastAsia="en-GB"/>
              </w:rPr>
            </w:pPr>
          </w:p>
        </w:tc>
        <w:tc>
          <w:tcPr>
            <w:tcW w:w="783" w:type="dxa"/>
            <w:tcBorders>
              <w:top w:val="nil"/>
              <w:left w:val="nil"/>
              <w:bottom w:val="single" w:sz="4" w:space="0" w:color="auto"/>
              <w:right w:val="single" w:sz="4" w:space="0" w:color="auto"/>
            </w:tcBorders>
            <w:shd w:val="clear" w:color="auto" w:fill="auto"/>
            <w:noWrap/>
            <w:vAlign w:val="center"/>
            <w:hideMark/>
          </w:tcPr>
          <w:p w14:paraId="1A34D451"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2</w:t>
            </w:r>
          </w:p>
        </w:tc>
        <w:tc>
          <w:tcPr>
            <w:tcW w:w="749" w:type="dxa"/>
            <w:tcBorders>
              <w:top w:val="nil"/>
              <w:left w:val="nil"/>
              <w:bottom w:val="single" w:sz="4" w:space="0" w:color="auto"/>
              <w:right w:val="single" w:sz="4" w:space="0" w:color="auto"/>
            </w:tcBorders>
            <w:shd w:val="clear" w:color="auto" w:fill="auto"/>
            <w:noWrap/>
            <w:vAlign w:val="center"/>
            <w:hideMark/>
          </w:tcPr>
          <w:p w14:paraId="77C1F832"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2</w:t>
            </w:r>
          </w:p>
        </w:tc>
      </w:tr>
      <w:tr w:rsidR="00193698" w:rsidRPr="00275FBD" w14:paraId="707BE696" w14:textId="77777777" w:rsidTr="00E26431">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E8AB292"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7</w:t>
            </w:r>
          </w:p>
        </w:tc>
        <w:tc>
          <w:tcPr>
            <w:tcW w:w="5220" w:type="dxa"/>
            <w:tcBorders>
              <w:top w:val="nil"/>
              <w:left w:val="nil"/>
              <w:bottom w:val="single" w:sz="4" w:space="0" w:color="auto"/>
              <w:right w:val="single" w:sz="4" w:space="0" w:color="auto"/>
            </w:tcBorders>
            <w:shd w:val="clear" w:color="auto" w:fill="auto"/>
            <w:noWrap/>
            <w:vAlign w:val="center"/>
            <w:hideMark/>
          </w:tcPr>
          <w:p w14:paraId="69F15943" w14:textId="44197FE9" w:rsidR="00193698" w:rsidRPr="00275FBD" w:rsidRDefault="00E26431" w:rsidP="00E26431">
            <w:pPr>
              <w:spacing w:before="40" w:after="40"/>
              <w:jc w:val="left"/>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Analize ogroženosti in možnih nevarnosti glede na jedrsko in sevalno varnost</w:t>
            </w:r>
          </w:p>
        </w:tc>
        <w:tc>
          <w:tcPr>
            <w:tcW w:w="878" w:type="dxa"/>
            <w:tcBorders>
              <w:top w:val="nil"/>
              <w:left w:val="nil"/>
              <w:bottom w:val="single" w:sz="4" w:space="0" w:color="auto"/>
              <w:right w:val="single" w:sz="4" w:space="0" w:color="auto"/>
            </w:tcBorders>
            <w:shd w:val="clear" w:color="auto" w:fill="auto"/>
            <w:noWrap/>
            <w:vAlign w:val="center"/>
            <w:hideMark/>
          </w:tcPr>
          <w:p w14:paraId="6AFA5174"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w:t>
            </w:r>
          </w:p>
        </w:tc>
        <w:tc>
          <w:tcPr>
            <w:tcW w:w="850" w:type="dxa"/>
            <w:tcBorders>
              <w:top w:val="nil"/>
              <w:left w:val="nil"/>
              <w:bottom w:val="single" w:sz="4" w:space="0" w:color="auto"/>
              <w:right w:val="single" w:sz="4" w:space="0" w:color="auto"/>
            </w:tcBorders>
            <w:shd w:val="clear" w:color="auto" w:fill="auto"/>
            <w:noWrap/>
            <w:vAlign w:val="center"/>
            <w:hideMark/>
          </w:tcPr>
          <w:p w14:paraId="2013C17C"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3</w:t>
            </w:r>
          </w:p>
        </w:tc>
        <w:tc>
          <w:tcPr>
            <w:tcW w:w="783" w:type="dxa"/>
            <w:tcBorders>
              <w:top w:val="nil"/>
              <w:left w:val="nil"/>
              <w:bottom w:val="single" w:sz="4" w:space="0" w:color="auto"/>
              <w:right w:val="single" w:sz="4" w:space="0" w:color="auto"/>
            </w:tcBorders>
            <w:shd w:val="clear" w:color="auto" w:fill="auto"/>
            <w:noWrap/>
            <w:vAlign w:val="center"/>
            <w:hideMark/>
          </w:tcPr>
          <w:p w14:paraId="30F26CB8"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4</w:t>
            </w:r>
          </w:p>
        </w:tc>
        <w:tc>
          <w:tcPr>
            <w:tcW w:w="749" w:type="dxa"/>
            <w:tcBorders>
              <w:top w:val="nil"/>
              <w:left w:val="nil"/>
              <w:bottom w:val="single" w:sz="4" w:space="0" w:color="auto"/>
              <w:right w:val="single" w:sz="4" w:space="0" w:color="auto"/>
            </w:tcBorders>
            <w:shd w:val="clear" w:color="auto" w:fill="auto"/>
            <w:noWrap/>
            <w:vAlign w:val="center"/>
            <w:hideMark/>
          </w:tcPr>
          <w:p w14:paraId="5F418AEF"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8</w:t>
            </w:r>
          </w:p>
        </w:tc>
      </w:tr>
      <w:tr w:rsidR="00193698" w:rsidRPr="00275FBD" w14:paraId="1D22DE86" w14:textId="77777777" w:rsidTr="00E26431">
        <w:trPr>
          <w:trHeight w:val="288"/>
        </w:trPr>
        <w:tc>
          <w:tcPr>
            <w:tcW w:w="9040" w:type="dxa"/>
            <w:gridSpan w:val="6"/>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C49FAAE" w14:textId="3D3F99D3" w:rsidR="00193698" w:rsidRPr="00275FBD" w:rsidRDefault="00E26431" w:rsidP="00E26431">
            <w:pPr>
              <w:spacing w:before="40" w:after="40"/>
              <w:jc w:val="left"/>
              <w:rPr>
                <w:rFonts w:ascii="Calibri" w:hAnsi="Calibri" w:cs="Calibri"/>
                <w:i/>
                <w:iCs/>
                <w:color w:val="000000"/>
                <w:sz w:val="22"/>
                <w:szCs w:val="22"/>
                <w:lang w:val="sl-SI" w:eastAsia="en-GB"/>
              </w:rPr>
            </w:pPr>
            <w:r w:rsidRPr="00275FBD">
              <w:rPr>
                <w:rFonts w:ascii="Calibri" w:hAnsi="Calibri" w:cs="Calibri"/>
                <w:i/>
                <w:iCs/>
                <w:color w:val="000000"/>
                <w:sz w:val="22"/>
                <w:szCs w:val="22"/>
                <w:lang w:val="sl-SI" w:eastAsia="en-GB"/>
              </w:rPr>
              <w:t>Obratovanje in uporaba obratovalnih izkušenj</w:t>
            </w:r>
          </w:p>
        </w:tc>
      </w:tr>
      <w:tr w:rsidR="00193698" w:rsidRPr="00275FBD" w14:paraId="37F6902D" w14:textId="77777777" w:rsidTr="00E26431">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BF7113"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8</w:t>
            </w:r>
          </w:p>
        </w:tc>
        <w:tc>
          <w:tcPr>
            <w:tcW w:w="5220" w:type="dxa"/>
            <w:tcBorders>
              <w:top w:val="nil"/>
              <w:left w:val="nil"/>
              <w:bottom w:val="single" w:sz="4" w:space="0" w:color="auto"/>
              <w:right w:val="single" w:sz="4" w:space="0" w:color="auto"/>
            </w:tcBorders>
            <w:shd w:val="clear" w:color="auto" w:fill="auto"/>
            <w:noWrap/>
            <w:vAlign w:val="center"/>
            <w:hideMark/>
          </w:tcPr>
          <w:p w14:paraId="1461E12A" w14:textId="28C3BDFD" w:rsidR="00193698" w:rsidRPr="00275FBD" w:rsidRDefault="00E26431" w:rsidP="00E26431">
            <w:pPr>
              <w:spacing w:before="40" w:after="40"/>
              <w:jc w:val="left"/>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Obratovalne izkušnje in obratovalni kazalniki lastnega objekta</w:t>
            </w:r>
          </w:p>
        </w:tc>
        <w:tc>
          <w:tcPr>
            <w:tcW w:w="878" w:type="dxa"/>
            <w:tcBorders>
              <w:top w:val="nil"/>
              <w:left w:val="nil"/>
              <w:bottom w:val="single" w:sz="4" w:space="0" w:color="auto"/>
              <w:right w:val="single" w:sz="4" w:space="0" w:color="auto"/>
            </w:tcBorders>
            <w:shd w:val="clear" w:color="auto" w:fill="auto"/>
            <w:noWrap/>
            <w:vAlign w:val="center"/>
            <w:hideMark/>
          </w:tcPr>
          <w:p w14:paraId="0A07B405"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w:t>
            </w:r>
          </w:p>
        </w:tc>
        <w:tc>
          <w:tcPr>
            <w:tcW w:w="850" w:type="dxa"/>
            <w:tcBorders>
              <w:top w:val="nil"/>
              <w:left w:val="nil"/>
              <w:bottom w:val="single" w:sz="4" w:space="0" w:color="auto"/>
              <w:right w:val="single" w:sz="4" w:space="0" w:color="auto"/>
            </w:tcBorders>
            <w:shd w:val="clear" w:color="auto" w:fill="auto"/>
            <w:noWrap/>
            <w:vAlign w:val="center"/>
            <w:hideMark/>
          </w:tcPr>
          <w:p w14:paraId="6491DA4A"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14</w:t>
            </w:r>
          </w:p>
        </w:tc>
        <w:tc>
          <w:tcPr>
            <w:tcW w:w="783" w:type="dxa"/>
            <w:tcBorders>
              <w:top w:val="nil"/>
              <w:left w:val="nil"/>
              <w:bottom w:val="single" w:sz="4" w:space="0" w:color="auto"/>
              <w:right w:val="single" w:sz="4" w:space="0" w:color="auto"/>
            </w:tcBorders>
            <w:shd w:val="clear" w:color="auto" w:fill="auto"/>
            <w:noWrap/>
            <w:vAlign w:val="center"/>
            <w:hideMark/>
          </w:tcPr>
          <w:p w14:paraId="4A7024BF"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6</w:t>
            </w:r>
          </w:p>
        </w:tc>
        <w:tc>
          <w:tcPr>
            <w:tcW w:w="749" w:type="dxa"/>
            <w:tcBorders>
              <w:top w:val="nil"/>
              <w:left w:val="nil"/>
              <w:bottom w:val="single" w:sz="4" w:space="0" w:color="auto"/>
              <w:right w:val="single" w:sz="4" w:space="0" w:color="auto"/>
            </w:tcBorders>
            <w:shd w:val="clear" w:color="auto" w:fill="auto"/>
            <w:noWrap/>
            <w:vAlign w:val="center"/>
            <w:hideMark/>
          </w:tcPr>
          <w:p w14:paraId="4B3E8163"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21</w:t>
            </w:r>
          </w:p>
        </w:tc>
      </w:tr>
      <w:tr w:rsidR="00193698" w:rsidRPr="00275FBD" w14:paraId="1D6191CB" w14:textId="77777777" w:rsidTr="00E26431">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905E6B1"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9</w:t>
            </w:r>
          </w:p>
        </w:tc>
        <w:tc>
          <w:tcPr>
            <w:tcW w:w="5220" w:type="dxa"/>
            <w:tcBorders>
              <w:top w:val="nil"/>
              <w:left w:val="nil"/>
              <w:bottom w:val="single" w:sz="4" w:space="0" w:color="auto"/>
              <w:right w:val="single" w:sz="4" w:space="0" w:color="auto"/>
            </w:tcBorders>
            <w:shd w:val="clear" w:color="auto" w:fill="auto"/>
            <w:noWrap/>
            <w:vAlign w:val="center"/>
            <w:hideMark/>
          </w:tcPr>
          <w:p w14:paraId="426FCDB2" w14:textId="5EE068B4" w:rsidR="00193698" w:rsidRPr="00275FBD" w:rsidRDefault="00E26431" w:rsidP="00E26431">
            <w:pPr>
              <w:spacing w:before="40" w:after="40"/>
              <w:jc w:val="left"/>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Obratovalne izkušnje drugih objektov ter ugotovitve znanosti in tehnologije za obdobje pregleda</w:t>
            </w:r>
          </w:p>
        </w:tc>
        <w:tc>
          <w:tcPr>
            <w:tcW w:w="878" w:type="dxa"/>
            <w:tcBorders>
              <w:top w:val="nil"/>
              <w:left w:val="nil"/>
              <w:bottom w:val="single" w:sz="4" w:space="0" w:color="auto"/>
              <w:right w:val="single" w:sz="4" w:space="0" w:color="auto"/>
            </w:tcBorders>
            <w:shd w:val="clear" w:color="auto" w:fill="auto"/>
            <w:noWrap/>
            <w:vAlign w:val="center"/>
          </w:tcPr>
          <w:p w14:paraId="563304BF" w14:textId="3264B86D" w:rsidR="00193698" w:rsidRPr="00275FBD" w:rsidRDefault="00193698" w:rsidP="00E26431">
            <w:pPr>
              <w:spacing w:before="40" w:after="40"/>
              <w:jc w:val="center"/>
              <w:rPr>
                <w:rFonts w:ascii="Calibri" w:hAnsi="Calibri" w:cs="Calibri"/>
                <w:color w:val="000000"/>
                <w:sz w:val="22"/>
                <w:szCs w:val="22"/>
                <w:lang w:val="sl-SI" w:eastAsia="en-GB"/>
              </w:rPr>
            </w:pPr>
          </w:p>
        </w:tc>
        <w:tc>
          <w:tcPr>
            <w:tcW w:w="850" w:type="dxa"/>
            <w:tcBorders>
              <w:top w:val="nil"/>
              <w:left w:val="nil"/>
              <w:bottom w:val="single" w:sz="4" w:space="0" w:color="auto"/>
              <w:right w:val="single" w:sz="4" w:space="0" w:color="auto"/>
            </w:tcBorders>
            <w:shd w:val="clear" w:color="auto" w:fill="auto"/>
            <w:noWrap/>
            <w:vAlign w:val="center"/>
          </w:tcPr>
          <w:p w14:paraId="7E4A007B" w14:textId="49573A4F" w:rsidR="00193698" w:rsidRPr="00275FBD" w:rsidRDefault="00193698" w:rsidP="00E26431">
            <w:pPr>
              <w:spacing w:before="40" w:after="40"/>
              <w:jc w:val="center"/>
              <w:rPr>
                <w:rFonts w:ascii="Calibri" w:hAnsi="Calibri" w:cs="Calibri"/>
                <w:color w:val="000000"/>
                <w:sz w:val="22"/>
                <w:szCs w:val="22"/>
                <w:lang w:val="sl-SI" w:eastAsia="en-GB"/>
              </w:rPr>
            </w:pPr>
          </w:p>
        </w:tc>
        <w:tc>
          <w:tcPr>
            <w:tcW w:w="783" w:type="dxa"/>
            <w:tcBorders>
              <w:top w:val="nil"/>
              <w:left w:val="nil"/>
              <w:bottom w:val="single" w:sz="4" w:space="0" w:color="auto"/>
              <w:right w:val="single" w:sz="4" w:space="0" w:color="auto"/>
            </w:tcBorders>
            <w:shd w:val="clear" w:color="auto" w:fill="auto"/>
            <w:noWrap/>
            <w:vAlign w:val="center"/>
            <w:hideMark/>
          </w:tcPr>
          <w:p w14:paraId="78015A81"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5</w:t>
            </w:r>
          </w:p>
        </w:tc>
        <w:tc>
          <w:tcPr>
            <w:tcW w:w="749" w:type="dxa"/>
            <w:tcBorders>
              <w:top w:val="nil"/>
              <w:left w:val="nil"/>
              <w:bottom w:val="single" w:sz="4" w:space="0" w:color="auto"/>
              <w:right w:val="single" w:sz="4" w:space="0" w:color="auto"/>
            </w:tcBorders>
            <w:shd w:val="clear" w:color="auto" w:fill="auto"/>
            <w:noWrap/>
            <w:vAlign w:val="center"/>
            <w:hideMark/>
          </w:tcPr>
          <w:p w14:paraId="66F9EF63"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5</w:t>
            </w:r>
          </w:p>
        </w:tc>
      </w:tr>
      <w:tr w:rsidR="00193698" w:rsidRPr="00275FBD" w14:paraId="29AB10C0" w14:textId="77777777" w:rsidTr="00E26431">
        <w:trPr>
          <w:trHeight w:val="288"/>
        </w:trPr>
        <w:tc>
          <w:tcPr>
            <w:tcW w:w="9040"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4322D0A5" w14:textId="0D58AD0C" w:rsidR="00193698" w:rsidRPr="00275FBD" w:rsidRDefault="00E26431" w:rsidP="00E26431">
            <w:pPr>
              <w:spacing w:before="40" w:after="40"/>
              <w:jc w:val="left"/>
              <w:rPr>
                <w:rFonts w:ascii="Calibri" w:hAnsi="Calibri" w:cs="Calibri"/>
                <w:i/>
                <w:iCs/>
                <w:color w:val="000000"/>
                <w:sz w:val="22"/>
                <w:szCs w:val="22"/>
                <w:lang w:val="sl-SI" w:eastAsia="en-GB"/>
              </w:rPr>
            </w:pPr>
            <w:r w:rsidRPr="00275FBD">
              <w:rPr>
                <w:rFonts w:ascii="Calibri" w:hAnsi="Calibri" w:cs="Calibri"/>
                <w:i/>
                <w:iCs/>
                <w:color w:val="000000"/>
                <w:sz w:val="22"/>
                <w:szCs w:val="22"/>
                <w:lang w:val="sl-SI" w:eastAsia="en-GB"/>
              </w:rPr>
              <w:t>Vodenje</w:t>
            </w:r>
          </w:p>
        </w:tc>
      </w:tr>
      <w:tr w:rsidR="00193698" w:rsidRPr="00275FBD" w14:paraId="75BDAC3B" w14:textId="77777777" w:rsidTr="00E26431">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AE622E"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10</w:t>
            </w:r>
          </w:p>
        </w:tc>
        <w:tc>
          <w:tcPr>
            <w:tcW w:w="5220" w:type="dxa"/>
            <w:tcBorders>
              <w:top w:val="nil"/>
              <w:left w:val="nil"/>
              <w:bottom w:val="single" w:sz="4" w:space="0" w:color="auto"/>
              <w:right w:val="single" w:sz="4" w:space="0" w:color="auto"/>
            </w:tcBorders>
            <w:shd w:val="clear" w:color="auto" w:fill="auto"/>
            <w:noWrap/>
            <w:vAlign w:val="center"/>
            <w:hideMark/>
          </w:tcPr>
          <w:p w14:paraId="16F93CAE" w14:textId="49262548" w:rsidR="00193698" w:rsidRPr="00275FBD" w:rsidRDefault="002C4E84" w:rsidP="00E26431">
            <w:pPr>
              <w:spacing w:before="40" w:after="40"/>
              <w:jc w:val="left"/>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 xml:space="preserve">Sistemi vodenja in organiziranost </w:t>
            </w:r>
            <w:r w:rsidR="00CB6B10" w:rsidRPr="00275FBD">
              <w:rPr>
                <w:rFonts w:ascii="Calibri" w:hAnsi="Calibri" w:cs="Calibri"/>
                <w:color w:val="000000"/>
                <w:sz w:val="22"/>
                <w:szCs w:val="22"/>
                <w:lang w:val="sl-SI" w:eastAsia="en-GB"/>
              </w:rPr>
              <w:t>upravlja</w:t>
            </w:r>
            <w:r w:rsidR="00CB6B10">
              <w:rPr>
                <w:rFonts w:ascii="Calibri" w:hAnsi="Calibri" w:cs="Calibri"/>
                <w:color w:val="000000"/>
                <w:sz w:val="22"/>
                <w:szCs w:val="22"/>
                <w:lang w:val="sl-SI" w:eastAsia="en-GB"/>
              </w:rPr>
              <w:t>v</w:t>
            </w:r>
            <w:r w:rsidR="00CB6B10" w:rsidRPr="00275FBD">
              <w:rPr>
                <w:rFonts w:ascii="Calibri" w:hAnsi="Calibri" w:cs="Calibri"/>
                <w:color w:val="000000"/>
                <w:sz w:val="22"/>
                <w:szCs w:val="22"/>
                <w:lang w:val="sl-SI" w:eastAsia="en-GB"/>
              </w:rPr>
              <w:t>ca</w:t>
            </w:r>
          </w:p>
        </w:tc>
        <w:tc>
          <w:tcPr>
            <w:tcW w:w="878" w:type="dxa"/>
            <w:tcBorders>
              <w:top w:val="nil"/>
              <w:left w:val="nil"/>
              <w:bottom w:val="single" w:sz="4" w:space="0" w:color="auto"/>
              <w:right w:val="single" w:sz="4" w:space="0" w:color="auto"/>
            </w:tcBorders>
            <w:shd w:val="clear" w:color="auto" w:fill="auto"/>
            <w:noWrap/>
            <w:vAlign w:val="center"/>
          </w:tcPr>
          <w:p w14:paraId="72999B00" w14:textId="7A6555FC" w:rsidR="00193698" w:rsidRPr="00275FBD" w:rsidRDefault="00193698" w:rsidP="00E26431">
            <w:pPr>
              <w:spacing w:before="40" w:after="40"/>
              <w:jc w:val="center"/>
              <w:rPr>
                <w:rFonts w:ascii="Calibri" w:hAnsi="Calibri" w:cs="Calibri"/>
                <w:color w:val="000000"/>
                <w:sz w:val="22"/>
                <w:szCs w:val="22"/>
                <w:lang w:val="sl-SI" w:eastAsia="en-GB"/>
              </w:rPr>
            </w:pPr>
          </w:p>
        </w:tc>
        <w:tc>
          <w:tcPr>
            <w:tcW w:w="850" w:type="dxa"/>
            <w:tcBorders>
              <w:top w:val="nil"/>
              <w:left w:val="nil"/>
              <w:bottom w:val="single" w:sz="4" w:space="0" w:color="auto"/>
              <w:right w:val="single" w:sz="4" w:space="0" w:color="auto"/>
            </w:tcBorders>
            <w:shd w:val="clear" w:color="auto" w:fill="auto"/>
            <w:noWrap/>
            <w:vAlign w:val="center"/>
          </w:tcPr>
          <w:p w14:paraId="09DC4D42" w14:textId="5D03EB43" w:rsidR="00193698" w:rsidRPr="00275FBD" w:rsidRDefault="00193698" w:rsidP="00E26431">
            <w:pPr>
              <w:spacing w:before="40" w:after="40"/>
              <w:jc w:val="center"/>
              <w:rPr>
                <w:rFonts w:ascii="Calibri" w:hAnsi="Calibri" w:cs="Calibri"/>
                <w:color w:val="000000"/>
                <w:sz w:val="22"/>
                <w:szCs w:val="22"/>
                <w:lang w:val="sl-SI" w:eastAsia="en-GB"/>
              </w:rPr>
            </w:pPr>
          </w:p>
        </w:tc>
        <w:tc>
          <w:tcPr>
            <w:tcW w:w="783" w:type="dxa"/>
            <w:tcBorders>
              <w:top w:val="nil"/>
              <w:left w:val="nil"/>
              <w:bottom w:val="single" w:sz="4" w:space="0" w:color="auto"/>
              <w:right w:val="single" w:sz="4" w:space="0" w:color="auto"/>
            </w:tcBorders>
            <w:shd w:val="clear" w:color="auto" w:fill="auto"/>
            <w:noWrap/>
            <w:vAlign w:val="center"/>
            <w:hideMark/>
          </w:tcPr>
          <w:p w14:paraId="638C92FF"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7</w:t>
            </w:r>
          </w:p>
        </w:tc>
        <w:tc>
          <w:tcPr>
            <w:tcW w:w="749" w:type="dxa"/>
            <w:tcBorders>
              <w:top w:val="nil"/>
              <w:left w:val="nil"/>
              <w:bottom w:val="single" w:sz="4" w:space="0" w:color="auto"/>
              <w:right w:val="single" w:sz="4" w:space="0" w:color="auto"/>
            </w:tcBorders>
            <w:shd w:val="clear" w:color="auto" w:fill="auto"/>
            <w:noWrap/>
            <w:vAlign w:val="center"/>
            <w:hideMark/>
          </w:tcPr>
          <w:p w14:paraId="22F03F6B"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7</w:t>
            </w:r>
          </w:p>
        </w:tc>
      </w:tr>
      <w:tr w:rsidR="00193698" w:rsidRPr="00275FBD" w14:paraId="7BCFD7E9" w14:textId="77777777" w:rsidTr="00E26431">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88554C3"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11</w:t>
            </w:r>
          </w:p>
        </w:tc>
        <w:tc>
          <w:tcPr>
            <w:tcW w:w="5220" w:type="dxa"/>
            <w:tcBorders>
              <w:top w:val="nil"/>
              <w:left w:val="nil"/>
              <w:bottom w:val="single" w:sz="4" w:space="0" w:color="auto"/>
              <w:right w:val="single" w:sz="4" w:space="0" w:color="auto"/>
            </w:tcBorders>
            <w:shd w:val="clear" w:color="auto" w:fill="auto"/>
            <w:noWrap/>
            <w:vAlign w:val="center"/>
            <w:hideMark/>
          </w:tcPr>
          <w:p w14:paraId="7E118418" w14:textId="4AEC9F65" w:rsidR="00193698" w:rsidRPr="00275FBD" w:rsidRDefault="002C4E84" w:rsidP="00E26431">
            <w:pPr>
              <w:spacing w:before="40" w:after="40"/>
              <w:jc w:val="left"/>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Varnostna kultura</w:t>
            </w:r>
          </w:p>
        </w:tc>
        <w:tc>
          <w:tcPr>
            <w:tcW w:w="878" w:type="dxa"/>
            <w:tcBorders>
              <w:top w:val="nil"/>
              <w:left w:val="nil"/>
              <w:bottom w:val="single" w:sz="4" w:space="0" w:color="auto"/>
              <w:right w:val="single" w:sz="4" w:space="0" w:color="auto"/>
            </w:tcBorders>
            <w:shd w:val="clear" w:color="auto" w:fill="auto"/>
            <w:noWrap/>
            <w:vAlign w:val="center"/>
          </w:tcPr>
          <w:p w14:paraId="010582F6" w14:textId="1CA08CED" w:rsidR="00193698" w:rsidRPr="00275FBD" w:rsidRDefault="00193698" w:rsidP="00E26431">
            <w:pPr>
              <w:spacing w:before="40" w:after="40"/>
              <w:jc w:val="center"/>
              <w:rPr>
                <w:rFonts w:ascii="Calibri" w:hAnsi="Calibri" w:cs="Calibri"/>
                <w:color w:val="000000"/>
                <w:sz w:val="22"/>
                <w:szCs w:val="22"/>
                <w:lang w:val="sl-SI" w:eastAsia="en-GB"/>
              </w:rPr>
            </w:pPr>
          </w:p>
        </w:tc>
        <w:tc>
          <w:tcPr>
            <w:tcW w:w="850" w:type="dxa"/>
            <w:tcBorders>
              <w:top w:val="nil"/>
              <w:left w:val="nil"/>
              <w:bottom w:val="single" w:sz="4" w:space="0" w:color="auto"/>
              <w:right w:val="single" w:sz="4" w:space="0" w:color="auto"/>
            </w:tcBorders>
            <w:shd w:val="clear" w:color="auto" w:fill="auto"/>
            <w:noWrap/>
            <w:vAlign w:val="center"/>
            <w:hideMark/>
          </w:tcPr>
          <w:p w14:paraId="4B7DBCC2"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w:t>
            </w:r>
          </w:p>
        </w:tc>
        <w:tc>
          <w:tcPr>
            <w:tcW w:w="783" w:type="dxa"/>
            <w:tcBorders>
              <w:top w:val="nil"/>
              <w:left w:val="nil"/>
              <w:bottom w:val="single" w:sz="4" w:space="0" w:color="auto"/>
              <w:right w:val="single" w:sz="4" w:space="0" w:color="auto"/>
            </w:tcBorders>
            <w:shd w:val="clear" w:color="auto" w:fill="auto"/>
            <w:noWrap/>
            <w:vAlign w:val="center"/>
            <w:hideMark/>
          </w:tcPr>
          <w:p w14:paraId="31BF2A75"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5</w:t>
            </w:r>
          </w:p>
        </w:tc>
        <w:tc>
          <w:tcPr>
            <w:tcW w:w="749" w:type="dxa"/>
            <w:tcBorders>
              <w:top w:val="nil"/>
              <w:left w:val="nil"/>
              <w:bottom w:val="single" w:sz="4" w:space="0" w:color="auto"/>
              <w:right w:val="single" w:sz="4" w:space="0" w:color="auto"/>
            </w:tcBorders>
            <w:shd w:val="clear" w:color="auto" w:fill="auto"/>
            <w:noWrap/>
            <w:vAlign w:val="center"/>
            <w:hideMark/>
          </w:tcPr>
          <w:p w14:paraId="0DCC907E"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6</w:t>
            </w:r>
          </w:p>
        </w:tc>
      </w:tr>
      <w:tr w:rsidR="00193698" w:rsidRPr="00275FBD" w14:paraId="5F7756B6" w14:textId="77777777" w:rsidTr="00E26431">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F9AF0F0"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12</w:t>
            </w:r>
          </w:p>
        </w:tc>
        <w:tc>
          <w:tcPr>
            <w:tcW w:w="5220" w:type="dxa"/>
            <w:tcBorders>
              <w:top w:val="nil"/>
              <w:left w:val="nil"/>
              <w:bottom w:val="single" w:sz="4" w:space="0" w:color="auto"/>
              <w:right w:val="single" w:sz="4" w:space="0" w:color="auto"/>
            </w:tcBorders>
            <w:shd w:val="clear" w:color="auto" w:fill="auto"/>
            <w:noWrap/>
            <w:vAlign w:val="center"/>
            <w:hideMark/>
          </w:tcPr>
          <w:p w14:paraId="261A2B96" w14:textId="77DC5C57" w:rsidR="00193698" w:rsidRPr="00275FBD" w:rsidRDefault="002C4E84" w:rsidP="00E26431">
            <w:pPr>
              <w:spacing w:before="40" w:after="40"/>
              <w:jc w:val="left"/>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Pisni postopki upravljavca</w:t>
            </w:r>
          </w:p>
        </w:tc>
        <w:tc>
          <w:tcPr>
            <w:tcW w:w="878" w:type="dxa"/>
            <w:tcBorders>
              <w:top w:val="nil"/>
              <w:left w:val="nil"/>
              <w:bottom w:val="single" w:sz="4" w:space="0" w:color="auto"/>
              <w:right w:val="single" w:sz="4" w:space="0" w:color="auto"/>
            </w:tcBorders>
            <w:shd w:val="clear" w:color="auto" w:fill="auto"/>
            <w:noWrap/>
            <w:vAlign w:val="center"/>
          </w:tcPr>
          <w:p w14:paraId="5506F1D5" w14:textId="564B149F" w:rsidR="00193698" w:rsidRPr="00275FBD" w:rsidRDefault="00193698" w:rsidP="00E26431">
            <w:pPr>
              <w:spacing w:before="40" w:after="40"/>
              <w:jc w:val="center"/>
              <w:rPr>
                <w:rFonts w:ascii="Calibri" w:hAnsi="Calibri" w:cs="Calibri"/>
                <w:color w:val="000000"/>
                <w:sz w:val="22"/>
                <w:szCs w:val="22"/>
                <w:lang w:val="sl-SI" w:eastAsia="en-GB"/>
              </w:rPr>
            </w:pPr>
          </w:p>
        </w:tc>
        <w:tc>
          <w:tcPr>
            <w:tcW w:w="850" w:type="dxa"/>
            <w:tcBorders>
              <w:top w:val="nil"/>
              <w:left w:val="nil"/>
              <w:bottom w:val="single" w:sz="4" w:space="0" w:color="auto"/>
              <w:right w:val="single" w:sz="4" w:space="0" w:color="auto"/>
            </w:tcBorders>
            <w:shd w:val="clear" w:color="auto" w:fill="auto"/>
            <w:noWrap/>
            <w:vAlign w:val="center"/>
            <w:hideMark/>
          </w:tcPr>
          <w:p w14:paraId="06785824"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3</w:t>
            </w:r>
          </w:p>
        </w:tc>
        <w:tc>
          <w:tcPr>
            <w:tcW w:w="783" w:type="dxa"/>
            <w:tcBorders>
              <w:top w:val="nil"/>
              <w:left w:val="nil"/>
              <w:bottom w:val="single" w:sz="4" w:space="0" w:color="auto"/>
              <w:right w:val="single" w:sz="4" w:space="0" w:color="auto"/>
            </w:tcBorders>
            <w:shd w:val="clear" w:color="auto" w:fill="auto"/>
            <w:noWrap/>
            <w:vAlign w:val="center"/>
            <w:hideMark/>
          </w:tcPr>
          <w:p w14:paraId="51DA15CC"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6</w:t>
            </w:r>
          </w:p>
        </w:tc>
        <w:tc>
          <w:tcPr>
            <w:tcW w:w="749" w:type="dxa"/>
            <w:tcBorders>
              <w:top w:val="nil"/>
              <w:left w:val="nil"/>
              <w:bottom w:val="single" w:sz="4" w:space="0" w:color="auto"/>
              <w:right w:val="single" w:sz="4" w:space="0" w:color="auto"/>
            </w:tcBorders>
            <w:shd w:val="clear" w:color="auto" w:fill="auto"/>
            <w:noWrap/>
            <w:vAlign w:val="center"/>
            <w:hideMark/>
          </w:tcPr>
          <w:p w14:paraId="36832035"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9</w:t>
            </w:r>
          </w:p>
        </w:tc>
      </w:tr>
      <w:tr w:rsidR="00193698" w:rsidRPr="00275FBD" w14:paraId="255CCA39" w14:textId="77777777" w:rsidTr="00E26431">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0466C92"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13</w:t>
            </w:r>
          </w:p>
        </w:tc>
        <w:tc>
          <w:tcPr>
            <w:tcW w:w="5220" w:type="dxa"/>
            <w:tcBorders>
              <w:top w:val="nil"/>
              <w:left w:val="nil"/>
              <w:bottom w:val="single" w:sz="4" w:space="0" w:color="auto"/>
              <w:right w:val="single" w:sz="4" w:space="0" w:color="auto"/>
            </w:tcBorders>
            <w:shd w:val="clear" w:color="auto" w:fill="auto"/>
            <w:noWrap/>
            <w:vAlign w:val="center"/>
            <w:hideMark/>
          </w:tcPr>
          <w:p w14:paraId="28BFD875" w14:textId="25D2683F" w:rsidR="00193698" w:rsidRPr="00275FBD" w:rsidRDefault="00E1088E" w:rsidP="00E26431">
            <w:pPr>
              <w:spacing w:before="40" w:after="40"/>
              <w:jc w:val="left"/>
              <w:rPr>
                <w:rFonts w:ascii="Calibri" w:hAnsi="Calibri" w:cs="Calibri"/>
                <w:color w:val="000000"/>
                <w:sz w:val="22"/>
                <w:szCs w:val="22"/>
                <w:lang w:val="sl-SI" w:eastAsia="en-GB"/>
              </w:rPr>
            </w:pPr>
            <w:r>
              <w:rPr>
                <w:rFonts w:ascii="Calibri" w:hAnsi="Calibri" w:cs="Calibri"/>
                <w:color w:val="000000"/>
                <w:sz w:val="22"/>
                <w:szCs w:val="22"/>
                <w:lang w:val="sl-SI" w:eastAsia="en-GB"/>
              </w:rPr>
              <w:t xml:space="preserve">Vpliv dejavnosti osebja </w:t>
            </w:r>
            <w:r w:rsidR="001D65DF">
              <w:rPr>
                <w:rFonts w:ascii="Calibri" w:hAnsi="Calibri" w:cs="Calibri"/>
                <w:color w:val="000000"/>
                <w:sz w:val="22"/>
                <w:szCs w:val="22"/>
                <w:lang w:val="sl-SI" w:eastAsia="en-GB"/>
              </w:rPr>
              <w:t>–</w:t>
            </w:r>
            <w:r>
              <w:rPr>
                <w:rFonts w:ascii="Calibri" w:hAnsi="Calibri" w:cs="Calibri"/>
                <w:color w:val="000000"/>
                <w:sz w:val="22"/>
                <w:szCs w:val="22"/>
                <w:lang w:val="sl-SI" w:eastAsia="en-GB"/>
              </w:rPr>
              <w:t xml:space="preserve"> č</w:t>
            </w:r>
            <w:r w:rsidR="002C4E84" w:rsidRPr="00275FBD">
              <w:rPr>
                <w:rFonts w:ascii="Calibri" w:hAnsi="Calibri" w:cs="Calibri"/>
                <w:color w:val="000000"/>
                <w:sz w:val="22"/>
                <w:szCs w:val="22"/>
                <w:lang w:val="sl-SI" w:eastAsia="en-GB"/>
              </w:rPr>
              <w:t>loveški dejavnik</w:t>
            </w:r>
          </w:p>
        </w:tc>
        <w:tc>
          <w:tcPr>
            <w:tcW w:w="878" w:type="dxa"/>
            <w:tcBorders>
              <w:top w:val="nil"/>
              <w:left w:val="nil"/>
              <w:bottom w:val="single" w:sz="4" w:space="0" w:color="auto"/>
              <w:right w:val="single" w:sz="4" w:space="0" w:color="auto"/>
            </w:tcBorders>
            <w:shd w:val="clear" w:color="auto" w:fill="auto"/>
            <w:noWrap/>
            <w:vAlign w:val="center"/>
          </w:tcPr>
          <w:p w14:paraId="62DFDBEB" w14:textId="1962FE44" w:rsidR="00193698" w:rsidRPr="00275FBD" w:rsidRDefault="00193698" w:rsidP="00E26431">
            <w:pPr>
              <w:spacing w:before="40" w:after="40"/>
              <w:jc w:val="center"/>
              <w:rPr>
                <w:rFonts w:ascii="Calibri" w:hAnsi="Calibri" w:cs="Calibri"/>
                <w:color w:val="000000"/>
                <w:sz w:val="22"/>
                <w:szCs w:val="22"/>
                <w:lang w:val="sl-SI" w:eastAsia="en-GB"/>
              </w:rPr>
            </w:pPr>
          </w:p>
        </w:tc>
        <w:tc>
          <w:tcPr>
            <w:tcW w:w="850" w:type="dxa"/>
            <w:tcBorders>
              <w:top w:val="nil"/>
              <w:left w:val="nil"/>
              <w:bottom w:val="single" w:sz="4" w:space="0" w:color="auto"/>
              <w:right w:val="single" w:sz="4" w:space="0" w:color="auto"/>
            </w:tcBorders>
            <w:shd w:val="clear" w:color="auto" w:fill="auto"/>
            <w:noWrap/>
            <w:vAlign w:val="center"/>
            <w:hideMark/>
          </w:tcPr>
          <w:p w14:paraId="41049F50"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5</w:t>
            </w:r>
          </w:p>
        </w:tc>
        <w:tc>
          <w:tcPr>
            <w:tcW w:w="783" w:type="dxa"/>
            <w:tcBorders>
              <w:top w:val="nil"/>
              <w:left w:val="nil"/>
              <w:bottom w:val="single" w:sz="4" w:space="0" w:color="auto"/>
              <w:right w:val="single" w:sz="4" w:space="0" w:color="auto"/>
            </w:tcBorders>
            <w:shd w:val="clear" w:color="auto" w:fill="auto"/>
            <w:noWrap/>
            <w:vAlign w:val="center"/>
            <w:hideMark/>
          </w:tcPr>
          <w:p w14:paraId="69608AD7"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5</w:t>
            </w:r>
          </w:p>
        </w:tc>
        <w:tc>
          <w:tcPr>
            <w:tcW w:w="749" w:type="dxa"/>
            <w:tcBorders>
              <w:top w:val="nil"/>
              <w:left w:val="nil"/>
              <w:bottom w:val="single" w:sz="4" w:space="0" w:color="auto"/>
              <w:right w:val="single" w:sz="4" w:space="0" w:color="auto"/>
            </w:tcBorders>
            <w:shd w:val="clear" w:color="auto" w:fill="auto"/>
            <w:noWrap/>
            <w:vAlign w:val="center"/>
            <w:hideMark/>
          </w:tcPr>
          <w:p w14:paraId="37BB3E96"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10</w:t>
            </w:r>
          </w:p>
        </w:tc>
      </w:tr>
      <w:tr w:rsidR="00193698" w:rsidRPr="00275FBD" w14:paraId="5C85C5A6" w14:textId="77777777" w:rsidTr="00E26431">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C6BC5A"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14</w:t>
            </w:r>
          </w:p>
        </w:tc>
        <w:tc>
          <w:tcPr>
            <w:tcW w:w="5220" w:type="dxa"/>
            <w:tcBorders>
              <w:top w:val="nil"/>
              <w:left w:val="nil"/>
              <w:bottom w:val="single" w:sz="4" w:space="0" w:color="auto"/>
              <w:right w:val="single" w:sz="4" w:space="0" w:color="auto"/>
            </w:tcBorders>
            <w:shd w:val="clear" w:color="auto" w:fill="auto"/>
            <w:noWrap/>
            <w:vAlign w:val="center"/>
            <w:hideMark/>
          </w:tcPr>
          <w:p w14:paraId="2A34CC1F" w14:textId="79241EEA" w:rsidR="00193698" w:rsidRPr="00275FBD" w:rsidRDefault="002C4E84" w:rsidP="00E26431">
            <w:pPr>
              <w:spacing w:before="40" w:after="40"/>
              <w:jc w:val="left"/>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Načrt zaščite in reševanja</w:t>
            </w:r>
          </w:p>
        </w:tc>
        <w:tc>
          <w:tcPr>
            <w:tcW w:w="878" w:type="dxa"/>
            <w:tcBorders>
              <w:top w:val="nil"/>
              <w:left w:val="nil"/>
              <w:bottom w:val="single" w:sz="4" w:space="0" w:color="auto"/>
              <w:right w:val="single" w:sz="4" w:space="0" w:color="auto"/>
            </w:tcBorders>
            <w:shd w:val="clear" w:color="auto" w:fill="auto"/>
            <w:noWrap/>
            <w:vAlign w:val="center"/>
          </w:tcPr>
          <w:p w14:paraId="46878BD1" w14:textId="05C13CC4" w:rsidR="00193698" w:rsidRPr="00275FBD" w:rsidRDefault="00193698" w:rsidP="00E26431">
            <w:pPr>
              <w:spacing w:before="40" w:after="40"/>
              <w:jc w:val="center"/>
              <w:rPr>
                <w:rFonts w:ascii="Calibri" w:hAnsi="Calibri" w:cs="Calibri"/>
                <w:color w:val="000000"/>
                <w:sz w:val="22"/>
                <w:szCs w:val="22"/>
                <w:lang w:val="sl-SI" w:eastAsia="en-GB"/>
              </w:rPr>
            </w:pPr>
          </w:p>
        </w:tc>
        <w:tc>
          <w:tcPr>
            <w:tcW w:w="850" w:type="dxa"/>
            <w:tcBorders>
              <w:top w:val="nil"/>
              <w:left w:val="nil"/>
              <w:bottom w:val="single" w:sz="4" w:space="0" w:color="auto"/>
              <w:right w:val="single" w:sz="4" w:space="0" w:color="auto"/>
            </w:tcBorders>
            <w:shd w:val="clear" w:color="auto" w:fill="auto"/>
            <w:noWrap/>
            <w:vAlign w:val="center"/>
            <w:hideMark/>
          </w:tcPr>
          <w:p w14:paraId="590BA080"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8</w:t>
            </w:r>
          </w:p>
        </w:tc>
        <w:tc>
          <w:tcPr>
            <w:tcW w:w="783" w:type="dxa"/>
            <w:tcBorders>
              <w:top w:val="nil"/>
              <w:left w:val="nil"/>
              <w:bottom w:val="single" w:sz="4" w:space="0" w:color="auto"/>
              <w:right w:val="single" w:sz="4" w:space="0" w:color="auto"/>
            </w:tcBorders>
            <w:shd w:val="clear" w:color="auto" w:fill="auto"/>
            <w:noWrap/>
            <w:vAlign w:val="center"/>
            <w:hideMark/>
          </w:tcPr>
          <w:p w14:paraId="2E192498"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6</w:t>
            </w:r>
          </w:p>
        </w:tc>
        <w:tc>
          <w:tcPr>
            <w:tcW w:w="749" w:type="dxa"/>
            <w:tcBorders>
              <w:top w:val="nil"/>
              <w:left w:val="nil"/>
              <w:bottom w:val="single" w:sz="4" w:space="0" w:color="auto"/>
              <w:right w:val="single" w:sz="4" w:space="0" w:color="auto"/>
            </w:tcBorders>
            <w:shd w:val="clear" w:color="auto" w:fill="auto"/>
            <w:noWrap/>
            <w:vAlign w:val="center"/>
            <w:hideMark/>
          </w:tcPr>
          <w:p w14:paraId="159DA9BF"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14</w:t>
            </w:r>
          </w:p>
        </w:tc>
      </w:tr>
      <w:tr w:rsidR="00193698" w:rsidRPr="00275FBD" w14:paraId="750F2E46" w14:textId="77777777" w:rsidTr="00E26431">
        <w:trPr>
          <w:trHeight w:val="288"/>
        </w:trPr>
        <w:tc>
          <w:tcPr>
            <w:tcW w:w="9040"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2FC532A" w14:textId="7BBF6BDA" w:rsidR="00193698" w:rsidRPr="00275FBD" w:rsidRDefault="002C4E84" w:rsidP="00E26431">
            <w:pPr>
              <w:spacing w:before="40" w:after="40"/>
              <w:jc w:val="left"/>
              <w:rPr>
                <w:rFonts w:ascii="Calibri" w:hAnsi="Calibri" w:cs="Calibri"/>
                <w:i/>
                <w:iCs/>
                <w:color w:val="000000"/>
                <w:sz w:val="22"/>
                <w:szCs w:val="22"/>
                <w:lang w:val="sl-SI" w:eastAsia="en-GB"/>
              </w:rPr>
            </w:pPr>
            <w:r w:rsidRPr="00275FBD">
              <w:rPr>
                <w:rFonts w:ascii="Calibri" w:hAnsi="Calibri" w:cs="Calibri"/>
                <w:i/>
                <w:iCs/>
                <w:color w:val="000000"/>
                <w:sz w:val="22"/>
                <w:szCs w:val="22"/>
                <w:lang w:val="sl-SI" w:eastAsia="en-GB"/>
              </w:rPr>
              <w:t>Okolje</w:t>
            </w:r>
          </w:p>
        </w:tc>
      </w:tr>
      <w:tr w:rsidR="00193698" w:rsidRPr="00275FBD" w14:paraId="07CE4B24" w14:textId="77777777" w:rsidTr="00E26431">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26F2039"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15</w:t>
            </w:r>
          </w:p>
        </w:tc>
        <w:tc>
          <w:tcPr>
            <w:tcW w:w="5220" w:type="dxa"/>
            <w:tcBorders>
              <w:top w:val="nil"/>
              <w:left w:val="nil"/>
              <w:bottom w:val="single" w:sz="4" w:space="0" w:color="auto"/>
              <w:right w:val="single" w:sz="4" w:space="0" w:color="auto"/>
            </w:tcBorders>
            <w:shd w:val="clear" w:color="auto" w:fill="auto"/>
            <w:noWrap/>
            <w:vAlign w:val="center"/>
            <w:hideMark/>
          </w:tcPr>
          <w:p w14:paraId="5C342104" w14:textId="0EEFF3A5" w:rsidR="00193698" w:rsidRPr="00275FBD" w:rsidRDefault="002C4E84" w:rsidP="00E26431">
            <w:pPr>
              <w:spacing w:before="40" w:after="40"/>
              <w:jc w:val="left"/>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Radiološki vplivi na okolje</w:t>
            </w:r>
          </w:p>
        </w:tc>
        <w:tc>
          <w:tcPr>
            <w:tcW w:w="878" w:type="dxa"/>
            <w:tcBorders>
              <w:top w:val="nil"/>
              <w:left w:val="nil"/>
              <w:bottom w:val="single" w:sz="4" w:space="0" w:color="auto"/>
              <w:right w:val="single" w:sz="4" w:space="0" w:color="auto"/>
            </w:tcBorders>
            <w:shd w:val="clear" w:color="auto" w:fill="auto"/>
            <w:noWrap/>
            <w:vAlign w:val="center"/>
          </w:tcPr>
          <w:p w14:paraId="56E38F63" w14:textId="292B35E1" w:rsidR="00193698" w:rsidRPr="00275FBD" w:rsidRDefault="00193698" w:rsidP="00E26431">
            <w:pPr>
              <w:spacing w:before="40" w:after="40"/>
              <w:jc w:val="center"/>
              <w:rPr>
                <w:rFonts w:ascii="Calibri" w:hAnsi="Calibri" w:cs="Calibri"/>
                <w:color w:val="000000"/>
                <w:sz w:val="22"/>
                <w:szCs w:val="22"/>
                <w:lang w:val="sl-SI" w:eastAsia="en-GB"/>
              </w:rPr>
            </w:pPr>
          </w:p>
        </w:tc>
        <w:tc>
          <w:tcPr>
            <w:tcW w:w="850" w:type="dxa"/>
            <w:tcBorders>
              <w:top w:val="nil"/>
              <w:left w:val="nil"/>
              <w:bottom w:val="single" w:sz="4" w:space="0" w:color="auto"/>
              <w:right w:val="single" w:sz="4" w:space="0" w:color="auto"/>
            </w:tcBorders>
            <w:shd w:val="clear" w:color="auto" w:fill="auto"/>
            <w:noWrap/>
            <w:vAlign w:val="center"/>
          </w:tcPr>
          <w:p w14:paraId="7300A93F" w14:textId="6144D84F" w:rsidR="00193698" w:rsidRPr="00275FBD" w:rsidRDefault="00193698" w:rsidP="00E26431">
            <w:pPr>
              <w:spacing w:before="40" w:after="40"/>
              <w:jc w:val="center"/>
              <w:rPr>
                <w:rFonts w:ascii="Calibri" w:hAnsi="Calibri" w:cs="Calibri"/>
                <w:color w:val="000000"/>
                <w:sz w:val="22"/>
                <w:szCs w:val="22"/>
                <w:lang w:val="sl-SI" w:eastAsia="en-GB"/>
              </w:rPr>
            </w:pPr>
          </w:p>
        </w:tc>
        <w:tc>
          <w:tcPr>
            <w:tcW w:w="783" w:type="dxa"/>
            <w:tcBorders>
              <w:top w:val="nil"/>
              <w:left w:val="nil"/>
              <w:bottom w:val="single" w:sz="4" w:space="0" w:color="auto"/>
              <w:right w:val="single" w:sz="4" w:space="0" w:color="auto"/>
            </w:tcBorders>
            <w:shd w:val="clear" w:color="auto" w:fill="auto"/>
            <w:noWrap/>
            <w:vAlign w:val="center"/>
            <w:hideMark/>
          </w:tcPr>
          <w:p w14:paraId="7B69BF62"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9</w:t>
            </w:r>
          </w:p>
        </w:tc>
        <w:tc>
          <w:tcPr>
            <w:tcW w:w="749" w:type="dxa"/>
            <w:tcBorders>
              <w:top w:val="nil"/>
              <w:left w:val="nil"/>
              <w:bottom w:val="single" w:sz="4" w:space="0" w:color="auto"/>
              <w:right w:val="single" w:sz="4" w:space="0" w:color="auto"/>
            </w:tcBorders>
            <w:shd w:val="clear" w:color="auto" w:fill="auto"/>
            <w:noWrap/>
            <w:vAlign w:val="center"/>
            <w:hideMark/>
          </w:tcPr>
          <w:p w14:paraId="22E00937"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9</w:t>
            </w:r>
          </w:p>
        </w:tc>
      </w:tr>
      <w:tr w:rsidR="00193698" w:rsidRPr="00275FBD" w14:paraId="35B7BA00" w14:textId="77777777" w:rsidTr="00E26431">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025547C"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16</w:t>
            </w:r>
          </w:p>
        </w:tc>
        <w:tc>
          <w:tcPr>
            <w:tcW w:w="5220" w:type="dxa"/>
            <w:tcBorders>
              <w:top w:val="nil"/>
              <w:left w:val="nil"/>
              <w:bottom w:val="single" w:sz="4" w:space="0" w:color="auto"/>
              <w:right w:val="single" w:sz="4" w:space="0" w:color="auto"/>
            </w:tcBorders>
            <w:shd w:val="clear" w:color="auto" w:fill="auto"/>
            <w:noWrap/>
            <w:vAlign w:val="center"/>
            <w:hideMark/>
          </w:tcPr>
          <w:p w14:paraId="0326D990" w14:textId="065AFDA7" w:rsidR="00193698" w:rsidRPr="00275FBD" w:rsidRDefault="002C4E84" w:rsidP="00E26431">
            <w:pPr>
              <w:spacing w:before="40" w:after="40"/>
              <w:jc w:val="left"/>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 xml:space="preserve">Radioaktivni odpadki in izrabljeno </w:t>
            </w:r>
            <w:r w:rsidR="00E1088E">
              <w:rPr>
                <w:rFonts w:ascii="Calibri" w:hAnsi="Calibri" w:cs="Calibri"/>
                <w:color w:val="000000"/>
                <w:sz w:val="22"/>
                <w:szCs w:val="22"/>
                <w:lang w:val="sl-SI" w:eastAsia="en-GB"/>
              </w:rPr>
              <w:t xml:space="preserve">jedrsko </w:t>
            </w:r>
            <w:r w:rsidRPr="00275FBD">
              <w:rPr>
                <w:rFonts w:ascii="Calibri" w:hAnsi="Calibri" w:cs="Calibri"/>
                <w:color w:val="000000"/>
                <w:sz w:val="22"/>
                <w:szCs w:val="22"/>
                <w:lang w:val="sl-SI" w:eastAsia="en-GB"/>
              </w:rPr>
              <w:t>gorivo</w:t>
            </w:r>
          </w:p>
        </w:tc>
        <w:tc>
          <w:tcPr>
            <w:tcW w:w="878" w:type="dxa"/>
            <w:tcBorders>
              <w:top w:val="nil"/>
              <w:left w:val="nil"/>
              <w:bottom w:val="single" w:sz="4" w:space="0" w:color="auto"/>
              <w:right w:val="single" w:sz="4" w:space="0" w:color="auto"/>
            </w:tcBorders>
            <w:shd w:val="clear" w:color="auto" w:fill="auto"/>
            <w:noWrap/>
            <w:vAlign w:val="center"/>
            <w:hideMark/>
          </w:tcPr>
          <w:p w14:paraId="04752BDA"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3</w:t>
            </w:r>
          </w:p>
        </w:tc>
        <w:tc>
          <w:tcPr>
            <w:tcW w:w="850" w:type="dxa"/>
            <w:tcBorders>
              <w:top w:val="nil"/>
              <w:left w:val="nil"/>
              <w:bottom w:val="single" w:sz="4" w:space="0" w:color="auto"/>
              <w:right w:val="single" w:sz="4" w:space="0" w:color="auto"/>
            </w:tcBorders>
            <w:shd w:val="clear" w:color="auto" w:fill="auto"/>
            <w:noWrap/>
            <w:vAlign w:val="center"/>
            <w:hideMark/>
          </w:tcPr>
          <w:p w14:paraId="1E200911"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5</w:t>
            </w:r>
          </w:p>
        </w:tc>
        <w:tc>
          <w:tcPr>
            <w:tcW w:w="783" w:type="dxa"/>
            <w:tcBorders>
              <w:top w:val="nil"/>
              <w:left w:val="nil"/>
              <w:bottom w:val="single" w:sz="4" w:space="0" w:color="auto"/>
              <w:right w:val="single" w:sz="4" w:space="0" w:color="auto"/>
            </w:tcBorders>
            <w:shd w:val="clear" w:color="auto" w:fill="auto"/>
            <w:noWrap/>
            <w:vAlign w:val="center"/>
            <w:hideMark/>
          </w:tcPr>
          <w:p w14:paraId="4E08847E"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4</w:t>
            </w:r>
          </w:p>
        </w:tc>
        <w:tc>
          <w:tcPr>
            <w:tcW w:w="749" w:type="dxa"/>
            <w:tcBorders>
              <w:top w:val="nil"/>
              <w:left w:val="nil"/>
              <w:bottom w:val="single" w:sz="4" w:space="0" w:color="auto"/>
              <w:right w:val="single" w:sz="4" w:space="0" w:color="auto"/>
            </w:tcBorders>
            <w:shd w:val="clear" w:color="auto" w:fill="auto"/>
            <w:noWrap/>
            <w:vAlign w:val="center"/>
            <w:hideMark/>
          </w:tcPr>
          <w:p w14:paraId="37CFB0A0"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12</w:t>
            </w:r>
          </w:p>
        </w:tc>
      </w:tr>
      <w:tr w:rsidR="00193698" w:rsidRPr="00275FBD" w14:paraId="6C7EC159" w14:textId="77777777" w:rsidTr="00E26431">
        <w:trPr>
          <w:trHeight w:val="288"/>
        </w:trPr>
        <w:tc>
          <w:tcPr>
            <w:tcW w:w="9040"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4675D9A" w14:textId="17F4FA61" w:rsidR="00193698" w:rsidRPr="00275FBD" w:rsidRDefault="002C4E84" w:rsidP="00E26431">
            <w:pPr>
              <w:spacing w:before="40" w:after="40"/>
              <w:jc w:val="left"/>
              <w:rPr>
                <w:rFonts w:ascii="Calibri" w:hAnsi="Calibri" w:cs="Calibri"/>
                <w:i/>
                <w:iCs/>
                <w:color w:val="000000"/>
                <w:sz w:val="22"/>
                <w:szCs w:val="22"/>
                <w:lang w:val="sl-SI" w:eastAsia="en-GB"/>
              </w:rPr>
            </w:pPr>
            <w:r w:rsidRPr="00275FBD">
              <w:rPr>
                <w:rFonts w:ascii="Calibri" w:hAnsi="Calibri" w:cs="Calibri"/>
                <w:i/>
                <w:iCs/>
                <w:color w:val="000000"/>
                <w:sz w:val="22"/>
                <w:szCs w:val="22"/>
                <w:lang w:val="sl-SI" w:eastAsia="en-GB"/>
              </w:rPr>
              <w:t>Fizično varovanje</w:t>
            </w:r>
          </w:p>
        </w:tc>
      </w:tr>
      <w:tr w:rsidR="00193698" w:rsidRPr="00275FBD" w14:paraId="0623F31A" w14:textId="77777777" w:rsidTr="00E26431">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5CC5C75" w14:textId="77777777" w:rsidR="00193698" w:rsidRPr="00275FBD" w:rsidRDefault="00193698" w:rsidP="00E26431">
            <w:pPr>
              <w:spacing w:before="40" w:after="40"/>
              <w:jc w:val="center"/>
              <w:rPr>
                <w:rFonts w:ascii="Calibri" w:hAnsi="Calibri" w:cs="Calibri"/>
                <w:sz w:val="22"/>
                <w:szCs w:val="22"/>
                <w:lang w:val="sl-SI" w:eastAsia="en-GB"/>
              </w:rPr>
            </w:pPr>
            <w:r w:rsidRPr="00275FBD">
              <w:rPr>
                <w:rFonts w:ascii="Calibri" w:hAnsi="Calibri" w:cs="Calibri"/>
                <w:sz w:val="22"/>
                <w:szCs w:val="22"/>
                <w:lang w:val="sl-SI" w:eastAsia="en-GB"/>
              </w:rPr>
              <w:t>17</w:t>
            </w:r>
          </w:p>
        </w:tc>
        <w:tc>
          <w:tcPr>
            <w:tcW w:w="5220" w:type="dxa"/>
            <w:tcBorders>
              <w:top w:val="nil"/>
              <w:left w:val="nil"/>
              <w:bottom w:val="single" w:sz="4" w:space="0" w:color="auto"/>
              <w:right w:val="single" w:sz="4" w:space="0" w:color="auto"/>
            </w:tcBorders>
            <w:shd w:val="clear" w:color="auto" w:fill="auto"/>
            <w:noWrap/>
            <w:vAlign w:val="center"/>
            <w:hideMark/>
          </w:tcPr>
          <w:p w14:paraId="1C03C85A" w14:textId="0D06C516" w:rsidR="00193698" w:rsidRPr="00275FBD" w:rsidRDefault="002C4E84" w:rsidP="002C4E84">
            <w:pPr>
              <w:spacing w:before="40" w:after="40"/>
              <w:jc w:val="left"/>
              <w:rPr>
                <w:rFonts w:ascii="Calibri" w:hAnsi="Calibri" w:cs="Calibri"/>
                <w:sz w:val="22"/>
                <w:szCs w:val="22"/>
                <w:lang w:val="sl-SI" w:eastAsia="en-GB"/>
              </w:rPr>
            </w:pPr>
            <w:r w:rsidRPr="00275FBD">
              <w:rPr>
                <w:rFonts w:ascii="Calibri" w:hAnsi="Calibri" w:cs="Calibri"/>
                <w:sz w:val="22"/>
                <w:szCs w:val="22"/>
                <w:lang w:val="sl-SI" w:eastAsia="en-GB"/>
              </w:rPr>
              <w:t>Fizično varovanje</w:t>
            </w:r>
          </w:p>
        </w:tc>
        <w:tc>
          <w:tcPr>
            <w:tcW w:w="251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829E1FC" w14:textId="77777777" w:rsidR="00193698" w:rsidRPr="00275FBD" w:rsidRDefault="00193698" w:rsidP="00E26431">
            <w:pPr>
              <w:spacing w:before="40" w:after="40"/>
              <w:jc w:val="center"/>
              <w:rPr>
                <w:rFonts w:ascii="Calibri" w:hAnsi="Calibri" w:cs="Calibri"/>
                <w:sz w:val="22"/>
                <w:szCs w:val="22"/>
                <w:lang w:val="sl-SI" w:eastAsia="en-GB"/>
              </w:rPr>
            </w:pPr>
            <w:r w:rsidRPr="00275FBD">
              <w:rPr>
                <w:rFonts w:ascii="Calibri" w:hAnsi="Calibri" w:cs="Calibri"/>
                <w:sz w:val="22"/>
                <w:szCs w:val="22"/>
                <w:lang w:val="sl-SI" w:eastAsia="en-GB"/>
              </w:rPr>
              <w:t>N/A</w:t>
            </w:r>
          </w:p>
        </w:tc>
        <w:tc>
          <w:tcPr>
            <w:tcW w:w="749" w:type="dxa"/>
            <w:tcBorders>
              <w:top w:val="nil"/>
              <w:left w:val="nil"/>
              <w:bottom w:val="single" w:sz="4" w:space="0" w:color="auto"/>
              <w:right w:val="single" w:sz="4" w:space="0" w:color="auto"/>
            </w:tcBorders>
            <w:shd w:val="clear" w:color="auto" w:fill="auto"/>
            <w:noWrap/>
            <w:vAlign w:val="center"/>
            <w:hideMark/>
          </w:tcPr>
          <w:p w14:paraId="59CF70B7" w14:textId="77777777" w:rsidR="00193698" w:rsidRPr="00275FBD" w:rsidRDefault="00193698" w:rsidP="00E26431">
            <w:pPr>
              <w:spacing w:before="40" w:after="40"/>
              <w:jc w:val="center"/>
              <w:rPr>
                <w:rFonts w:ascii="Calibri" w:hAnsi="Calibri" w:cs="Calibri"/>
                <w:sz w:val="22"/>
                <w:szCs w:val="22"/>
                <w:lang w:val="sl-SI" w:eastAsia="en-GB"/>
              </w:rPr>
            </w:pPr>
            <w:r w:rsidRPr="00275FBD">
              <w:rPr>
                <w:rFonts w:ascii="Calibri" w:hAnsi="Calibri" w:cs="Calibri"/>
                <w:sz w:val="22"/>
                <w:szCs w:val="22"/>
                <w:lang w:val="sl-SI" w:eastAsia="en-GB"/>
              </w:rPr>
              <w:t>1</w:t>
            </w:r>
          </w:p>
        </w:tc>
      </w:tr>
      <w:tr w:rsidR="00193698" w:rsidRPr="00275FBD" w14:paraId="1045B3F6" w14:textId="77777777" w:rsidTr="00E26431">
        <w:trPr>
          <w:trHeight w:val="288"/>
        </w:trPr>
        <w:tc>
          <w:tcPr>
            <w:tcW w:w="9040"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C31DF06" w14:textId="4FB17F35" w:rsidR="00193698" w:rsidRPr="00275FBD" w:rsidRDefault="002C4E84" w:rsidP="00E26431">
            <w:pPr>
              <w:spacing w:before="40" w:after="40"/>
              <w:jc w:val="left"/>
              <w:rPr>
                <w:rFonts w:ascii="Calibri" w:hAnsi="Calibri" w:cs="Calibri"/>
                <w:i/>
                <w:iCs/>
                <w:sz w:val="22"/>
                <w:szCs w:val="22"/>
                <w:lang w:val="sl-SI" w:eastAsia="en-GB"/>
              </w:rPr>
            </w:pPr>
            <w:r w:rsidRPr="00275FBD">
              <w:rPr>
                <w:rFonts w:ascii="Calibri" w:hAnsi="Calibri" w:cs="Calibri"/>
                <w:i/>
                <w:iCs/>
                <w:sz w:val="22"/>
                <w:szCs w:val="22"/>
                <w:lang w:val="sl-SI" w:eastAsia="en-GB"/>
              </w:rPr>
              <w:t>Varstvo pred sevanji</w:t>
            </w:r>
          </w:p>
        </w:tc>
      </w:tr>
      <w:tr w:rsidR="00193698" w:rsidRPr="00275FBD" w14:paraId="1708F246" w14:textId="77777777" w:rsidTr="00E26431">
        <w:trPr>
          <w:trHeight w:val="28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15A27B"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18</w:t>
            </w:r>
          </w:p>
        </w:tc>
        <w:tc>
          <w:tcPr>
            <w:tcW w:w="5220" w:type="dxa"/>
            <w:tcBorders>
              <w:top w:val="nil"/>
              <w:left w:val="nil"/>
              <w:bottom w:val="single" w:sz="4" w:space="0" w:color="auto"/>
              <w:right w:val="single" w:sz="4" w:space="0" w:color="auto"/>
            </w:tcBorders>
            <w:shd w:val="clear" w:color="auto" w:fill="auto"/>
            <w:noWrap/>
            <w:vAlign w:val="center"/>
            <w:hideMark/>
          </w:tcPr>
          <w:p w14:paraId="220738C7" w14:textId="0A7018C2" w:rsidR="00193698" w:rsidRPr="00275FBD" w:rsidRDefault="002C4E84" w:rsidP="00E26431">
            <w:pPr>
              <w:spacing w:before="40" w:after="40"/>
              <w:jc w:val="left"/>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Varstvo pred sevanji</w:t>
            </w:r>
          </w:p>
        </w:tc>
        <w:tc>
          <w:tcPr>
            <w:tcW w:w="878" w:type="dxa"/>
            <w:tcBorders>
              <w:top w:val="nil"/>
              <w:left w:val="nil"/>
              <w:bottom w:val="single" w:sz="4" w:space="0" w:color="auto"/>
              <w:right w:val="single" w:sz="4" w:space="0" w:color="auto"/>
            </w:tcBorders>
            <w:shd w:val="clear" w:color="auto" w:fill="auto"/>
            <w:noWrap/>
            <w:vAlign w:val="center"/>
          </w:tcPr>
          <w:p w14:paraId="0A19F9F2" w14:textId="79BEB0C8" w:rsidR="00193698" w:rsidRPr="00275FBD" w:rsidRDefault="00193698" w:rsidP="00E26431">
            <w:pPr>
              <w:spacing w:before="40" w:after="40"/>
              <w:jc w:val="center"/>
              <w:rPr>
                <w:rFonts w:ascii="Calibri" w:hAnsi="Calibri" w:cs="Calibri"/>
                <w:color w:val="000000"/>
                <w:sz w:val="22"/>
                <w:szCs w:val="22"/>
                <w:lang w:val="sl-SI" w:eastAsia="en-GB"/>
              </w:rPr>
            </w:pPr>
          </w:p>
        </w:tc>
        <w:tc>
          <w:tcPr>
            <w:tcW w:w="850" w:type="dxa"/>
            <w:tcBorders>
              <w:top w:val="nil"/>
              <w:left w:val="nil"/>
              <w:bottom w:val="single" w:sz="4" w:space="0" w:color="auto"/>
              <w:right w:val="single" w:sz="4" w:space="0" w:color="auto"/>
            </w:tcBorders>
            <w:shd w:val="clear" w:color="auto" w:fill="auto"/>
            <w:noWrap/>
            <w:vAlign w:val="center"/>
            <w:hideMark/>
          </w:tcPr>
          <w:p w14:paraId="21966F9D"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2</w:t>
            </w:r>
          </w:p>
        </w:tc>
        <w:tc>
          <w:tcPr>
            <w:tcW w:w="783" w:type="dxa"/>
            <w:tcBorders>
              <w:top w:val="nil"/>
              <w:left w:val="nil"/>
              <w:bottom w:val="single" w:sz="4" w:space="0" w:color="auto"/>
              <w:right w:val="single" w:sz="4" w:space="0" w:color="auto"/>
            </w:tcBorders>
            <w:shd w:val="clear" w:color="auto" w:fill="auto"/>
            <w:noWrap/>
            <w:vAlign w:val="center"/>
            <w:hideMark/>
          </w:tcPr>
          <w:p w14:paraId="2344A471"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26</w:t>
            </w:r>
          </w:p>
        </w:tc>
        <w:tc>
          <w:tcPr>
            <w:tcW w:w="749" w:type="dxa"/>
            <w:tcBorders>
              <w:top w:val="nil"/>
              <w:left w:val="nil"/>
              <w:bottom w:val="single" w:sz="4" w:space="0" w:color="auto"/>
              <w:right w:val="single" w:sz="4" w:space="0" w:color="auto"/>
            </w:tcBorders>
            <w:shd w:val="clear" w:color="auto" w:fill="auto"/>
            <w:noWrap/>
            <w:vAlign w:val="center"/>
            <w:hideMark/>
          </w:tcPr>
          <w:p w14:paraId="1B6544B1"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28</w:t>
            </w:r>
          </w:p>
        </w:tc>
      </w:tr>
      <w:tr w:rsidR="00193698" w:rsidRPr="00275FBD" w14:paraId="5B77E89F" w14:textId="77777777" w:rsidTr="00E26431">
        <w:trPr>
          <w:trHeight w:val="288"/>
        </w:trPr>
        <w:tc>
          <w:tcPr>
            <w:tcW w:w="560" w:type="dxa"/>
            <w:tcBorders>
              <w:top w:val="nil"/>
              <w:left w:val="nil"/>
              <w:bottom w:val="nil"/>
              <w:right w:val="nil"/>
            </w:tcBorders>
            <w:shd w:val="clear" w:color="auto" w:fill="auto"/>
            <w:noWrap/>
            <w:vAlign w:val="center"/>
            <w:hideMark/>
          </w:tcPr>
          <w:p w14:paraId="4D433534" w14:textId="07E0330C" w:rsidR="00193698" w:rsidRPr="00275FBD" w:rsidRDefault="00193698" w:rsidP="00E26431">
            <w:pPr>
              <w:spacing w:before="40" w:after="40"/>
              <w:jc w:val="center"/>
              <w:rPr>
                <w:rFonts w:ascii="Calibri" w:hAnsi="Calibri" w:cs="Calibri"/>
                <w:color w:val="000000"/>
                <w:sz w:val="22"/>
                <w:szCs w:val="22"/>
                <w:lang w:val="sl-SI" w:eastAsia="en-GB"/>
              </w:rPr>
            </w:pPr>
          </w:p>
        </w:tc>
        <w:tc>
          <w:tcPr>
            <w:tcW w:w="5220" w:type="dxa"/>
            <w:tcBorders>
              <w:top w:val="nil"/>
              <w:left w:val="nil"/>
              <w:bottom w:val="nil"/>
              <w:right w:val="nil"/>
            </w:tcBorders>
            <w:shd w:val="clear" w:color="auto" w:fill="auto"/>
            <w:noWrap/>
            <w:vAlign w:val="center"/>
            <w:hideMark/>
          </w:tcPr>
          <w:p w14:paraId="265CFA90" w14:textId="2390E3C4" w:rsidR="00193698" w:rsidRPr="00275FBD" w:rsidRDefault="00193698" w:rsidP="00E26431">
            <w:pPr>
              <w:spacing w:before="40" w:after="40"/>
              <w:jc w:val="center"/>
              <w:rPr>
                <w:rFonts w:ascii="Calibri" w:hAnsi="Calibri" w:cs="Calibri"/>
                <w:color w:val="000000"/>
                <w:sz w:val="22"/>
                <w:szCs w:val="22"/>
                <w:lang w:val="sl-SI" w:eastAsia="en-GB"/>
              </w:rPr>
            </w:pPr>
          </w:p>
        </w:tc>
        <w:tc>
          <w:tcPr>
            <w:tcW w:w="2511" w:type="dxa"/>
            <w:gridSpan w:val="3"/>
            <w:tcBorders>
              <w:top w:val="single" w:sz="4" w:space="0" w:color="auto"/>
              <w:left w:val="nil"/>
              <w:bottom w:val="single" w:sz="4" w:space="0" w:color="auto"/>
              <w:right w:val="nil"/>
            </w:tcBorders>
            <w:shd w:val="clear" w:color="auto" w:fill="auto"/>
            <w:noWrap/>
            <w:vAlign w:val="center"/>
            <w:hideMark/>
          </w:tcPr>
          <w:p w14:paraId="580524A7" w14:textId="13F5F3B5" w:rsidR="00193698" w:rsidRPr="00275FBD" w:rsidRDefault="002D7719" w:rsidP="00E26431">
            <w:pPr>
              <w:spacing w:before="40" w:after="40"/>
              <w:jc w:val="center"/>
              <w:rPr>
                <w:rFonts w:ascii="Calibri" w:hAnsi="Calibri" w:cs="Calibri"/>
                <w:color w:val="000000"/>
                <w:sz w:val="22"/>
                <w:szCs w:val="22"/>
                <w:lang w:val="sl-SI" w:eastAsia="en-GB"/>
              </w:rPr>
            </w:pPr>
            <w:r>
              <w:rPr>
                <w:rFonts w:ascii="Calibri" w:hAnsi="Calibri" w:cs="Calibri"/>
                <w:color w:val="000000"/>
                <w:sz w:val="22"/>
                <w:szCs w:val="22"/>
                <w:lang w:val="sl-SI" w:eastAsia="en-GB"/>
              </w:rPr>
              <w:t xml:space="preserve">Delna </w:t>
            </w:r>
            <w:r w:rsidRPr="00275FBD">
              <w:rPr>
                <w:rFonts w:ascii="Calibri" w:hAnsi="Calibri" w:cs="Calibri"/>
                <w:color w:val="000000"/>
                <w:sz w:val="22"/>
                <w:szCs w:val="22"/>
                <w:lang w:val="sl-SI" w:eastAsia="en-GB"/>
              </w:rPr>
              <w:t>vsota</w:t>
            </w:r>
          </w:p>
        </w:tc>
        <w:tc>
          <w:tcPr>
            <w:tcW w:w="749" w:type="dxa"/>
            <w:tcBorders>
              <w:top w:val="nil"/>
              <w:left w:val="nil"/>
              <w:bottom w:val="single" w:sz="4" w:space="0" w:color="auto"/>
              <w:right w:val="nil"/>
            </w:tcBorders>
            <w:shd w:val="clear" w:color="auto" w:fill="auto"/>
            <w:noWrap/>
            <w:vAlign w:val="center"/>
            <w:hideMark/>
          </w:tcPr>
          <w:p w14:paraId="585BF94D"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211</w:t>
            </w:r>
          </w:p>
        </w:tc>
      </w:tr>
      <w:tr w:rsidR="00193698" w:rsidRPr="00275FBD" w14:paraId="683192F9" w14:textId="77777777" w:rsidTr="00E26431">
        <w:trPr>
          <w:trHeight w:val="288"/>
        </w:trPr>
        <w:tc>
          <w:tcPr>
            <w:tcW w:w="560" w:type="dxa"/>
            <w:tcBorders>
              <w:top w:val="nil"/>
              <w:left w:val="nil"/>
              <w:bottom w:val="nil"/>
              <w:right w:val="nil"/>
            </w:tcBorders>
            <w:shd w:val="clear" w:color="auto" w:fill="auto"/>
            <w:noWrap/>
            <w:vAlign w:val="center"/>
            <w:hideMark/>
          </w:tcPr>
          <w:p w14:paraId="2223F9F3" w14:textId="77777777" w:rsidR="00193698" w:rsidRPr="00275FBD" w:rsidRDefault="00193698" w:rsidP="00E26431">
            <w:pPr>
              <w:spacing w:before="40" w:after="40"/>
              <w:jc w:val="center"/>
              <w:rPr>
                <w:rFonts w:ascii="Calibri" w:hAnsi="Calibri" w:cs="Calibri"/>
                <w:color w:val="000000"/>
                <w:sz w:val="22"/>
                <w:szCs w:val="22"/>
                <w:lang w:val="sl-SI" w:eastAsia="en-GB"/>
              </w:rPr>
            </w:pPr>
          </w:p>
        </w:tc>
        <w:tc>
          <w:tcPr>
            <w:tcW w:w="5220" w:type="dxa"/>
            <w:tcBorders>
              <w:top w:val="nil"/>
              <w:left w:val="nil"/>
              <w:bottom w:val="nil"/>
              <w:right w:val="nil"/>
            </w:tcBorders>
            <w:shd w:val="clear" w:color="auto" w:fill="auto"/>
            <w:noWrap/>
            <w:vAlign w:val="center"/>
            <w:hideMark/>
          </w:tcPr>
          <w:p w14:paraId="59389F1D" w14:textId="77777777" w:rsidR="00193698" w:rsidRPr="00275FBD" w:rsidRDefault="00193698" w:rsidP="00E26431">
            <w:pPr>
              <w:spacing w:before="40" w:after="40"/>
              <w:jc w:val="center"/>
              <w:rPr>
                <w:rFonts w:ascii="Times New Roman" w:hAnsi="Times New Roman"/>
                <w:szCs w:val="20"/>
                <w:lang w:val="sl-SI" w:eastAsia="en-GB"/>
              </w:rPr>
            </w:pPr>
          </w:p>
        </w:tc>
        <w:tc>
          <w:tcPr>
            <w:tcW w:w="2511" w:type="dxa"/>
            <w:gridSpan w:val="3"/>
            <w:tcBorders>
              <w:top w:val="nil"/>
              <w:left w:val="nil"/>
              <w:bottom w:val="nil"/>
              <w:right w:val="nil"/>
            </w:tcBorders>
            <w:shd w:val="clear" w:color="auto" w:fill="auto"/>
            <w:noWrap/>
            <w:vAlign w:val="center"/>
            <w:hideMark/>
          </w:tcPr>
          <w:p w14:paraId="6C3D1272" w14:textId="570466F9"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Re</w:t>
            </w:r>
            <w:r w:rsidR="00E26431" w:rsidRPr="00275FBD">
              <w:rPr>
                <w:rFonts w:ascii="Calibri" w:hAnsi="Calibri" w:cs="Calibri"/>
                <w:color w:val="000000"/>
                <w:sz w:val="22"/>
                <w:szCs w:val="22"/>
                <w:lang w:val="sl-SI" w:eastAsia="en-GB"/>
              </w:rPr>
              <w:t>šenih v teku PSR3</w:t>
            </w:r>
          </w:p>
        </w:tc>
        <w:tc>
          <w:tcPr>
            <w:tcW w:w="749" w:type="dxa"/>
            <w:tcBorders>
              <w:top w:val="nil"/>
              <w:left w:val="nil"/>
              <w:bottom w:val="nil"/>
              <w:right w:val="nil"/>
            </w:tcBorders>
            <w:shd w:val="clear" w:color="auto" w:fill="auto"/>
            <w:noWrap/>
            <w:vAlign w:val="center"/>
            <w:hideMark/>
          </w:tcPr>
          <w:p w14:paraId="7DF9835D"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28</w:t>
            </w:r>
          </w:p>
        </w:tc>
      </w:tr>
      <w:tr w:rsidR="00193698" w:rsidRPr="00275FBD" w14:paraId="75D861A0" w14:textId="77777777" w:rsidTr="00E26431">
        <w:trPr>
          <w:trHeight w:val="288"/>
        </w:trPr>
        <w:tc>
          <w:tcPr>
            <w:tcW w:w="560" w:type="dxa"/>
            <w:tcBorders>
              <w:top w:val="nil"/>
              <w:left w:val="nil"/>
              <w:bottom w:val="nil"/>
              <w:right w:val="nil"/>
            </w:tcBorders>
            <w:shd w:val="clear" w:color="auto" w:fill="auto"/>
            <w:noWrap/>
            <w:vAlign w:val="center"/>
            <w:hideMark/>
          </w:tcPr>
          <w:p w14:paraId="50E054F7" w14:textId="77777777" w:rsidR="00193698" w:rsidRPr="00275FBD" w:rsidRDefault="00193698" w:rsidP="00E26431">
            <w:pPr>
              <w:spacing w:before="40" w:after="40"/>
              <w:jc w:val="center"/>
              <w:rPr>
                <w:rFonts w:ascii="Calibri" w:hAnsi="Calibri" w:cs="Calibri"/>
                <w:color w:val="000000"/>
                <w:sz w:val="22"/>
                <w:szCs w:val="22"/>
                <w:lang w:val="sl-SI" w:eastAsia="en-GB"/>
              </w:rPr>
            </w:pPr>
          </w:p>
        </w:tc>
        <w:tc>
          <w:tcPr>
            <w:tcW w:w="5220" w:type="dxa"/>
            <w:tcBorders>
              <w:top w:val="nil"/>
              <w:left w:val="nil"/>
              <w:bottom w:val="nil"/>
              <w:right w:val="nil"/>
            </w:tcBorders>
            <w:shd w:val="clear" w:color="auto" w:fill="auto"/>
            <w:noWrap/>
            <w:vAlign w:val="center"/>
            <w:hideMark/>
          </w:tcPr>
          <w:p w14:paraId="492860E5" w14:textId="77777777" w:rsidR="00193698" w:rsidRPr="00275FBD" w:rsidRDefault="00193698" w:rsidP="00E26431">
            <w:pPr>
              <w:spacing w:before="40" w:after="40"/>
              <w:jc w:val="center"/>
              <w:rPr>
                <w:rFonts w:ascii="Times New Roman" w:hAnsi="Times New Roman"/>
                <w:szCs w:val="20"/>
                <w:lang w:val="sl-SI" w:eastAsia="en-GB"/>
              </w:rPr>
            </w:pPr>
          </w:p>
        </w:tc>
        <w:tc>
          <w:tcPr>
            <w:tcW w:w="2511" w:type="dxa"/>
            <w:gridSpan w:val="3"/>
            <w:tcBorders>
              <w:top w:val="nil"/>
              <w:left w:val="nil"/>
              <w:bottom w:val="single" w:sz="4" w:space="0" w:color="auto"/>
              <w:right w:val="nil"/>
            </w:tcBorders>
            <w:shd w:val="clear" w:color="auto" w:fill="auto"/>
            <w:noWrap/>
            <w:vAlign w:val="center"/>
            <w:hideMark/>
          </w:tcPr>
          <w:p w14:paraId="2D1A10E0" w14:textId="1DC7CBE2" w:rsidR="00193698" w:rsidRPr="00275FBD" w:rsidRDefault="00E26431"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w:t>
            </w:r>
            <w:r w:rsidR="00193698" w:rsidRPr="00275FBD">
              <w:rPr>
                <w:rFonts w:ascii="Calibri" w:hAnsi="Calibri" w:cs="Calibri"/>
                <w:color w:val="000000"/>
                <w:sz w:val="22"/>
                <w:szCs w:val="22"/>
                <w:lang w:val="sl-SI" w:eastAsia="en-GB"/>
              </w:rPr>
              <w:t>IRR</w:t>
            </w:r>
            <w:r w:rsidRPr="00275FBD">
              <w:rPr>
                <w:rFonts w:ascii="Calibri" w:hAnsi="Calibri" w:cs="Calibri"/>
                <w:color w:val="000000"/>
                <w:sz w:val="22"/>
                <w:szCs w:val="22"/>
                <w:lang w:val="sl-SI" w:eastAsia="en-GB"/>
              </w:rPr>
              <w:t>«</w:t>
            </w:r>
          </w:p>
        </w:tc>
        <w:tc>
          <w:tcPr>
            <w:tcW w:w="749" w:type="dxa"/>
            <w:tcBorders>
              <w:top w:val="nil"/>
              <w:left w:val="nil"/>
              <w:bottom w:val="single" w:sz="4" w:space="0" w:color="auto"/>
              <w:right w:val="nil"/>
            </w:tcBorders>
            <w:shd w:val="clear" w:color="auto" w:fill="auto"/>
            <w:noWrap/>
            <w:vAlign w:val="center"/>
            <w:hideMark/>
          </w:tcPr>
          <w:p w14:paraId="5C06397D"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15</w:t>
            </w:r>
          </w:p>
        </w:tc>
      </w:tr>
      <w:tr w:rsidR="00193698" w:rsidRPr="00275FBD" w14:paraId="47D9DD78" w14:textId="77777777" w:rsidTr="00E26431">
        <w:trPr>
          <w:trHeight w:val="288"/>
        </w:trPr>
        <w:tc>
          <w:tcPr>
            <w:tcW w:w="560" w:type="dxa"/>
            <w:tcBorders>
              <w:top w:val="nil"/>
              <w:left w:val="nil"/>
              <w:bottom w:val="nil"/>
              <w:right w:val="nil"/>
            </w:tcBorders>
            <w:shd w:val="clear" w:color="auto" w:fill="auto"/>
            <w:noWrap/>
            <w:vAlign w:val="center"/>
            <w:hideMark/>
          </w:tcPr>
          <w:p w14:paraId="09262293" w14:textId="77777777" w:rsidR="00193698" w:rsidRPr="00275FBD" w:rsidRDefault="00193698" w:rsidP="00E26431">
            <w:pPr>
              <w:spacing w:before="40" w:after="40"/>
              <w:jc w:val="center"/>
              <w:rPr>
                <w:rFonts w:ascii="Calibri" w:hAnsi="Calibri" w:cs="Calibri"/>
                <w:color w:val="000000"/>
                <w:sz w:val="22"/>
                <w:szCs w:val="22"/>
                <w:lang w:val="sl-SI" w:eastAsia="en-GB"/>
              </w:rPr>
            </w:pPr>
          </w:p>
        </w:tc>
        <w:tc>
          <w:tcPr>
            <w:tcW w:w="5220" w:type="dxa"/>
            <w:tcBorders>
              <w:top w:val="nil"/>
              <w:left w:val="nil"/>
              <w:bottom w:val="nil"/>
              <w:right w:val="nil"/>
            </w:tcBorders>
            <w:shd w:val="clear" w:color="auto" w:fill="auto"/>
            <w:noWrap/>
            <w:vAlign w:val="center"/>
            <w:hideMark/>
          </w:tcPr>
          <w:p w14:paraId="1709272A" w14:textId="77777777" w:rsidR="00193698" w:rsidRPr="00275FBD" w:rsidRDefault="00193698" w:rsidP="00E26431">
            <w:pPr>
              <w:spacing w:before="40" w:after="40"/>
              <w:jc w:val="center"/>
              <w:rPr>
                <w:rFonts w:ascii="Times New Roman" w:hAnsi="Times New Roman"/>
                <w:szCs w:val="20"/>
                <w:lang w:val="sl-SI" w:eastAsia="en-GB"/>
              </w:rPr>
            </w:pPr>
          </w:p>
        </w:tc>
        <w:tc>
          <w:tcPr>
            <w:tcW w:w="2511" w:type="dxa"/>
            <w:gridSpan w:val="3"/>
            <w:tcBorders>
              <w:top w:val="nil"/>
              <w:left w:val="nil"/>
              <w:bottom w:val="nil"/>
              <w:right w:val="nil"/>
            </w:tcBorders>
            <w:shd w:val="clear" w:color="auto" w:fill="auto"/>
            <w:noWrap/>
            <w:vAlign w:val="center"/>
            <w:hideMark/>
          </w:tcPr>
          <w:p w14:paraId="55302DDB" w14:textId="5D9330C8" w:rsidR="00193698" w:rsidRPr="00275FBD" w:rsidRDefault="002D7719" w:rsidP="00E26431">
            <w:pPr>
              <w:spacing w:before="40" w:after="40"/>
              <w:jc w:val="center"/>
              <w:rPr>
                <w:rFonts w:ascii="Calibri" w:hAnsi="Calibri" w:cs="Calibri"/>
                <w:color w:val="000000"/>
                <w:sz w:val="22"/>
                <w:szCs w:val="22"/>
                <w:lang w:val="sl-SI" w:eastAsia="en-GB"/>
              </w:rPr>
            </w:pPr>
            <w:r>
              <w:rPr>
                <w:rFonts w:ascii="Calibri" w:hAnsi="Calibri" w:cs="Calibri"/>
                <w:color w:val="000000"/>
                <w:sz w:val="22"/>
                <w:szCs w:val="22"/>
                <w:lang w:val="sl-SI" w:eastAsia="en-GB"/>
              </w:rPr>
              <w:t>Skupna v</w:t>
            </w:r>
            <w:r w:rsidR="00E26431" w:rsidRPr="00275FBD">
              <w:rPr>
                <w:rFonts w:ascii="Calibri" w:hAnsi="Calibri" w:cs="Calibri"/>
                <w:color w:val="000000"/>
                <w:sz w:val="22"/>
                <w:szCs w:val="22"/>
                <w:lang w:val="sl-SI" w:eastAsia="en-GB"/>
              </w:rPr>
              <w:t>sota</w:t>
            </w:r>
          </w:p>
        </w:tc>
        <w:tc>
          <w:tcPr>
            <w:tcW w:w="749" w:type="dxa"/>
            <w:tcBorders>
              <w:top w:val="nil"/>
              <w:left w:val="nil"/>
              <w:bottom w:val="nil"/>
              <w:right w:val="nil"/>
            </w:tcBorders>
            <w:shd w:val="clear" w:color="auto" w:fill="auto"/>
            <w:noWrap/>
            <w:vAlign w:val="center"/>
            <w:hideMark/>
          </w:tcPr>
          <w:p w14:paraId="345BFBDB" w14:textId="77777777" w:rsidR="00193698" w:rsidRPr="00275FBD" w:rsidRDefault="00193698" w:rsidP="00E26431">
            <w:pPr>
              <w:spacing w:before="40" w:after="40"/>
              <w:jc w:val="center"/>
              <w:rPr>
                <w:rFonts w:ascii="Calibri" w:hAnsi="Calibri" w:cs="Calibri"/>
                <w:color w:val="000000"/>
                <w:sz w:val="22"/>
                <w:szCs w:val="22"/>
                <w:lang w:val="sl-SI" w:eastAsia="en-GB"/>
              </w:rPr>
            </w:pPr>
            <w:r w:rsidRPr="00275FBD">
              <w:rPr>
                <w:rFonts w:ascii="Calibri" w:hAnsi="Calibri" w:cs="Calibri"/>
                <w:color w:val="000000"/>
                <w:sz w:val="22"/>
                <w:szCs w:val="22"/>
                <w:lang w:val="sl-SI" w:eastAsia="en-GB"/>
              </w:rPr>
              <w:t>254</w:t>
            </w:r>
          </w:p>
        </w:tc>
      </w:tr>
    </w:tbl>
    <w:p w14:paraId="1DE9848C" w14:textId="77777777" w:rsidR="00217E32" w:rsidRPr="00275FBD" w:rsidRDefault="00217E32" w:rsidP="000A763E">
      <w:pPr>
        <w:rPr>
          <w:lang w:val="sl-SI"/>
        </w:rPr>
      </w:pPr>
    </w:p>
    <w:p w14:paraId="228EC268" w14:textId="77777777" w:rsidR="00ED3A9C" w:rsidRPr="00275FBD" w:rsidRDefault="00ED3A9C" w:rsidP="009202D5">
      <w:pPr>
        <w:spacing w:before="0" w:after="0"/>
        <w:rPr>
          <w:sz w:val="2"/>
          <w:szCs w:val="2"/>
          <w:lang w:val="sl-SI"/>
        </w:rPr>
      </w:pPr>
    </w:p>
    <w:p w14:paraId="59C4D790" w14:textId="77777777" w:rsidR="009E5BCC" w:rsidRPr="00275FBD" w:rsidRDefault="00F7109F" w:rsidP="00F7109F">
      <w:pPr>
        <w:spacing w:before="0" w:after="0"/>
        <w:rPr>
          <w:sz w:val="2"/>
          <w:szCs w:val="2"/>
          <w:lang w:val="sl-SI"/>
        </w:rPr>
      </w:pPr>
      <w:r w:rsidRPr="00275FBD">
        <w:rPr>
          <w:lang w:val="sl-SI"/>
        </w:rPr>
        <w:br w:type="page"/>
      </w:r>
    </w:p>
    <w:p w14:paraId="6F8E8999" w14:textId="5857325B" w:rsidR="00830C07" w:rsidRPr="004111F1" w:rsidRDefault="002C4E84" w:rsidP="00120443">
      <w:pPr>
        <w:pStyle w:val="Naslov1"/>
        <w:rPr>
          <w:lang w:val="sl-SI"/>
        </w:rPr>
      </w:pPr>
      <w:bookmarkStart w:id="51" w:name="_Ref138424885"/>
      <w:bookmarkStart w:id="52" w:name="_Ref138432221"/>
      <w:bookmarkStart w:id="53" w:name="_Toc163197426"/>
      <w:r w:rsidRPr="004111F1">
        <w:rPr>
          <w:lang w:val="sl-SI"/>
        </w:rPr>
        <w:lastRenderedPageBreak/>
        <w:t xml:space="preserve">Ocena učinka </w:t>
      </w:r>
      <w:r w:rsidR="008335E8">
        <w:rPr>
          <w:lang w:val="sl-SI"/>
        </w:rPr>
        <w:t>povezav</w:t>
      </w:r>
      <w:bookmarkEnd w:id="51"/>
      <w:bookmarkEnd w:id="52"/>
      <w:bookmarkEnd w:id="53"/>
    </w:p>
    <w:p w14:paraId="5BF1B604" w14:textId="1D0B58D6" w:rsidR="002C4E84" w:rsidRPr="00275FBD" w:rsidRDefault="00463518" w:rsidP="002C4E84">
      <w:pPr>
        <w:rPr>
          <w:lang w:val="sl-SI" w:eastAsia="en-GB"/>
        </w:rPr>
      </w:pPr>
      <w:r w:rsidRPr="005F56C2">
        <w:rPr>
          <w:lang w:val="sl-SI"/>
        </w:rPr>
        <w:t xml:space="preserve">Smernica </w:t>
      </w:r>
      <w:r w:rsidR="002C4E84" w:rsidRPr="005F56C2">
        <w:rPr>
          <w:lang w:val="sl-SI" w:eastAsia="en-GB"/>
        </w:rPr>
        <w:t xml:space="preserve">IAEA </w:t>
      </w:r>
      <w:r w:rsidRPr="005F56C2">
        <w:rPr>
          <w:lang w:val="sl-SI" w:eastAsia="en-GB"/>
        </w:rPr>
        <w:t xml:space="preserve">za </w:t>
      </w:r>
      <w:r w:rsidR="002C4E84" w:rsidRPr="005F56C2">
        <w:rPr>
          <w:lang w:val="sl-SI" w:eastAsia="en-GB"/>
        </w:rPr>
        <w:t xml:space="preserve">PSR </w:t>
      </w:r>
      <w:r w:rsidR="002C4E84" w:rsidRPr="005F56C2">
        <w:rPr>
          <w:lang w:val="sl-SI" w:eastAsia="en-GB"/>
        </w:rPr>
        <w:fldChar w:fldCharType="begin"/>
      </w:r>
      <w:r w:rsidR="002C4E84" w:rsidRPr="005F56C2">
        <w:rPr>
          <w:lang w:val="sl-SI" w:eastAsia="en-GB"/>
        </w:rPr>
        <w:instrText xml:space="preserve"> REF _Ref129855843 \r \h </w:instrText>
      </w:r>
      <w:r w:rsidR="005C7EA6" w:rsidRPr="005F56C2">
        <w:rPr>
          <w:lang w:val="sl-SI" w:eastAsia="en-GB"/>
        </w:rPr>
        <w:instrText xml:space="preserve"> \* MERGEFORMAT </w:instrText>
      </w:r>
      <w:r w:rsidR="002C4E84" w:rsidRPr="005F56C2">
        <w:rPr>
          <w:lang w:val="sl-SI" w:eastAsia="en-GB"/>
        </w:rPr>
      </w:r>
      <w:r w:rsidR="002C4E84" w:rsidRPr="005F56C2">
        <w:rPr>
          <w:lang w:val="sl-SI" w:eastAsia="en-GB"/>
        </w:rPr>
        <w:fldChar w:fldCharType="separate"/>
      </w:r>
      <w:r w:rsidR="00BA25CD">
        <w:rPr>
          <w:lang w:val="sl-SI" w:eastAsia="en-GB"/>
        </w:rPr>
        <w:t>[8]</w:t>
      </w:r>
      <w:r w:rsidR="002C4E84" w:rsidRPr="005F56C2">
        <w:rPr>
          <w:lang w:val="sl-SI" w:eastAsia="en-GB"/>
        </w:rPr>
        <w:fldChar w:fldCharType="end"/>
      </w:r>
      <w:r w:rsidR="002C4E84" w:rsidRPr="005F56C2">
        <w:rPr>
          <w:lang w:val="sl-SI" w:eastAsia="en-GB"/>
        </w:rPr>
        <w:t xml:space="preserve"> </w:t>
      </w:r>
      <w:r w:rsidR="00886359" w:rsidRPr="005F56C2">
        <w:rPr>
          <w:lang w:val="sl-SI" w:eastAsia="en-GB"/>
        </w:rPr>
        <w:t>določa</w:t>
      </w:r>
      <w:r w:rsidR="002C4E84" w:rsidRPr="005F56C2">
        <w:rPr>
          <w:lang w:val="sl-SI" w:eastAsia="en-GB"/>
        </w:rPr>
        <w:t>, da skupine</w:t>
      </w:r>
      <w:r w:rsidR="00886359" w:rsidRPr="005F56C2">
        <w:rPr>
          <w:lang w:val="sl-SI" w:eastAsia="en-GB"/>
        </w:rPr>
        <w:t xml:space="preserve"> </w:t>
      </w:r>
      <w:r w:rsidR="002C4E84" w:rsidRPr="005F56C2">
        <w:rPr>
          <w:lang w:val="sl-SI" w:eastAsia="en-GB"/>
        </w:rPr>
        <w:t>pregled</w:t>
      </w:r>
      <w:r w:rsidR="00886359" w:rsidRPr="005F56C2">
        <w:rPr>
          <w:lang w:val="sl-SI" w:eastAsia="en-GB"/>
        </w:rPr>
        <w:t>ovalcev za</w:t>
      </w:r>
      <w:r w:rsidR="002C4E84" w:rsidRPr="005F56C2">
        <w:rPr>
          <w:lang w:val="sl-SI" w:eastAsia="en-GB"/>
        </w:rPr>
        <w:t xml:space="preserve"> različne varnostne </w:t>
      </w:r>
      <w:r w:rsidR="00E1088E" w:rsidRPr="005F56C2">
        <w:rPr>
          <w:lang w:val="sl-SI"/>
        </w:rPr>
        <w:t>vsebin</w:t>
      </w:r>
      <w:r w:rsidR="002C4E84" w:rsidRPr="005F56C2">
        <w:rPr>
          <w:lang w:val="sl-SI" w:eastAsia="en-GB"/>
        </w:rPr>
        <w:t>e</w:t>
      </w:r>
      <w:r w:rsidR="002C4E84" w:rsidRPr="00275FBD">
        <w:rPr>
          <w:lang w:val="sl-SI" w:eastAsia="en-GB"/>
        </w:rPr>
        <w:t xml:space="preserve"> </w:t>
      </w:r>
      <w:r w:rsidR="00A731CB">
        <w:rPr>
          <w:lang w:val="sl-SI" w:eastAsia="en-GB"/>
        </w:rPr>
        <w:t xml:space="preserve">med sabo </w:t>
      </w:r>
      <w:r w:rsidR="002C4E84" w:rsidRPr="00275FBD">
        <w:rPr>
          <w:lang w:val="sl-SI" w:eastAsia="en-GB"/>
        </w:rPr>
        <w:t xml:space="preserve">komunicirajo med postopkom pregleda, ker so lahko ugotovitve (ali rezultati), </w:t>
      </w:r>
      <w:r w:rsidR="00886359" w:rsidRPr="00275FBD">
        <w:rPr>
          <w:lang w:val="sl-SI" w:eastAsia="en-GB"/>
        </w:rPr>
        <w:t>ugotovljen</w:t>
      </w:r>
      <w:r w:rsidR="00886359">
        <w:rPr>
          <w:lang w:val="sl-SI" w:eastAsia="en-GB"/>
        </w:rPr>
        <w:t>e</w:t>
      </w:r>
      <w:r w:rsidR="00886359" w:rsidRPr="00275FBD">
        <w:rPr>
          <w:lang w:val="sl-SI" w:eastAsia="en-GB"/>
        </w:rPr>
        <w:t xml:space="preserve"> </w:t>
      </w:r>
      <w:r w:rsidR="002C4E84" w:rsidRPr="00275FBD">
        <w:rPr>
          <w:lang w:val="sl-SI" w:eastAsia="en-GB"/>
        </w:rPr>
        <w:t xml:space="preserve">med pregledom določene varnostne </w:t>
      </w:r>
      <w:r>
        <w:rPr>
          <w:lang w:val="sl-SI" w:eastAsia="en-GB"/>
        </w:rPr>
        <w:t>vsebine</w:t>
      </w:r>
      <w:r w:rsidR="002C4E84" w:rsidRPr="00275FBD">
        <w:rPr>
          <w:lang w:val="sl-SI" w:eastAsia="en-GB"/>
        </w:rPr>
        <w:t xml:space="preserve"> pomemben prispevek </w:t>
      </w:r>
      <w:r w:rsidR="00886359">
        <w:rPr>
          <w:lang w:val="sl-SI" w:eastAsia="en-GB"/>
        </w:rPr>
        <w:t>pri</w:t>
      </w:r>
      <w:r w:rsidR="00886359" w:rsidRPr="00275FBD">
        <w:rPr>
          <w:lang w:val="sl-SI" w:eastAsia="en-GB"/>
        </w:rPr>
        <w:t xml:space="preserve"> </w:t>
      </w:r>
      <w:r w:rsidR="002C4E84" w:rsidRPr="00275FBD">
        <w:rPr>
          <w:lang w:val="sl-SI" w:eastAsia="en-GB"/>
        </w:rPr>
        <w:t xml:space="preserve">pregledu drugih varnostnih </w:t>
      </w:r>
      <w:r w:rsidR="00886359">
        <w:rPr>
          <w:lang w:val="sl-SI" w:eastAsia="en-GB"/>
        </w:rPr>
        <w:t>vsebin</w:t>
      </w:r>
      <w:r w:rsidR="002C4E84" w:rsidRPr="00275FBD">
        <w:rPr>
          <w:lang w:val="sl-SI" w:eastAsia="en-GB"/>
        </w:rPr>
        <w:t xml:space="preserve">. Prvo fazo NEK PSR3 so izvajale zunanje </w:t>
      </w:r>
      <w:r w:rsidR="00886359">
        <w:rPr>
          <w:lang w:val="sl-SI" w:eastAsia="en-GB"/>
        </w:rPr>
        <w:t>skupine pregledovalcev.</w:t>
      </w:r>
      <w:r w:rsidR="002C4E84" w:rsidRPr="00275FBD">
        <w:rPr>
          <w:lang w:val="sl-SI" w:eastAsia="en-GB"/>
        </w:rPr>
        <w:t xml:space="preserve"> </w:t>
      </w:r>
      <w:r w:rsidR="00886359">
        <w:rPr>
          <w:lang w:val="sl-SI" w:eastAsia="en-GB"/>
        </w:rPr>
        <w:t>Z</w:t>
      </w:r>
      <w:r w:rsidR="00886359" w:rsidRPr="00275FBD">
        <w:rPr>
          <w:lang w:val="sl-SI" w:eastAsia="en-GB"/>
        </w:rPr>
        <w:t xml:space="preserve">aradi </w:t>
      </w:r>
      <w:r w:rsidR="002C4E84" w:rsidRPr="00275FBD">
        <w:rPr>
          <w:lang w:val="sl-SI" w:eastAsia="en-GB"/>
        </w:rPr>
        <w:t>čas</w:t>
      </w:r>
      <w:r w:rsidR="0051391E" w:rsidRPr="00275FBD">
        <w:rPr>
          <w:lang w:val="sl-SI" w:eastAsia="en-GB"/>
        </w:rPr>
        <w:t>o</w:t>
      </w:r>
      <w:r w:rsidR="002C4E84" w:rsidRPr="00275FBD">
        <w:rPr>
          <w:lang w:val="sl-SI" w:eastAsia="en-GB"/>
        </w:rPr>
        <w:t xml:space="preserve">vnih omejitev in </w:t>
      </w:r>
      <w:r w:rsidR="00886359" w:rsidRPr="00275FBD">
        <w:rPr>
          <w:lang w:val="sl-SI" w:eastAsia="en-GB"/>
        </w:rPr>
        <w:t>del</w:t>
      </w:r>
      <w:r w:rsidR="00886359">
        <w:rPr>
          <w:lang w:val="sl-SI" w:eastAsia="en-GB"/>
        </w:rPr>
        <w:t>oma</w:t>
      </w:r>
      <w:r w:rsidR="00886359" w:rsidRPr="00275FBD">
        <w:rPr>
          <w:lang w:val="sl-SI" w:eastAsia="en-GB"/>
        </w:rPr>
        <w:t xml:space="preserve"> </w:t>
      </w:r>
      <w:r w:rsidR="002C4E84" w:rsidRPr="00275FBD">
        <w:rPr>
          <w:lang w:val="sl-SI" w:eastAsia="en-GB"/>
        </w:rPr>
        <w:t xml:space="preserve">različnega urnika dela različnih </w:t>
      </w:r>
      <w:r w:rsidR="00886359">
        <w:rPr>
          <w:lang w:val="sl-SI" w:eastAsia="en-GB"/>
        </w:rPr>
        <w:t>skupin</w:t>
      </w:r>
      <w:r w:rsidR="0051391E" w:rsidRPr="00275FBD">
        <w:rPr>
          <w:lang w:val="sl-SI" w:eastAsia="en-GB"/>
        </w:rPr>
        <w:t>,</w:t>
      </w:r>
      <w:r w:rsidR="002C4E84" w:rsidRPr="00275FBD">
        <w:rPr>
          <w:lang w:val="sl-SI" w:eastAsia="en-GB"/>
        </w:rPr>
        <w:t xml:space="preserve"> </w:t>
      </w:r>
      <w:r w:rsidR="0088439B" w:rsidRPr="00275FBD">
        <w:rPr>
          <w:lang w:val="sl-SI" w:eastAsia="en-GB"/>
        </w:rPr>
        <w:t xml:space="preserve">so </w:t>
      </w:r>
      <w:r w:rsidR="00A731CB">
        <w:rPr>
          <w:lang w:val="sl-SI" w:eastAsia="en-GB"/>
        </w:rPr>
        <w:t xml:space="preserve">lahko </w:t>
      </w:r>
      <w:r w:rsidR="0088439B" w:rsidRPr="00275FBD">
        <w:rPr>
          <w:lang w:val="sl-SI" w:eastAsia="en-GB"/>
        </w:rPr>
        <w:t>le delno</w:t>
      </w:r>
      <w:r w:rsidR="00A731CB" w:rsidRPr="00A731CB">
        <w:rPr>
          <w:lang w:val="sl-SI" w:eastAsia="en-GB"/>
        </w:rPr>
        <w:t xml:space="preserve"> </w:t>
      </w:r>
      <w:r w:rsidR="00A731CB" w:rsidRPr="00275FBD">
        <w:rPr>
          <w:lang w:val="sl-SI" w:eastAsia="en-GB"/>
        </w:rPr>
        <w:t>komunicirale</w:t>
      </w:r>
      <w:r w:rsidR="00A731CB" w:rsidRPr="00A731CB">
        <w:rPr>
          <w:lang w:val="sl-SI" w:eastAsia="en-GB"/>
        </w:rPr>
        <w:t xml:space="preserve"> </w:t>
      </w:r>
      <w:r w:rsidR="00A731CB">
        <w:rPr>
          <w:lang w:val="sl-SI" w:eastAsia="en-GB"/>
        </w:rPr>
        <w:t>med sabo</w:t>
      </w:r>
      <w:r w:rsidR="002C4E84" w:rsidRPr="00275FBD">
        <w:rPr>
          <w:lang w:val="sl-SI" w:eastAsia="en-GB"/>
        </w:rPr>
        <w:t xml:space="preserve">. </w:t>
      </w:r>
      <w:r w:rsidR="0088439B" w:rsidRPr="00275FBD">
        <w:rPr>
          <w:lang w:val="sl-SI" w:eastAsia="en-GB"/>
        </w:rPr>
        <w:t>Preostale k</w:t>
      </w:r>
      <w:r w:rsidR="002C4E84" w:rsidRPr="00275FBD">
        <w:rPr>
          <w:lang w:val="sl-SI" w:eastAsia="en-GB"/>
        </w:rPr>
        <w:t xml:space="preserve">omunikacijske povezave so bile </w:t>
      </w:r>
      <w:r w:rsidR="00AE1B81">
        <w:rPr>
          <w:lang w:val="sl-SI" w:eastAsia="en-GB"/>
        </w:rPr>
        <w:t>s</w:t>
      </w:r>
      <w:r w:rsidR="00886359">
        <w:rPr>
          <w:lang w:val="sl-SI" w:eastAsia="en-GB"/>
        </w:rPr>
        <w:t xml:space="preserve"> </w:t>
      </w:r>
      <w:r w:rsidR="00886359" w:rsidRPr="00275FBD">
        <w:rPr>
          <w:lang w:val="sl-SI" w:eastAsia="en-GB"/>
        </w:rPr>
        <w:t>pogodb</w:t>
      </w:r>
      <w:r w:rsidR="00886359">
        <w:rPr>
          <w:lang w:val="sl-SI" w:eastAsia="en-GB"/>
        </w:rPr>
        <w:t>a</w:t>
      </w:r>
      <w:r w:rsidR="00AE1B81">
        <w:rPr>
          <w:lang w:val="sl-SI" w:eastAsia="en-GB"/>
        </w:rPr>
        <w:t xml:space="preserve">mi </w:t>
      </w:r>
      <w:r w:rsidR="002C4E84" w:rsidRPr="00275FBD">
        <w:rPr>
          <w:lang w:val="sl-SI" w:eastAsia="en-GB"/>
        </w:rPr>
        <w:t>vzpostavljene med zunanjimi organizacijami in NEK.</w:t>
      </w:r>
      <w:r w:rsidR="0088439B" w:rsidRPr="00275FBD">
        <w:rPr>
          <w:lang w:val="sl-SI" w:eastAsia="en-GB"/>
        </w:rPr>
        <w:t xml:space="preserve"> </w:t>
      </w:r>
      <w:r w:rsidR="00AE1B81">
        <w:rPr>
          <w:lang w:val="sl-SI" w:eastAsia="en-GB"/>
        </w:rPr>
        <w:t xml:space="preserve">Nato je </w:t>
      </w:r>
      <w:r w:rsidR="0088439B" w:rsidRPr="00275FBD">
        <w:rPr>
          <w:lang w:val="sl-SI" w:eastAsia="en-GB"/>
        </w:rPr>
        <w:t>NEK posredovala direk</w:t>
      </w:r>
      <w:r w:rsidR="0051391E" w:rsidRPr="00275FBD">
        <w:rPr>
          <w:lang w:val="sl-SI" w:eastAsia="en-GB"/>
        </w:rPr>
        <w:t>t</w:t>
      </w:r>
      <w:r w:rsidR="0088439B" w:rsidRPr="00275FBD">
        <w:rPr>
          <w:lang w:val="sl-SI" w:eastAsia="en-GB"/>
        </w:rPr>
        <w:t xml:space="preserve">ne </w:t>
      </w:r>
      <w:r w:rsidR="008335E8">
        <w:rPr>
          <w:lang w:val="sl-SI" w:eastAsia="en-GB"/>
        </w:rPr>
        <w:t>povezav</w:t>
      </w:r>
      <w:r w:rsidR="008335E8" w:rsidRPr="00275FBD">
        <w:rPr>
          <w:lang w:val="sl-SI" w:eastAsia="en-GB"/>
        </w:rPr>
        <w:t xml:space="preserve">e </w:t>
      </w:r>
      <w:r w:rsidR="0088439B" w:rsidRPr="00275FBD">
        <w:rPr>
          <w:lang w:val="sl-SI" w:eastAsia="en-GB"/>
        </w:rPr>
        <w:t>v ustrezna tematska področja v razrešitev ali obravnavo.</w:t>
      </w:r>
    </w:p>
    <w:p w14:paraId="1AB917F5" w14:textId="7895FB0F" w:rsidR="002C4E84" w:rsidRPr="00275FBD" w:rsidRDefault="0088439B" w:rsidP="002C4E84">
      <w:pPr>
        <w:rPr>
          <w:lang w:val="sl-SI" w:eastAsia="en-GB"/>
        </w:rPr>
      </w:pPr>
      <w:r w:rsidRPr="00275FBD">
        <w:rPr>
          <w:lang w:val="sl-SI" w:eastAsia="en-GB"/>
        </w:rPr>
        <w:t>Dodatno</w:t>
      </w:r>
      <w:r w:rsidR="002C4E84" w:rsidRPr="00275FBD">
        <w:rPr>
          <w:lang w:val="sl-SI" w:eastAsia="en-GB"/>
        </w:rPr>
        <w:t xml:space="preserve"> je vsaka </w:t>
      </w:r>
      <w:r w:rsidR="00AE1B81" w:rsidRPr="00275FBD">
        <w:rPr>
          <w:lang w:val="sl-SI" w:eastAsia="en-GB"/>
        </w:rPr>
        <w:t>pre</w:t>
      </w:r>
      <w:r w:rsidR="00AE1B81">
        <w:rPr>
          <w:lang w:val="sl-SI" w:eastAsia="en-GB"/>
        </w:rPr>
        <w:t>gledo</w:t>
      </w:r>
      <w:r w:rsidR="00AE1B81" w:rsidRPr="00275FBD">
        <w:rPr>
          <w:lang w:val="sl-SI" w:eastAsia="en-GB"/>
        </w:rPr>
        <w:t xml:space="preserve">valna </w:t>
      </w:r>
      <w:r w:rsidR="002C4E84" w:rsidRPr="00275FBD">
        <w:rPr>
          <w:lang w:val="sl-SI" w:eastAsia="en-GB"/>
        </w:rPr>
        <w:t xml:space="preserve">skupina v skladu s </w:t>
      </w:r>
      <w:r w:rsidR="00AE1B81">
        <w:rPr>
          <w:lang w:val="sl-SI" w:eastAsia="en-GB"/>
        </w:rPr>
        <w:t>p</w:t>
      </w:r>
      <w:r w:rsidR="00AE1B81" w:rsidRPr="00275FBD">
        <w:rPr>
          <w:lang w:val="sl-SI" w:eastAsia="en-GB"/>
        </w:rPr>
        <w:t xml:space="preserve">rogramom </w:t>
      </w:r>
      <w:r w:rsidR="00AE1B81">
        <w:rPr>
          <w:lang w:val="sl-SI" w:eastAsia="en-GB"/>
        </w:rPr>
        <w:t>PSR3</w:t>
      </w:r>
      <w:r w:rsidR="002C4E84" w:rsidRPr="00275FBD">
        <w:rPr>
          <w:lang w:val="sl-SI" w:eastAsia="en-GB"/>
        </w:rPr>
        <w:t xml:space="preserve"> </w:t>
      </w:r>
      <w:r w:rsidR="002C4E84" w:rsidRPr="00275FBD">
        <w:rPr>
          <w:lang w:val="sl-SI" w:eastAsia="en-GB"/>
        </w:rPr>
        <w:fldChar w:fldCharType="begin"/>
      </w:r>
      <w:r w:rsidR="002C4E84" w:rsidRPr="00275FBD">
        <w:rPr>
          <w:lang w:val="sl-SI" w:eastAsia="en-GB"/>
        </w:rPr>
        <w:instrText xml:space="preserve"> REF _Ref133222751 \r \h </w:instrText>
      </w:r>
      <w:r w:rsidR="002C4E84" w:rsidRPr="00275FBD">
        <w:rPr>
          <w:lang w:val="sl-SI" w:eastAsia="en-GB"/>
        </w:rPr>
      </w:r>
      <w:r w:rsidR="002C4E84" w:rsidRPr="00275FBD">
        <w:rPr>
          <w:lang w:val="sl-SI" w:eastAsia="en-GB"/>
        </w:rPr>
        <w:fldChar w:fldCharType="separate"/>
      </w:r>
      <w:r w:rsidR="00BA25CD">
        <w:rPr>
          <w:lang w:val="sl-SI" w:eastAsia="en-GB"/>
        </w:rPr>
        <w:t>[1]</w:t>
      </w:r>
      <w:r w:rsidR="002C4E84" w:rsidRPr="00275FBD">
        <w:rPr>
          <w:lang w:val="sl-SI" w:eastAsia="en-GB"/>
        </w:rPr>
        <w:fldChar w:fldCharType="end"/>
      </w:r>
      <w:r w:rsidR="002C4E84" w:rsidRPr="00275FBD">
        <w:rPr>
          <w:lang w:val="sl-SI" w:eastAsia="en-GB"/>
        </w:rPr>
        <w:t xml:space="preserve"> pripravila </w:t>
      </w:r>
      <w:r w:rsidRPr="00275FBD">
        <w:rPr>
          <w:lang w:val="sl-SI" w:eastAsia="en-GB"/>
        </w:rPr>
        <w:t>poglavje</w:t>
      </w:r>
      <w:r w:rsidR="002C4E84" w:rsidRPr="00275FBD">
        <w:rPr>
          <w:lang w:val="sl-SI" w:eastAsia="en-GB"/>
        </w:rPr>
        <w:t xml:space="preserve"> v </w:t>
      </w:r>
      <w:r w:rsidR="00AE1B81">
        <w:rPr>
          <w:lang w:val="sl-SI" w:eastAsia="en-GB"/>
        </w:rPr>
        <w:t>tematskem</w:t>
      </w:r>
      <w:r w:rsidR="00AE1B81" w:rsidRPr="00275FBD">
        <w:rPr>
          <w:lang w:val="sl-SI" w:eastAsia="en-GB"/>
        </w:rPr>
        <w:t xml:space="preserve"> </w:t>
      </w:r>
      <w:r w:rsidR="002C4E84" w:rsidRPr="00275FBD">
        <w:rPr>
          <w:lang w:val="sl-SI" w:eastAsia="en-GB"/>
        </w:rPr>
        <w:t xml:space="preserve">poročilu o pregledu varnostnih </w:t>
      </w:r>
      <w:r w:rsidR="00716249">
        <w:rPr>
          <w:lang w:val="sl-SI"/>
        </w:rPr>
        <w:t>vsebin</w:t>
      </w:r>
      <w:r w:rsidR="00716249" w:rsidRPr="00716249">
        <w:rPr>
          <w:lang w:val="sl-SI"/>
        </w:rPr>
        <w:t xml:space="preserve"> </w:t>
      </w:r>
      <w:r w:rsidR="002C4E84" w:rsidRPr="00275FBD">
        <w:rPr>
          <w:lang w:val="sl-SI" w:eastAsia="en-GB"/>
        </w:rPr>
        <w:t xml:space="preserve">z naslovom »Ocena vpliva </w:t>
      </w:r>
      <w:r w:rsidR="008335E8">
        <w:rPr>
          <w:lang w:val="sl-SI" w:eastAsia="en-GB"/>
        </w:rPr>
        <w:t>povezav</w:t>
      </w:r>
      <w:r w:rsidR="002C4E84" w:rsidRPr="00275FBD">
        <w:rPr>
          <w:lang w:val="sl-SI" w:eastAsia="en-GB"/>
        </w:rPr>
        <w:t xml:space="preserve">«. Namen teh </w:t>
      </w:r>
      <w:r w:rsidRPr="00275FBD">
        <w:rPr>
          <w:lang w:val="sl-SI" w:eastAsia="en-GB"/>
        </w:rPr>
        <w:t xml:space="preserve">poglavij </w:t>
      </w:r>
      <w:r w:rsidR="002C4E84" w:rsidRPr="00275FBD">
        <w:rPr>
          <w:lang w:val="sl-SI" w:eastAsia="en-GB"/>
        </w:rPr>
        <w:t xml:space="preserve">je bil opisati pregled in </w:t>
      </w:r>
      <w:r w:rsidR="00BC40A5" w:rsidRPr="00275FBD">
        <w:rPr>
          <w:lang w:val="sl-SI" w:eastAsia="en-GB"/>
        </w:rPr>
        <w:t xml:space="preserve">prepoznavo </w:t>
      </w:r>
      <w:r w:rsidR="00A731CB">
        <w:rPr>
          <w:lang w:val="sl-SI" w:eastAsia="en-GB"/>
        </w:rPr>
        <w:t>najdb</w:t>
      </w:r>
      <w:r w:rsidR="002C4E84" w:rsidRPr="00275FBD">
        <w:rPr>
          <w:lang w:val="sl-SI" w:eastAsia="en-GB"/>
        </w:rPr>
        <w:t xml:space="preserve">, ki bi lahko </w:t>
      </w:r>
      <w:r w:rsidR="00AE1B81" w:rsidRPr="00275FBD">
        <w:rPr>
          <w:lang w:val="sl-SI" w:eastAsia="en-GB"/>
        </w:rPr>
        <w:t>izhajal</w:t>
      </w:r>
      <w:r w:rsidR="00AE1B81">
        <w:rPr>
          <w:lang w:val="sl-SI" w:eastAsia="en-GB"/>
        </w:rPr>
        <w:t>e</w:t>
      </w:r>
      <w:r w:rsidR="00AE1B81" w:rsidRPr="00275FBD">
        <w:rPr>
          <w:lang w:val="sl-SI" w:eastAsia="en-GB"/>
        </w:rPr>
        <w:t xml:space="preserve"> </w:t>
      </w:r>
      <w:r w:rsidR="002C4E84" w:rsidRPr="00275FBD">
        <w:rPr>
          <w:lang w:val="sl-SI" w:eastAsia="en-GB"/>
        </w:rPr>
        <w:t xml:space="preserve">iz možnih </w:t>
      </w:r>
      <w:r w:rsidR="008335E8">
        <w:rPr>
          <w:lang w:val="sl-SI" w:eastAsia="en-GB"/>
        </w:rPr>
        <w:t>povezav</w:t>
      </w:r>
      <w:r w:rsidR="002C4E84" w:rsidRPr="00275FBD">
        <w:rPr>
          <w:lang w:val="sl-SI" w:eastAsia="en-GB"/>
        </w:rPr>
        <w:t xml:space="preserve"> med več posameznimi varnostnimi </w:t>
      </w:r>
      <w:r w:rsidR="00AE1B81">
        <w:rPr>
          <w:lang w:val="sl-SI" w:eastAsia="en-GB"/>
        </w:rPr>
        <w:t>vsebinami</w:t>
      </w:r>
      <w:r w:rsidR="002C4E84" w:rsidRPr="00275FBD">
        <w:rPr>
          <w:lang w:val="sl-SI" w:eastAsia="en-GB"/>
        </w:rPr>
        <w:t>. T</w:t>
      </w:r>
      <w:r w:rsidR="00052E53" w:rsidRPr="00275FBD">
        <w:rPr>
          <w:lang w:val="sl-SI" w:eastAsia="en-GB"/>
        </w:rPr>
        <w:t>a</w:t>
      </w:r>
      <w:r w:rsidR="002C4E84" w:rsidRPr="00275FBD">
        <w:rPr>
          <w:lang w:val="sl-SI" w:eastAsia="en-GB"/>
        </w:rPr>
        <w:t xml:space="preserve"> </w:t>
      </w:r>
      <w:r w:rsidR="00052E53" w:rsidRPr="00275FBD">
        <w:rPr>
          <w:lang w:val="sl-SI" w:eastAsia="en-GB"/>
        </w:rPr>
        <w:t xml:space="preserve">poglavja </w:t>
      </w:r>
      <w:r w:rsidR="002C4E84" w:rsidRPr="00275FBD">
        <w:rPr>
          <w:lang w:val="sl-SI" w:eastAsia="en-GB"/>
        </w:rPr>
        <w:t xml:space="preserve">tematskih poročil o </w:t>
      </w:r>
      <w:r w:rsidR="00AE1B81">
        <w:rPr>
          <w:lang w:val="sl-SI" w:eastAsia="en-GB"/>
        </w:rPr>
        <w:t xml:space="preserve">posameznih </w:t>
      </w:r>
      <w:r w:rsidR="002C4E84" w:rsidRPr="00275FBD">
        <w:rPr>
          <w:lang w:val="sl-SI" w:eastAsia="en-GB"/>
        </w:rPr>
        <w:t>varnostn</w:t>
      </w:r>
      <w:r w:rsidR="00E1088E">
        <w:rPr>
          <w:lang w:val="sl-SI" w:eastAsia="en-GB"/>
        </w:rPr>
        <w:t>i</w:t>
      </w:r>
      <w:r w:rsidR="00AE1B81">
        <w:rPr>
          <w:lang w:val="sl-SI" w:eastAsia="en-GB"/>
        </w:rPr>
        <w:t>h</w:t>
      </w:r>
      <w:r w:rsidR="002C4E84" w:rsidRPr="00275FBD">
        <w:rPr>
          <w:lang w:val="sl-SI" w:eastAsia="en-GB"/>
        </w:rPr>
        <w:t xml:space="preserve"> </w:t>
      </w:r>
      <w:r w:rsidR="00E1088E">
        <w:rPr>
          <w:lang w:val="sl-SI"/>
        </w:rPr>
        <w:t>vsebin</w:t>
      </w:r>
      <w:r w:rsidR="00AE1B81">
        <w:rPr>
          <w:lang w:val="sl-SI"/>
        </w:rPr>
        <w:t>ah</w:t>
      </w:r>
      <w:r w:rsidR="002C4E84" w:rsidRPr="00275FBD">
        <w:rPr>
          <w:lang w:val="sl-SI" w:eastAsia="en-GB"/>
        </w:rPr>
        <w:t xml:space="preserve"> so bil</w:t>
      </w:r>
      <w:r w:rsidR="00BC40A5" w:rsidRPr="00275FBD">
        <w:rPr>
          <w:lang w:val="sl-SI" w:eastAsia="en-GB"/>
        </w:rPr>
        <w:t>a</w:t>
      </w:r>
      <w:r w:rsidR="002C4E84" w:rsidRPr="00275FBD">
        <w:rPr>
          <w:lang w:val="sl-SI" w:eastAsia="en-GB"/>
        </w:rPr>
        <w:t xml:space="preserve"> podlaga za obravnavo vpliva možnih </w:t>
      </w:r>
      <w:r w:rsidR="008335E8">
        <w:rPr>
          <w:lang w:val="sl-SI" w:eastAsia="en-GB"/>
        </w:rPr>
        <w:t>povezav</w:t>
      </w:r>
      <w:r w:rsidR="002C4E84" w:rsidRPr="00275FBD">
        <w:rPr>
          <w:lang w:val="sl-SI" w:eastAsia="en-GB"/>
        </w:rPr>
        <w:t xml:space="preserve"> med postopkom razvrščanja </w:t>
      </w:r>
      <w:r w:rsidR="00CB6B10">
        <w:rPr>
          <w:lang w:val="sl-SI" w:eastAsia="en-GB"/>
        </w:rPr>
        <w:t>najdb</w:t>
      </w:r>
      <w:r w:rsidR="002C4E84" w:rsidRPr="00275FBD">
        <w:rPr>
          <w:lang w:val="sl-SI" w:eastAsia="en-GB"/>
        </w:rPr>
        <w:t xml:space="preserve">. Te dele tematskih poročil o varnostnih </w:t>
      </w:r>
      <w:r w:rsidR="00E1088E">
        <w:rPr>
          <w:lang w:val="sl-SI"/>
        </w:rPr>
        <w:t>vsebinah</w:t>
      </w:r>
      <w:r w:rsidR="00E1088E" w:rsidRPr="00275FBD">
        <w:rPr>
          <w:lang w:val="sl-SI"/>
        </w:rPr>
        <w:t xml:space="preserve"> </w:t>
      </w:r>
      <w:r w:rsidR="002C4E84" w:rsidRPr="00275FBD">
        <w:rPr>
          <w:lang w:val="sl-SI" w:eastAsia="en-GB"/>
        </w:rPr>
        <w:t xml:space="preserve">je obravnavala ekipa analitikov za razvrščanje med začetnim zbiranjem </w:t>
      </w:r>
      <w:r w:rsidR="00BD5705" w:rsidRPr="00275FBD">
        <w:rPr>
          <w:lang w:val="sl-SI" w:eastAsia="en-GB"/>
        </w:rPr>
        <w:t xml:space="preserve">najdb </w:t>
      </w:r>
      <w:r w:rsidR="002C4E84" w:rsidRPr="00275FBD">
        <w:rPr>
          <w:lang w:val="sl-SI" w:eastAsia="en-GB"/>
        </w:rPr>
        <w:t xml:space="preserve">iz tematskih poročil. Med </w:t>
      </w:r>
      <w:r w:rsidR="00AE1B81">
        <w:rPr>
          <w:lang w:val="sl-SI" w:eastAsia="en-GB"/>
        </w:rPr>
        <w:t xml:space="preserve">samim </w:t>
      </w:r>
      <w:r w:rsidR="002C4E84" w:rsidRPr="00275FBD">
        <w:rPr>
          <w:lang w:val="sl-SI" w:eastAsia="en-GB"/>
        </w:rPr>
        <w:t>postopkom niso opazili vrzeli</w:t>
      </w:r>
      <w:r w:rsidR="00AE1B81" w:rsidRPr="00AE1B81">
        <w:rPr>
          <w:lang w:val="sl-SI" w:eastAsia="en-GB"/>
        </w:rPr>
        <w:t xml:space="preserve"> </w:t>
      </w:r>
      <w:r w:rsidR="00AE1B81" w:rsidRPr="00275FBD">
        <w:rPr>
          <w:lang w:val="sl-SI" w:eastAsia="en-GB"/>
        </w:rPr>
        <w:t>med različnimi tematskimi poročili</w:t>
      </w:r>
      <w:r w:rsidR="002C4E84" w:rsidRPr="00275FBD">
        <w:rPr>
          <w:lang w:val="sl-SI" w:eastAsia="en-GB"/>
        </w:rPr>
        <w:t xml:space="preserve">, ki bi kazale na nedoslednosti ali neustreznosti v oceni </w:t>
      </w:r>
      <w:r w:rsidR="00AE1B81" w:rsidRPr="00275FBD">
        <w:rPr>
          <w:lang w:val="sl-SI" w:eastAsia="en-GB"/>
        </w:rPr>
        <w:t>učink</w:t>
      </w:r>
      <w:r w:rsidR="00AE1B81">
        <w:rPr>
          <w:lang w:val="sl-SI" w:eastAsia="en-GB"/>
        </w:rPr>
        <w:t>ov</w:t>
      </w:r>
      <w:r w:rsidR="00AE1B81" w:rsidRPr="00275FBD">
        <w:rPr>
          <w:lang w:val="sl-SI" w:eastAsia="en-GB"/>
        </w:rPr>
        <w:t xml:space="preserve"> </w:t>
      </w:r>
      <w:r w:rsidR="008335E8">
        <w:rPr>
          <w:lang w:val="sl-SI" w:eastAsia="en-GB"/>
        </w:rPr>
        <w:t>povezav</w:t>
      </w:r>
      <w:r w:rsidR="002C4E84" w:rsidRPr="00275FBD">
        <w:rPr>
          <w:lang w:val="sl-SI" w:eastAsia="en-GB"/>
        </w:rPr>
        <w:t>.</w:t>
      </w:r>
    </w:p>
    <w:p w14:paraId="16C8FC08" w14:textId="72C004F6" w:rsidR="002C4E84" w:rsidRPr="00275FBD" w:rsidRDefault="002C4E84" w:rsidP="00336765">
      <w:pPr>
        <w:rPr>
          <w:lang w:val="sl-SI" w:eastAsia="en-GB"/>
        </w:rPr>
      </w:pPr>
      <w:r w:rsidRPr="00275FBD">
        <w:rPr>
          <w:lang w:val="sl-SI" w:eastAsia="en-GB"/>
        </w:rPr>
        <w:t xml:space="preserve">Iz </w:t>
      </w:r>
      <w:r w:rsidR="009E4984" w:rsidRPr="00275FBD">
        <w:rPr>
          <w:lang w:val="sl-SI" w:eastAsia="en-GB"/>
        </w:rPr>
        <w:fldChar w:fldCharType="begin"/>
      </w:r>
      <w:r w:rsidR="009E4984" w:rsidRPr="00275FBD">
        <w:rPr>
          <w:lang w:val="sl-SI" w:eastAsia="en-GB"/>
        </w:rPr>
        <w:instrText xml:space="preserve"> REF _Ref138337520 \h </w:instrText>
      </w:r>
      <w:r w:rsidR="009E4984" w:rsidRPr="00275FBD">
        <w:rPr>
          <w:lang w:val="sl-SI" w:eastAsia="en-GB"/>
        </w:rPr>
      </w:r>
      <w:r w:rsidR="009E4984" w:rsidRPr="00275FBD">
        <w:rPr>
          <w:lang w:val="sl-SI" w:eastAsia="en-GB"/>
        </w:rPr>
        <w:fldChar w:fldCharType="separate"/>
      </w:r>
      <w:r w:rsidR="00BA25CD" w:rsidRPr="00275FBD">
        <w:rPr>
          <w:lang w:val="sl-SI" w:eastAsia="en-GB"/>
        </w:rPr>
        <w:t xml:space="preserve">Tabela </w:t>
      </w:r>
      <w:r w:rsidR="00BA25CD">
        <w:rPr>
          <w:noProof/>
          <w:lang w:val="sl-SI" w:eastAsia="en-GB"/>
        </w:rPr>
        <w:t>4</w:t>
      </w:r>
      <w:r w:rsidR="00BA25CD" w:rsidRPr="00275FBD">
        <w:rPr>
          <w:lang w:val="sl-SI" w:eastAsia="en-GB"/>
        </w:rPr>
        <w:noBreakHyphen/>
      </w:r>
      <w:r w:rsidR="00BA25CD">
        <w:rPr>
          <w:noProof/>
          <w:lang w:val="sl-SI" w:eastAsia="en-GB"/>
        </w:rPr>
        <w:t>1</w:t>
      </w:r>
      <w:r w:rsidR="009E4984" w:rsidRPr="00275FBD">
        <w:rPr>
          <w:lang w:val="sl-SI" w:eastAsia="en-GB"/>
        </w:rPr>
        <w:fldChar w:fldCharType="end"/>
      </w:r>
      <w:r w:rsidRPr="00275FBD">
        <w:rPr>
          <w:lang w:val="sl-SI" w:eastAsia="en-GB"/>
        </w:rPr>
        <w:t xml:space="preserve"> je mogoče opaziti, da je večina </w:t>
      </w:r>
      <w:r w:rsidR="00AE1B81">
        <w:rPr>
          <w:lang w:val="sl-SI" w:eastAsia="en-GB"/>
        </w:rPr>
        <w:t>najde</w:t>
      </w:r>
      <w:r w:rsidR="00AE1B81" w:rsidRPr="00275FBD">
        <w:rPr>
          <w:lang w:val="sl-SI" w:eastAsia="en-GB"/>
        </w:rPr>
        <w:t xml:space="preserve">nih </w:t>
      </w:r>
      <w:r w:rsidR="008335E8">
        <w:rPr>
          <w:lang w:val="sl-SI" w:eastAsia="en-GB"/>
        </w:rPr>
        <w:t>povezav</w:t>
      </w:r>
      <w:r w:rsidRPr="00275FBD">
        <w:rPr>
          <w:lang w:val="sl-SI" w:eastAsia="en-GB"/>
        </w:rPr>
        <w:t xml:space="preserve"> </w:t>
      </w:r>
      <w:r w:rsidR="00AE1B81">
        <w:rPr>
          <w:lang w:val="sl-SI" w:eastAsia="en-GB"/>
        </w:rPr>
        <w:t>povezanih z</w:t>
      </w:r>
      <w:r w:rsidRPr="00275FBD">
        <w:rPr>
          <w:lang w:val="sl-SI" w:eastAsia="en-GB"/>
        </w:rPr>
        <w:t xml:space="preserve"> </w:t>
      </w:r>
      <w:r w:rsidR="00AE1B81">
        <w:rPr>
          <w:lang w:val="sl-SI" w:eastAsia="en-GB"/>
        </w:rPr>
        <w:t xml:space="preserve">naslednjimi varnostnimi vsebinami: </w:t>
      </w:r>
      <w:r w:rsidR="009E4984" w:rsidRPr="00275FBD">
        <w:rPr>
          <w:lang w:val="sl-SI" w:eastAsia="en-GB"/>
        </w:rPr>
        <w:t>»</w:t>
      </w:r>
      <w:r w:rsidRPr="00275FBD">
        <w:rPr>
          <w:lang w:val="sl-SI" w:eastAsia="en-GB"/>
        </w:rPr>
        <w:t>varnostn</w:t>
      </w:r>
      <w:r w:rsidR="00E1088E">
        <w:rPr>
          <w:lang w:val="sl-SI" w:eastAsia="en-GB"/>
        </w:rPr>
        <w:t>o</w:t>
      </w:r>
      <w:r w:rsidRPr="00275FBD">
        <w:rPr>
          <w:lang w:val="sl-SI" w:eastAsia="en-GB"/>
        </w:rPr>
        <w:t xml:space="preserve"> </w:t>
      </w:r>
      <w:r w:rsidR="00E1088E">
        <w:rPr>
          <w:lang w:val="sl-SI"/>
        </w:rPr>
        <w:t>vsebino</w:t>
      </w:r>
      <w:r w:rsidR="00E1088E" w:rsidRPr="00275FBD">
        <w:rPr>
          <w:lang w:val="sl-SI"/>
        </w:rPr>
        <w:t xml:space="preserve"> </w:t>
      </w:r>
      <w:r w:rsidRPr="00275FBD">
        <w:rPr>
          <w:lang w:val="sl-SI" w:eastAsia="en-GB"/>
        </w:rPr>
        <w:t>10</w:t>
      </w:r>
      <w:r w:rsidR="009E4984" w:rsidRPr="00275FBD">
        <w:rPr>
          <w:lang w:val="sl-SI" w:eastAsia="en-GB"/>
        </w:rPr>
        <w:t>«</w:t>
      </w:r>
      <w:r w:rsidRPr="00275FBD">
        <w:rPr>
          <w:lang w:val="sl-SI" w:eastAsia="en-GB"/>
        </w:rPr>
        <w:t xml:space="preserve"> (zaradi pomanjkanja različnih posodobitev dokumentov </w:t>
      </w:r>
      <w:r w:rsidR="00AE1B81">
        <w:rPr>
          <w:lang w:val="sl-SI" w:eastAsia="en-GB"/>
        </w:rPr>
        <w:t>značil</w:t>
      </w:r>
      <w:r w:rsidR="00AE1B81" w:rsidRPr="00275FBD">
        <w:rPr>
          <w:lang w:val="sl-SI" w:eastAsia="en-GB"/>
        </w:rPr>
        <w:t xml:space="preserve">nih </w:t>
      </w:r>
      <w:r w:rsidRPr="00275FBD">
        <w:rPr>
          <w:lang w:val="sl-SI" w:eastAsia="en-GB"/>
        </w:rPr>
        <w:t xml:space="preserve">za </w:t>
      </w:r>
      <w:r w:rsidR="009E4984" w:rsidRPr="00275FBD">
        <w:rPr>
          <w:lang w:val="sl-SI" w:eastAsia="en-GB"/>
        </w:rPr>
        <w:t>elektrarno</w:t>
      </w:r>
      <w:r w:rsidRPr="00275FBD">
        <w:rPr>
          <w:lang w:val="sl-SI" w:eastAsia="en-GB"/>
        </w:rPr>
        <w:t xml:space="preserve"> med dvema PSR, </w:t>
      </w:r>
      <w:r w:rsidR="009E4984" w:rsidRPr="00275FBD">
        <w:rPr>
          <w:lang w:val="sl-SI" w:eastAsia="en-GB"/>
        </w:rPr>
        <w:t xml:space="preserve">kot je </w:t>
      </w:r>
      <w:r w:rsidRPr="00275FBD">
        <w:rPr>
          <w:lang w:val="sl-SI" w:eastAsia="en-GB"/>
        </w:rPr>
        <w:t xml:space="preserve">npr. USAR, pomanjkljivosti glede posodobitev različnih procesov in povezanih referenc, ustrezen opis procesov v </w:t>
      </w:r>
      <w:r w:rsidR="009E4984" w:rsidRPr="00275FBD">
        <w:rPr>
          <w:lang w:val="sl-SI" w:eastAsia="en-GB"/>
        </w:rPr>
        <w:t>elektrarni</w:t>
      </w:r>
      <w:r w:rsidRPr="00275FBD">
        <w:rPr>
          <w:lang w:val="sl-SI" w:eastAsia="en-GB"/>
        </w:rPr>
        <w:t xml:space="preserve"> itd</w:t>
      </w:r>
      <w:r w:rsidR="008F27DA" w:rsidRPr="00275FBD">
        <w:rPr>
          <w:lang w:val="sl-SI" w:eastAsia="en-GB"/>
        </w:rPr>
        <w:t>.)</w:t>
      </w:r>
      <w:r w:rsidR="008F27DA">
        <w:rPr>
          <w:lang w:val="sl-SI" w:eastAsia="en-GB"/>
        </w:rPr>
        <w:t>;</w:t>
      </w:r>
      <w:r w:rsidR="008F27DA" w:rsidRPr="00275FBD">
        <w:rPr>
          <w:lang w:val="sl-SI" w:eastAsia="en-GB"/>
        </w:rPr>
        <w:t xml:space="preserve"> </w:t>
      </w:r>
      <w:r w:rsidR="009E4984" w:rsidRPr="00275FBD">
        <w:rPr>
          <w:lang w:val="sl-SI" w:eastAsia="en-GB"/>
        </w:rPr>
        <w:t>»</w:t>
      </w:r>
      <w:r w:rsidR="00E1088E" w:rsidRPr="00275FBD">
        <w:rPr>
          <w:lang w:val="sl-SI" w:eastAsia="en-GB"/>
        </w:rPr>
        <w:t>varnostn</w:t>
      </w:r>
      <w:r w:rsidR="00AE1B81">
        <w:rPr>
          <w:lang w:val="sl-SI" w:eastAsia="en-GB"/>
        </w:rPr>
        <w:t>o</w:t>
      </w:r>
      <w:r w:rsidR="00E1088E" w:rsidRPr="00275FBD">
        <w:rPr>
          <w:lang w:val="sl-SI" w:eastAsia="en-GB"/>
        </w:rPr>
        <w:t xml:space="preserve"> </w:t>
      </w:r>
      <w:r w:rsidR="00E1088E">
        <w:rPr>
          <w:lang w:val="sl-SI"/>
        </w:rPr>
        <w:t>vsebin</w:t>
      </w:r>
      <w:r w:rsidR="008F27DA">
        <w:rPr>
          <w:lang w:val="sl-SI"/>
        </w:rPr>
        <w:t>o</w:t>
      </w:r>
      <w:r w:rsidR="00E1088E" w:rsidRPr="00275FBD">
        <w:rPr>
          <w:lang w:val="sl-SI"/>
        </w:rPr>
        <w:t xml:space="preserve"> </w:t>
      </w:r>
      <w:r w:rsidRPr="00275FBD">
        <w:rPr>
          <w:lang w:val="sl-SI" w:eastAsia="en-GB"/>
        </w:rPr>
        <w:t>12</w:t>
      </w:r>
      <w:r w:rsidR="009E4984" w:rsidRPr="00275FBD">
        <w:rPr>
          <w:lang w:val="sl-SI" w:eastAsia="en-GB"/>
        </w:rPr>
        <w:t>«</w:t>
      </w:r>
      <w:r w:rsidRPr="00275FBD">
        <w:rPr>
          <w:lang w:val="sl-SI" w:eastAsia="en-GB"/>
        </w:rPr>
        <w:t xml:space="preserve"> (zaradi </w:t>
      </w:r>
      <w:r w:rsidR="008F27DA">
        <w:rPr>
          <w:lang w:val="sl-SI" w:eastAsia="en-GB"/>
        </w:rPr>
        <w:t>neizvedene</w:t>
      </w:r>
      <w:r w:rsidR="008F27DA" w:rsidRPr="00275FBD">
        <w:rPr>
          <w:lang w:val="sl-SI" w:eastAsia="en-GB"/>
        </w:rPr>
        <w:t xml:space="preserve"> </w:t>
      </w:r>
      <w:r w:rsidR="009E4984" w:rsidRPr="00275FBD">
        <w:rPr>
          <w:lang w:val="sl-SI" w:eastAsia="en-GB"/>
        </w:rPr>
        <w:t xml:space="preserve">posodobitve </w:t>
      </w:r>
      <w:r w:rsidRPr="00275FBD">
        <w:rPr>
          <w:lang w:val="sl-SI" w:eastAsia="en-GB"/>
        </w:rPr>
        <w:t xml:space="preserve">različnih postopkov in smernic, </w:t>
      </w:r>
      <w:r w:rsidR="00E1088E">
        <w:rPr>
          <w:lang w:val="sl-SI" w:eastAsia="en-GB"/>
        </w:rPr>
        <w:t>značil</w:t>
      </w:r>
      <w:r w:rsidR="00E1088E" w:rsidRPr="00275FBD">
        <w:rPr>
          <w:lang w:val="sl-SI" w:eastAsia="en-GB"/>
        </w:rPr>
        <w:t xml:space="preserve">nih </w:t>
      </w:r>
      <w:r w:rsidRPr="00275FBD">
        <w:rPr>
          <w:lang w:val="sl-SI" w:eastAsia="en-GB"/>
        </w:rPr>
        <w:t xml:space="preserve">za </w:t>
      </w:r>
      <w:r w:rsidR="009E4984" w:rsidRPr="00275FBD">
        <w:rPr>
          <w:lang w:val="sl-SI" w:eastAsia="en-GB"/>
        </w:rPr>
        <w:t>elektrarno</w:t>
      </w:r>
      <w:r w:rsidRPr="00275FBD">
        <w:rPr>
          <w:lang w:val="sl-SI" w:eastAsia="en-GB"/>
        </w:rPr>
        <w:t xml:space="preserve"> med dvema PSR</w:t>
      </w:r>
      <w:r w:rsidR="008F27DA" w:rsidRPr="00275FBD">
        <w:rPr>
          <w:lang w:val="sl-SI" w:eastAsia="en-GB"/>
        </w:rPr>
        <w:t>)</w:t>
      </w:r>
      <w:r w:rsidR="008F27DA">
        <w:rPr>
          <w:lang w:val="sl-SI" w:eastAsia="en-GB"/>
        </w:rPr>
        <w:t>;</w:t>
      </w:r>
      <w:r w:rsidR="008F27DA" w:rsidRPr="00275FBD">
        <w:rPr>
          <w:lang w:val="sl-SI" w:eastAsia="en-GB"/>
        </w:rPr>
        <w:t xml:space="preserve"> </w:t>
      </w:r>
      <w:r w:rsidR="009E4984" w:rsidRPr="00275FBD">
        <w:rPr>
          <w:lang w:val="sl-SI" w:eastAsia="en-GB"/>
        </w:rPr>
        <w:t>»</w:t>
      </w:r>
      <w:r w:rsidRPr="00275FBD">
        <w:rPr>
          <w:lang w:val="sl-SI" w:eastAsia="en-GB"/>
        </w:rPr>
        <w:t>varnost</w:t>
      </w:r>
      <w:r w:rsidR="008F27DA">
        <w:rPr>
          <w:lang w:val="sl-SI" w:eastAsia="en-GB"/>
        </w:rPr>
        <w:t>no</w:t>
      </w:r>
      <w:r w:rsidRPr="00275FBD">
        <w:rPr>
          <w:lang w:val="sl-SI" w:eastAsia="en-GB"/>
        </w:rPr>
        <w:t xml:space="preserve"> </w:t>
      </w:r>
      <w:r w:rsidR="00E1088E">
        <w:rPr>
          <w:lang w:val="sl-SI"/>
        </w:rPr>
        <w:t>vsebin</w:t>
      </w:r>
      <w:r w:rsidR="008F27DA">
        <w:rPr>
          <w:lang w:val="sl-SI"/>
        </w:rPr>
        <w:t>o</w:t>
      </w:r>
      <w:r w:rsidR="00E1088E" w:rsidRPr="00275FBD">
        <w:rPr>
          <w:lang w:val="sl-SI"/>
        </w:rPr>
        <w:t xml:space="preserve"> </w:t>
      </w:r>
      <w:r w:rsidRPr="00275FBD">
        <w:rPr>
          <w:lang w:val="sl-SI" w:eastAsia="en-GB"/>
        </w:rPr>
        <w:t>2</w:t>
      </w:r>
      <w:r w:rsidR="009E4984" w:rsidRPr="00275FBD">
        <w:rPr>
          <w:lang w:val="sl-SI" w:eastAsia="en-GB"/>
        </w:rPr>
        <w:t>«</w:t>
      </w:r>
      <w:r w:rsidRPr="00275FBD">
        <w:rPr>
          <w:lang w:val="sl-SI" w:eastAsia="en-GB"/>
        </w:rPr>
        <w:t xml:space="preserve"> (ker se je veliko procesov šele začelo in </w:t>
      </w:r>
      <w:r w:rsidR="008F27DA">
        <w:rPr>
          <w:lang w:val="sl-SI" w:eastAsia="en-GB"/>
        </w:rPr>
        <w:t>so</w:t>
      </w:r>
      <w:r w:rsidR="008F27DA" w:rsidRPr="00275FBD">
        <w:rPr>
          <w:lang w:val="sl-SI" w:eastAsia="en-GB"/>
        </w:rPr>
        <w:t xml:space="preserve"> bil</w:t>
      </w:r>
      <w:r w:rsidR="008F27DA">
        <w:rPr>
          <w:lang w:val="sl-SI" w:eastAsia="en-GB"/>
        </w:rPr>
        <w:t>i</w:t>
      </w:r>
      <w:r w:rsidR="008F27DA" w:rsidRPr="00275FBD">
        <w:rPr>
          <w:lang w:val="sl-SI" w:eastAsia="en-GB"/>
        </w:rPr>
        <w:t xml:space="preserve"> </w:t>
      </w:r>
      <w:r w:rsidRPr="00275FBD">
        <w:rPr>
          <w:lang w:val="sl-SI" w:eastAsia="en-GB"/>
        </w:rPr>
        <w:t>v celoti razviti med dvema PSR, npr. med</w:t>
      </w:r>
      <w:r w:rsidR="009E4984" w:rsidRPr="00275FBD">
        <w:rPr>
          <w:lang w:val="sl-SI" w:eastAsia="en-GB"/>
        </w:rPr>
        <w:t>narodni</w:t>
      </w:r>
      <w:r w:rsidRPr="00275FBD">
        <w:rPr>
          <w:lang w:val="sl-SI" w:eastAsia="en-GB"/>
        </w:rPr>
        <w:t xml:space="preserve"> strokovni pregled IAEA </w:t>
      </w:r>
      <w:r w:rsidR="009E4984" w:rsidRPr="00275FBD">
        <w:rPr>
          <w:lang w:val="sl-SI" w:eastAsia="en-GB"/>
        </w:rPr>
        <w:t>»</w:t>
      </w:r>
      <w:r w:rsidRPr="00275FBD">
        <w:rPr>
          <w:lang w:val="sl-SI" w:eastAsia="en-GB"/>
        </w:rPr>
        <w:t>Pre</w:t>
      </w:r>
      <w:r w:rsidR="00720355">
        <w:rPr>
          <w:lang w:val="sl-SI" w:eastAsia="en-GB"/>
        </w:rPr>
        <w:t>d</w:t>
      </w:r>
      <w:r w:rsidRPr="00275FBD">
        <w:rPr>
          <w:lang w:val="sl-SI" w:eastAsia="en-GB"/>
        </w:rPr>
        <w:t>-SALTO</w:t>
      </w:r>
      <w:r w:rsidR="009E4984" w:rsidRPr="00275FBD">
        <w:rPr>
          <w:lang w:val="sl-SI" w:eastAsia="en-GB"/>
        </w:rPr>
        <w:t>«</w:t>
      </w:r>
      <w:r w:rsidRPr="00275FBD">
        <w:rPr>
          <w:lang w:val="sl-SI" w:eastAsia="en-GB"/>
        </w:rPr>
        <w:t xml:space="preserve"> </w:t>
      </w:r>
      <w:r w:rsidR="008F27DA" w:rsidRPr="00275FBD">
        <w:rPr>
          <w:lang w:val="sl-SI" w:eastAsia="en-GB"/>
        </w:rPr>
        <w:fldChar w:fldCharType="begin"/>
      </w:r>
      <w:r w:rsidR="008F27DA" w:rsidRPr="00275FBD">
        <w:rPr>
          <w:lang w:val="sl-SI" w:eastAsia="en-GB"/>
        </w:rPr>
        <w:instrText xml:space="preserve"> REF _Ref128405391 \r \h </w:instrText>
      </w:r>
      <w:r w:rsidR="008F27DA" w:rsidRPr="00275FBD">
        <w:rPr>
          <w:lang w:val="sl-SI" w:eastAsia="en-GB"/>
        </w:rPr>
      </w:r>
      <w:r w:rsidR="008F27DA" w:rsidRPr="00275FBD">
        <w:rPr>
          <w:lang w:val="sl-SI" w:eastAsia="en-GB"/>
        </w:rPr>
        <w:fldChar w:fldCharType="separate"/>
      </w:r>
      <w:r w:rsidR="00BA25CD">
        <w:rPr>
          <w:lang w:val="sl-SI" w:eastAsia="en-GB"/>
        </w:rPr>
        <w:t>[31]</w:t>
      </w:r>
      <w:r w:rsidR="008F27DA" w:rsidRPr="00275FBD">
        <w:rPr>
          <w:lang w:val="sl-SI" w:eastAsia="en-GB"/>
        </w:rPr>
        <w:fldChar w:fldCharType="end"/>
      </w:r>
      <w:r w:rsidR="008335E8">
        <w:rPr>
          <w:lang w:val="sl-SI" w:eastAsia="en-GB"/>
        </w:rPr>
        <w:t>)</w:t>
      </w:r>
      <w:r w:rsidR="008F27DA">
        <w:rPr>
          <w:lang w:val="sl-SI" w:eastAsia="en-GB"/>
        </w:rPr>
        <w:t>;</w:t>
      </w:r>
      <w:r w:rsidR="008F27DA" w:rsidRPr="00275FBD">
        <w:rPr>
          <w:lang w:val="sl-SI" w:eastAsia="en-GB"/>
        </w:rPr>
        <w:t xml:space="preserve"> </w:t>
      </w:r>
      <w:r w:rsidR="008F27DA">
        <w:rPr>
          <w:lang w:val="sl-SI" w:eastAsia="en-GB"/>
        </w:rPr>
        <w:t>»</w:t>
      </w:r>
      <w:r w:rsidRPr="00275FBD">
        <w:rPr>
          <w:lang w:val="sl-SI" w:eastAsia="en-GB"/>
        </w:rPr>
        <w:t>varnostn</w:t>
      </w:r>
      <w:r w:rsidR="008F27DA">
        <w:rPr>
          <w:lang w:val="sl-SI" w:eastAsia="en-GB"/>
        </w:rPr>
        <w:t>ima</w:t>
      </w:r>
      <w:r w:rsidRPr="00275FBD">
        <w:rPr>
          <w:lang w:val="sl-SI" w:eastAsia="en-GB"/>
        </w:rPr>
        <w:t xml:space="preserve"> </w:t>
      </w:r>
      <w:r w:rsidR="00E1088E">
        <w:rPr>
          <w:lang w:val="sl-SI"/>
        </w:rPr>
        <w:t>vsebin</w:t>
      </w:r>
      <w:r w:rsidR="008F27DA">
        <w:rPr>
          <w:lang w:val="sl-SI"/>
        </w:rPr>
        <w:t>ama</w:t>
      </w:r>
      <w:r w:rsidR="008F27DA">
        <w:rPr>
          <w:lang w:val="sl-SI" w:eastAsia="en-GB"/>
        </w:rPr>
        <w:t xml:space="preserve"> </w:t>
      </w:r>
      <w:r w:rsidRPr="00275FBD">
        <w:rPr>
          <w:lang w:val="sl-SI" w:eastAsia="en-GB"/>
        </w:rPr>
        <w:t>11 in 13</w:t>
      </w:r>
      <w:r w:rsidR="009E4984" w:rsidRPr="00275FBD">
        <w:rPr>
          <w:lang w:val="sl-SI" w:eastAsia="en-GB"/>
        </w:rPr>
        <w:t>«</w:t>
      </w:r>
      <w:r w:rsidRPr="00275FBD">
        <w:rPr>
          <w:lang w:val="sl-SI" w:eastAsia="en-GB"/>
        </w:rPr>
        <w:t xml:space="preserve"> (zaradi pomanjkljivosti v organizaciji in varnostni kulturi ali </w:t>
      </w:r>
      <w:r w:rsidR="009E4984" w:rsidRPr="00275FBD">
        <w:rPr>
          <w:lang w:val="sl-SI" w:eastAsia="en-GB"/>
        </w:rPr>
        <w:t xml:space="preserve">pa </w:t>
      </w:r>
      <w:r w:rsidR="008F27DA">
        <w:rPr>
          <w:lang w:val="sl-SI" w:eastAsia="en-GB"/>
        </w:rPr>
        <w:t>ne</w:t>
      </w:r>
      <w:r w:rsidRPr="00275FBD">
        <w:rPr>
          <w:lang w:val="sl-SI" w:eastAsia="en-GB"/>
        </w:rPr>
        <w:t xml:space="preserve">doslednega pregleda različnih dokumentov med dvema PSR) itd. Precej </w:t>
      </w:r>
      <w:r w:rsidR="008335E8">
        <w:rPr>
          <w:lang w:val="sl-SI" w:eastAsia="en-GB"/>
        </w:rPr>
        <w:t>povezav</w:t>
      </w:r>
      <w:r w:rsidRPr="00275FBD">
        <w:rPr>
          <w:lang w:val="sl-SI" w:eastAsia="en-GB"/>
        </w:rPr>
        <w:t xml:space="preserve"> je bil</w:t>
      </w:r>
      <w:r w:rsidR="00BC40A5" w:rsidRPr="00275FBD">
        <w:rPr>
          <w:lang w:val="sl-SI" w:eastAsia="en-GB"/>
        </w:rPr>
        <w:t>o</w:t>
      </w:r>
      <w:r w:rsidRPr="00275FBD">
        <w:rPr>
          <w:lang w:val="sl-SI" w:eastAsia="en-GB"/>
        </w:rPr>
        <w:t xml:space="preserve"> </w:t>
      </w:r>
      <w:r w:rsidR="008F27DA">
        <w:rPr>
          <w:lang w:val="sl-SI" w:eastAsia="en-GB"/>
        </w:rPr>
        <w:t>določe</w:t>
      </w:r>
      <w:r w:rsidR="008F27DA" w:rsidRPr="00275FBD">
        <w:rPr>
          <w:lang w:val="sl-SI" w:eastAsia="en-GB"/>
        </w:rPr>
        <w:t xml:space="preserve">nih </w:t>
      </w:r>
      <w:r w:rsidR="008F27DA">
        <w:rPr>
          <w:lang w:val="sl-SI" w:eastAsia="en-GB"/>
        </w:rPr>
        <w:t>v</w:t>
      </w:r>
      <w:r w:rsidRPr="00275FBD">
        <w:rPr>
          <w:lang w:val="sl-SI" w:eastAsia="en-GB"/>
        </w:rPr>
        <w:t xml:space="preserve"> </w:t>
      </w:r>
      <w:r w:rsidR="008F27DA" w:rsidRPr="00275FBD">
        <w:rPr>
          <w:lang w:val="sl-SI" w:eastAsia="en-GB"/>
        </w:rPr>
        <w:t>varnostni</w:t>
      </w:r>
      <w:r w:rsidR="008F27DA">
        <w:rPr>
          <w:lang w:val="sl-SI" w:eastAsia="en-GB"/>
        </w:rPr>
        <w:t>h</w:t>
      </w:r>
      <w:r w:rsidR="008F27DA" w:rsidRPr="00275FBD">
        <w:rPr>
          <w:lang w:val="sl-SI" w:eastAsia="en-GB"/>
        </w:rPr>
        <w:t xml:space="preserve"> </w:t>
      </w:r>
      <w:r w:rsidR="008F27DA">
        <w:rPr>
          <w:lang w:val="sl-SI" w:eastAsia="en-GB"/>
        </w:rPr>
        <w:t>vsebinah</w:t>
      </w:r>
      <w:r w:rsidRPr="00275FBD">
        <w:rPr>
          <w:lang w:val="sl-SI" w:eastAsia="en-GB"/>
        </w:rPr>
        <w:t xml:space="preserve">, ki </w:t>
      </w:r>
      <w:r w:rsidR="008F27DA">
        <w:rPr>
          <w:lang w:val="sl-SI" w:eastAsia="en-GB"/>
        </w:rPr>
        <w:t>spadajo v kategorijo</w:t>
      </w:r>
      <w:r w:rsidRPr="00275FBD">
        <w:rPr>
          <w:lang w:val="sl-SI" w:eastAsia="en-GB"/>
        </w:rPr>
        <w:t xml:space="preserve"> </w:t>
      </w:r>
      <w:r w:rsidR="008F27DA">
        <w:rPr>
          <w:lang w:val="sl-SI" w:eastAsia="en-GB"/>
        </w:rPr>
        <w:t>»</w:t>
      </w:r>
      <w:r w:rsidRPr="00275FBD">
        <w:rPr>
          <w:lang w:val="sl-SI" w:eastAsia="en-GB"/>
        </w:rPr>
        <w:t>SF</w:t>
      </w:r>
      <w:r w:rsidR="008F27DA">
        <w:rPr>
          <w:lang w:val="sl-SI" w:eastAsia="en-GB"/>
        </w:rPr>
        <w:t>«</w:t>
      </w:r>
      <w:r w:rsidR="008F27DA" w:rsidRPr="00275FBD">
        <w:rPr>
          <w:lang w:val="sl-SI" w:eastAsia="en-GB"/>
        </w:rPr>
        <w:t xml:space="preserve"> </w:t>
      </w:r>
      <w:r w:rsidRPr="00275FBD">
        <w:rPr>
          <w:lang w:val="sl-SI" w:eastAsia="en-GB"/>
        </w:rPr>
        <w:t>(</w:t>
      </w:r>
      <w:r w:rsidR="008F27DA">
        <w:rPr>
          <w:lang w:val="sl-SI" w:eastAsia="en-GB"/>
        </w:rPr>
        <w:t>»</w:t>
      </w:r>
      <w:r w:rsidRPr="00275FBD">
        <w:rPr>
          <w:lang w:val="sl-SI" w:eastAsia="en-GB"/>
        </w:rPr>
        <w:t>mehki dejavniki</w:t>
      </w:r>
      <w:r w:rsidR="008F27DA">
        <w:rPr>
          <w:lang w:val="sl-SI" w:eastAsia="en-GB"/>
        </w:rPr>
        <w:t>«</w:t>
      </w:r>
      <w:r w:rsidR="008F27DA" w:rsidRPr="00275FBD">
        <w:rPr>
          <w:lang w:val="sl-SI" w:eastAsia="en-GB"/>
        </w:rPr>
        <w:t xml:space="preserve"> </w:t>
      </w:r>
      <w:r w:rsidRPr="00275FBD">
        <w:rPr>
          <w:lang w:val="sl-SI" w:eastAsia="en-GB"/>
        </w:rPr>
        <w:t xml:space="preserve">in </w:t>
      </w:r>
      <w:r w:rsidR="008F27DA" w:rsidRPr="00275FBD">
        <w:rPr>
          <w:lang w:val="sl-SI" w:eastAsia="en-GB"/>
        </w:rPr>
        <w:t>t</w:t>
      </w:r>
      <w:r w:rsidR="008F27DA">
        <w:rPr>
          <w:lang w:val="sl-SI" w:eastAsia="en-GB"/>
        </w:rPr>
        <w:t>ak</w:t>
      </w:r>
      <w:r w:rsidR="008F27DA" w:rsidRPr="00275FBD">
        <w:rPr>
          <w:lang w:val="sl-SI" w:eastAsia="en-GB"/>
        </w:rPr>
        <w:t>i</w:t>
      </w:r>
      <w:r w:rsidR="008335E8">
        <w:rPr>
          <w:lang w:val="sl-SI" w:eastAsia="en-GB"/>
        </w:rPr>
        <w:t>, ki so</w:t>
      </w:r>
      <w:r w:rsidRPr="00275FBD">
        <w:rPr>
          <w:lang w:val="sl-SI" w:eastAsia="en-GB"/>
        </w:rPr>
        <w:t xml:space="preserve"> povezani</w:t>
      </w:r>
      <w:r w:rsidR="008F27DA" w:rsidRPr="008F27DA">
        <w:rPr>
          <w:lang w:val="sl-SI" w:eastAsia="en-GB"/>
        </w:rPr>
        <w:t xml:space="preserve"> </w:t>
      </w:r>
      <w:r w:rsidR="008F27DA" w:rsidRPr="00275FBD">
        <w:rPr>
          <w:lang w:val="sl-SI" w:eastAsia="en-GB"/>
        </w:rPr>
        <w:t>z njimi</w:t>
      </w:r>
      <w:r w:rsidRPr="00275FBD">
        <w:rPr>
          <w:lang w:val="sl-SI" w:eastAsia="en-GB"/>
        </w:rPr>
        <w:t xml:space="preserve">). </w:t>
      </w:r>
      <w:r w:rsidR="008F27DA">
        <w:rPr>
          <w:lang w:val="sl-SI" w:eastAsia="en-GB"/>
        </w:rPr>
        <w:t>Možna razlaga tega</w:t>
      </w:r>
      <w:r w:rsidRPr="00275FBD">
        <w:rPr>
          <w:lang w:val="sl-SI" w:eastAsia="en-GB"/>
        </w:rPr>
        <w:t xml:space="preserve"> je, da so bil</w:t>
      </w:r>
      <w:r w:rsidR="00BC40A5" w:rsidRPr="00275FBD">
        <w:rPr>
          <w:lang w:val="sl-SI" w:eastAsia="en-GB"/>
        </w:rPr>
        <w:t>e</w:t>
      </w:r>
      <w:r w:rsidRPr="00275FBD">
        <w:rPr>
          <w:lang w:val="sl-SI" w:eastAsia="en-GB"/>
        </w:rPr>
        <w:t xml:space="preserve"> </w:t>
      </w:r>
      <w:r w:rsidR="00CE6729" w:rsidRPr="00275FBD">
        <w:rPr>
          <w:lang w:val="sl-SI" w:eastAsia="en-GB"/>
        </w:rPr>
        <w:t>najdbe</w:t>
      </w:r>
      <w:r w:rsidRPr="00275FBD">
        <w:rPr>
          <w:lang w:val="sl-SI" w:eastAsia="en-GB"/>
        </w:rPr>
        <w:t xml:space="preserve"> </w:t>
      </w:r>
      <w:r w:rsidR="001D65DF">
        <w:rPr>
          <w:lang w:val="sl-SI" w:eastAsia="en-GB"/>
        </w:rPr>
        <w:t>»</w:t>
      </w:r>
      <w:r w:rsidRPr="00275FBD">
        <w:rPr>
          <w:lang w:val="sl-SI" w:eastAsia="en-GB"/>
        </w:rPr>
        <w:t>mehkih dejavnikov</w:t>
      </w:r>
      <w:r w:rsidR="001D65DF">
        <w:rPr>
          <w:lang w:val="sl-SI" w:eastAsia="en-GB"/>
        </w:rPr>
        <w:t>«</w:t>
      </w:r>
      <w:r w:rsidRPr="00275FBD">
        <w:rPr>
          <w:lang w:val="sl-SI" w:eastAsia="en-GB"/>
        </w:rPr>
        <w:t xml:space="preserve"> iz PSR</w:t>
      </w:r>
      <w:r w:rsidR="009E4984" w:rsidRPr="00275FBD">
        <w:rPr>
          <w:lang w:val="sl-SI" w:eastAsia="en-GB"/>
        </w:rPr>
        <w:t>2</w:t>
      </w:r>
      <w:r w:rsidRPr="00275FBD">
        <w:rPr>
          <w:lang w:val="sl-SI" w:eastAsia="en-GB"/>
        </w:rPr>
        <w:t xml:space="preserve"> </w:t>
      </w:r>
      <w:r w:rsidR="009E4984" w:rsidRPr="00275FBD">
        <w:rPr>
          <w:lang w:val="sl-SI" w:eastAsia="en-GB"/>
        </w:rPr>
        <w:t>mogoče</w:t>
      </w:r>
      <w:r w:rsidRPr="00275FBD">
        <w:rPr>
          <w:lang w:val="sl-SI" w:eastAsia="en-GB"/>
        </w:rPr>
        <w:t xml:space="preserve"> izločen</w:t>
      </w:r>
      <w:r w:rsidR="00BC40A5" w:rsidRPr="00275FBD">
        <w:rPr>
          <w:lang w:val="sl-SI" w:eastAsia="en-GB"/>
        </w:rPr>
        <w:t>e</w:t>
      </w:r>
      <w:r w:rsidRPr="00275FBD">
        <w:rPr>
          <w:lang w:val="sl-SI" w:eastAsia="en-GB"/>
        </w:rPr>
        <w:t xml:space="preserve"> </w:t>
      </w:r>
      <w:r w:rsidR="009E4984" w:rsidRPr="00275FBD">
        <w:rPr>
          <w:lang w:val="sl-SI" w:eastAsia="en-GB"/>
        </w:rPr>
        <w:t xml:space="preserve">(zaradi nizke </w:t>
      </w:r>
      <w:r w:rsidR="008F27DA">
        <w:rPr>
          <w:lang w:val="sl-SI" w:eastAsia="en-GB"/>
        </w:rPr>
        <w:t xml:space="preserve">ocene pri </w:t>
      </w:r>
      <w:r w:rsidR="009E4984" w:rsidRPr="00275FBD">
        <w:rPr>
          <w:lang w:val="sl-SI" w:eastAsia="en-GB"/>
        </w:rPr>
        <w:t>značiln</w:t>
      </w:r>
      <w:r w:rsidR="00F61E58">
        <w:rPr>
          <w:lang w:val="sl-SI" w:eastAsia="en-GB"/>
        </w:rPr>
        <w:t>osti</w:t>
      </w:r>
      <w:r w:rsidR="009E4984" w:rsidRPr="00275FBD">
        <w:rPr>
          <w:lang w:val="sl-SI" w:eastAsia="en-GB"/>
        </w:rPr>
        <w:t xml:space="preserve">) </w:t>
      </w:r>
      <w:r w:rsidRPr="00275FBD">
        <w:rPr>
          <w:lang w:val="sl-SI" w:eastAsia="en-GB"/>
        </w:rPr>
        <w:t xml:space="preserve">iz načrta </w:t>
      </w:r>
      <w:r w:rsidR="008F27DA">
        <w:rPr>
          <w:lang w:val="sl-SI" w:eastAsia="en-GB"/>
        </w:rPr>
        <w:t xml:space="preserve">izvedbe ukrepov </w:t>
      </w:r>
      <w:r w:rsidR="009E4984" w:rsidRPr="00275FBD">
        <w:rPr>
          <w:lang w:val="sl-SI" w:eastAsia="en-GB"/>
        </w:rPr>
        <w:t xml:space="preserve">PSR2 </w:t>
      </w:r>
      <w:r w:rsidRPr="00275FBD">
        <w:rPr>
          <w:lang w:val="sl-SI" w:eastAsia="en-GB"/>
        </w:rPr>
        <w:t xml:space="preserve">ter </w:t>
      </w:r>
      <w:r w:rsidR="008F27DA">
        <w:rPr>
          <w:lang w:val="sl-SI" w:eastAsia="en-GB"/>
        </w:rPr>
        <w:t xml:space="preserve">nato </w:t>
      </w:r>
      <w:r w:rsidRPr="00275FBD">
        <w:rPr>
          <w:lang w:val="sl-SI" w:eastAsia="en-GB"/>
        </w:rPr>
        <w:t xml:space="preserve">ponovno </w:t>
      </w:r>
      <w:r w:rsidR="008F27DA">
        <w:rPr>
          <w:lang w:val="sl-SI" w:eastAsia="en-GB"/>
        </w:rPr>
        <w:t>določe</w:t>
      </w:r>
      <w:r w:rsidRPr="00275FBD">
        <w:rPr>
          <w:lang w:val="sl-SI" w:eastAsia="en-GB"/>
        </w:rPr>
        <w:t>n</w:t>
      </w:r>
      <w:r w:rsidR="00BC40A5" w:rsidRPr="00275FBD">
        <w:rPr>
          <w:lang w:val="sl-SI" w:eastAsia="en-GB"/>
        </w:rPr>
        <w:t>e</w:t>
      </w:r>
      <w:r w:rsidRPr="00275FBD">
        <w:rPr>
          <w:lang w:val="sl-SI" w:eastAsia="en-GB"/>
        </w:rPr>
        <w:t xml:space="preserve"> v enaki ali podobni obliki </w:t>
      </w:r>
      <w:r w:rsidR="008F27DA">
        <w:rPr>
          <w:lang w:val="sl-SI" w:eastAsia="en-GB"/>
        </w:rPr>
        <w:t>v</w:t>
      </w:r>
      <w:r w:rsidR="008F27DA" w:rsidRPr="00275FBD">
        <w:rPr>
          <w:lang w:val="sl-SI" w:eastAsia="en-GB"/>
        </w:rPr>
        <w:t xml:space="preserve"> </w:t>
      </w:r>
      <w:r w:rsidR="009E4984" w:rsidRPr="00275FBD">
        <w:rPr>
          <w:lang w:val="sl-SI" w:eastAsia="en-GB"/>
        </w:rPr>
        <w:t>PSR3</w:t>
      </w:r>
      <w:r w:rsidRPr="00275FBD">
        <w:rPr>
          <w:lang w:val="sl-SI" w:eastAsia="en-GB"/>
        </w:rPr>
        <w:t xml:space="preserve">. Prav tako je razvidno, da so ocenjevalci </w:t>
      </w:r>
      <w:r w:rsidR="001A7DAD" w:rsidRPr="00275FBD">
        <w:rPr>
          <w:lang w:val="sl-SI" w:eastAsia="en-GB"/>
        </w:rPr>
        <w:t>pri</w:t>
      </w:r>
      <w:r w:rsidRPr="00275FBD">
        <w:rPr>
          <w:lang w:val="sl-SI" w:eastAsia="en-GB"/>
        </w:rPr>
        <w:t xml:space="preserve"> PSR</w:t>
      </w:r>
      <w:r w:rsidR="001A7DAD" w:rsidRPr="00275FBD">
        <w:rPr>
          <w:lang w:val="sl-SI" w:eastAsia="en-GB"/>
        </w:rPr>
        <w:t>3</w:t>
      </w:r>
      <w:r w:rsidRPr="00275FBD">
        <w:rPr>
          <w:lang w:val="sl-SI" w:eastAsia="en-GB"/>
        </w:rPr>
        <w:t xml:space="preserve"> ugotovili manj korelacije med varnostnimi </w:t>
      </w:r>
      <w:r w:rsidR="008F27DA">
        <w:rPr>
          <w:lang w:val="sl-SI" w:eastAsia="en-GB"/>
        </w:rPr>
        <w:t>vsebinami</w:t>
      </w:r>
      <w:r w:rsidRPr="00275FBD">
        <w:rPr>
          <w:lang w:val="sl-SI" w:eastAsia="en-GB"/>
        </w:rPr>
        <w:t xml:space="preserve">, kot je domnevano v </w:t>
      </w:r>
      <w:r w:rsidR="00463518">
        <w:rPr>
          <w:lang w:val="sl-SI"/>
        </w:rPr>
        <w:t>smernici</w:t>
      </w:r>
      <w:r w:rsidR="00463518" w:rsidRPr="00275FBD">
        <w:rPr>
          <w:lang w:val="sl-SI"/>
        </w:rPr>
        <w:t xml:space="preserve"> </w:t>
      </w:r>
      <w:r w:rsidRPr="00275FBD">
        <w:rPr>
          <w:lang w:val="sl-SI" w:eastAsia="en-GB"/>
        </w:rPr>
        <w:t xml:space="preserve">IAEA </w:t>
      </w:r>
      <w:r w:rsidR="001A7DAD" w:rsidRPr="00275FBD">
        <w:rPr>
          <w:lang w:val="sl-SI" w:eastAsia="en-GB"/>
        </w:rPr>
        <w:fldChar w:fldCharType="begin"/>
      </w:r>
      <w:r w:rsidR="001A7DAD" w:rsidRPr="00275FBD">
        <w:rPr>
          <w:lang w:val="sl-SI" w:eastAsia="en-GB"/>
        </w:rPr>
        <w:instrText xml:space="preserve"> REF _Ref129855843 \r \h </w:instrText>
      </w:r>
      <w:r w:rsidR="001A7DAD" w:rsidRPr="00275FBD">
        <w:rPr>
          <w:lang w:val="sl-SI" w:eastAsia="en-GB"/>
        </w:rPr>
      </w:r>
      <w:r w:rsidR="001A7DAD" w:rsidRPr="00275FBD">
        <w:rPr>
          <w:lang w:val="sl-SI" w:eastAsia="en-GB"/>
        </w:rPr>
        <w:fldChar w:fldCharType="separate"/>
      </w:r>
      <w:r w:rsidR="00BA25CD">
        <w:rPr>
          <w:lang w:val="sl-SI" w:eastAsia="en-GB"/>
        </w:rPr>
        <w:t>[8]</w:t>
      </w:r>
      <w:r w:rsidR="001A7DAD" w:rsidRPr="00275FBD">
        <w:rPr>
          <w:lang w:val="sl-SI" w:eastAsia="en-GB"/>
        </w:rPr>
        <w:fldChar w:fldCharType="end"/>
      </w:r>
      <w:r w:rsidRPr="00275FBD">
        <w:rPr>
          <w:lang w:val="sl-SI" w:eastAsia="en-GB"/>
        </w:rPr>
        <w:t xml:space="preserve">, Dodatek I. To je tudi </w:t>
      </w:r>
      <w:r w:rsidR="00463518">
        <w:rPr>
          <w:lang w:val="sl-SI" w:eastAsia="en-GB"/>
        </w:rPr>
        <w:t>smisel</w:t>
      </w:r>
      <w:r w:rsidR="00463518" w:rsidRPr="00275FBD">
        <w:rPr>
          <w:lang w:val="sl-SI" w:eastAsia="en-GB"/>
        </w:rPr>
        <w:t>no</w:t>
      </w:r>
      <w:r w:rsidRPr="00275FBD">
        <w:rPr>
          <w:lang w:val="sl-SI" w:eastAsia="en-GB"/>
        </w:rPr>
        <w:t xml:space="preserve"> ob upoštevanju, da je bil PSR</w:t>
      </w:r>
      <w:r w:rsidR="001A7DAD" w:rsidRPr="00275FBD">
        <w:rPr>
          <w:lang w:val="sl-SI" w:eastAsia="en-GB"/>
        </w:rPr>
        <w:t>3</w:t>
      </w:r>
      <w:r w:rsidRPr="00275FBD">
        <w:rPr>
          <w:lang w:val="sl-SI" w:eastAsia="en-GB"/>
        </w:rPr>
        <w:t xml:space="preserve"> opravljen takoj po končanem </w:t>
      </w:r>
      <w:r w:rsidR="001A7DAD" w:rsidRPr="00275FBD">
        <w:rPr>
          <w:lang w:val="sl-SI" w:eastAsia="en-GB"/>
        </w:rPr>
        <w:t>P</w:t>
      </w:r>
      <w:r w:rsidRPr="00275FBD">
        <w:rPr>
          <w:lang w:val="sl-SI" w:eastAsia="en-GB"/>
        </w:rPr>
        <w:t>rogramu nadgradnje varnosti (</w:t>
      </w:r>
      <w:r w:rsidR="001A7DAD" w:rsidRPr="00275FBD">
        <w:rPr>
          <w:lang w:val="sl-SI" w:eastAsia="en-GB"/>
        </w:rPr>
        <w:t xml:space="preserve">»Safety </w:t>
      </w:r>
      <w:proofErr w:type="spellStart"/>
      <w:r w:rsidR="001A7DAD" w:rsidRPr="00275FBD">
        <w:rPr>
          <w:lang w:val="sl-SI" w:eastAsia="en-GB"/>
        </w:rPr>
        <w:t>Upgrade</w:t>
      </w:r>
      <w:proofErr w:type="spellEnd"/>
      <w:r w:rsidR="001A7DAD" w:rsidRPr="00275FBD">
        <w:rPr>
          <w:lang w:val="sl-SI" w:eastAsia="en-GB"/>
        </w:rPr>
        <w:t xml:space="preserve"> Program«, </w:t>
      </w:r>
      <w:r w:rsidRPr="00275FBD">
        <w:rPr>
          <w:lang w:val="sl-SI" w:eastAsia="en-GB"/>
        </w:rPr>
        <w:t>SUP) in uspešno izvedenem projektu podaljšanja življenjske dobe (</w:t>
      </w:r>
      <w:r w:rsidR="001A7DAD" w:rsidRPr="00275FBD">
        <w:rPr>
          <w:lang w:val="sl-SI" w:eastAsia="en-GB"/>
        </w:rPr>
        <w:t>»</w:t>
      </w:r>
      <w:proofErr w:type="spellStart"/>
      <w:r w:rsidR="001A7DAD" w:rsidRPr="00275FBD">
        <w:rPr>
          <w:lang w:val="sl-SI" w:eastAsia="en-GB"/>
        </w:rPr>
        <w:t>Life</w:t>
      </w:r>
      <w:r w:rsidR="008F27DA">
        <w:rPr>
          <w:lang w:val="sl-SI" w:eastAsia="en-GB"/>
        </w:rPr>
        <w:t>time</w:t>
      </w:r>
      <w:proofErr w:type="spellEnd"/>
      <w:r w:rsidR="001A7DAD" w:rsidRPr="00275FBD">
        <w:rPr>
          <w:lang w:val="sl-SI" w:eastAsia="en-GB"/>
        </w:rPr>
        <w:t xml:space="preserve"> Extension«, </w:t>
      </w:r>
      <w:r w:rsidRPr="00275FBD">
        <w:rPr>
          <w:lang w:val="sl-SI" w:eastAsia="en-GB"/>
        </w:rPr>
        <w:t>LEX).</w:t>
      </w:r>
    </w:p>
    <w:p w14:paraId="1D3FBB49" w14:textId="07B3D210" w:rsidR="001A7DAD" w:rsidRPr="00275FBD" w:rsidRDefault="001A7DAD" w:rsidP="001A7DAD">
      <w:pPr>
        <w:rPr>
          <w:bCs/>
          <w:lang w:val="sl-SI" w:eastAsia="en-GB"/>
        </w:rPr>
      </w:pPr>
      <w:r w:rsidRPr="00275FBD">
        <w:rPr>
          <w:bCs/>
          <w:lang w:val="sl-SI" w:eastAsia="en-GB"/>
        </w:rPr>
        <w:t xml:space="preserve">Najmanjši prispevek </w:t>
      </w:r>
      <w:r w:rsidR="008335E8">
        <w:rPr>
          <w:bCs/>
          <w:lang w:val="sl-SI" w:eastAsia="en-GB"/>
        </w:rPr>
        <w:t>povezav</w:t>
      </w:r>
      <w:r w:rsidRPr="00275FBD">
        <w:rPr>
          <w:bCs/>
          <w:lang w:val="sl-SI" w:eastAsia="en-GB"/>
        </w:rPr>
        <w:t xml:space="preserve"> je povezan z varnostn</w:t>
      </w:r>
      <w:r w:rsidR="00E1088E">
        <w:rPr>
          <w:bCs/>
          <w:lang w:val="sl-SI" w:eastAsia="en-GB"/>
        </w:rPr>
        <w:t>o</w:t>
      </w:r>
      <w:r w:rsidRPr="00275FBD">
        <w:rPr>
          <w:bCs/>
          <w:lang w:val="sl-SI" w:eastAsia="en-GB"/>
        </w:rPr>
        <w:t xml:space="preserve"> </w:t>
      </w:r>
      <w:r w:rsidR="00E1088E">
        <w:rPr>
          <w:lang w:val="sl-SI"/>
        </w:rPr>
        <w:t>vsebino</w:t>
      </w:r>
      <w:r w:rsidR="00E1088E" w:rsidRPr="00275FBD">
        <w:rPr>
          <w:lang w:val="sl-SI"/>
        </w:rPr>
        <w:t xml:space="preserve"> </w:t>
      </w:r>
      <w:r w:rsidRPr="00275FBD">
        <w:rPr>
          <w:bCs/>
          <w:lang w:val="sl-SI" w:eastAsia="en-GB"/>
        </w:rPr>
        <w:t xml:space="preserve">»6« (verjetnostna varnostna analiza). </w:t>
      </w:r>
      <w:r w:rsidR="00F61E58">
        <w:rPr>
          <w:bCs/>
          <w:lang w:val="sl-SI" w:eastAsia="en-GB"/>
        </w:rPr>
        <w:t>To</w:t>
      </w:r>
      <w:r w:rsidRPr="00275FBD">
        <w:rPr>
          <w:bCs/>
          <w:lang w:val="sl-SI" w:eastAsia="en-GB"/>
        </w:rPr>
        <w:t xml:space="preserve"> je mogoče </w:t>
      </w:r>
      <w:r w:rsidR="00F61E58">
        <w:rPr>
          <w:bCs/>
          <w:lang w:val="sl-SI" w:eastAsia="en-GB"/>
        </w:rPr>
        <w:t>razložiti s tem</w:t>
      </w:r>
      <w:r w:rsidRPr="00275FBD">
        <w:rPr>
          <w:bCs/>
          <w:lang w:val="sl-SI" w:eastAsia="en-GB"/>
        </w:rPr>
        <w:t xml:space="preserve">, da je bilo veliko </w:t>
      </w:r>
      <w:r w:rsidR="00BD5705" w:rsidRPr="00275FBD">
        <w:rPr>
          <w:bCs/>
          <w:lang w:val="sl-SI" w:eastAsia="en-GB"/>
        </w:rPr>
        <w:t xml:space="preserve">najdb </w:t>
      </w:r>
      <w:r w:rsidRPr="00275FBD">
        <w:rPr>
          <w:bCs/>
          <w:lang w:val="sl-SI" w:eastAsia="en-GB"/>
        </w:rPr>
        <w:t xml:space="preserve">v zvezi s </w:t>
      </w:r>
      <w:r w:rsidR="00F61E58" w:rsidRPr="00275FBD">
        <w:rPr>
          <w:bCs/>
          <w:lang w:val="sl-SI" w:eastAsia="en-GB"/>
        </w:rPr>
        <w:t>verjetnos</w:t>
      </w:r>
      <w:r w:rsidR="00F61E58">
        <w:rPr>
          <w:bCs/>
          <w:lang w:val="sl-SI" w:eastAsia="en-GB"/>
        </w:rPr>
        <w:t>t</w:t>
      </w:r>
      <w:r w:rsidR="00F61E58" w:rsidRPr="00275FBD">
        <w:rPr>
          <w:bCs/>
          <w:lang w:val="sl-SI" w:eastAsia="en-GB"/>
        </w:rPr>
        <w:t>n</w:t>
      </w:r>
      <w:r w:rsidR="00F61E58">
        <w:rPr>
          <w:bCs/>
          <w:lang w:val="sl-SI" w:eastAsia="en-GB"/>
        </w:rPr>
        <w:t>imi</w:t>
      </w:r>
      <w:r w:rsidR="00F61E58" w:rsidRPr="00275FBD">
        <w:rPr>
          <w:bCs/>
          <w:lang w:val="sl-SI" w:eastAsia="en-GB"/>
        </w:rPr>
        <w:t xml:space="preserve"> varnostn</w:t>
      </w:r>
      <w:r w:rsidR="00F61E58">
        <w:rPr>
          <w:bCs/>
          <w:lang w:val="sl-SI" w:eastAsia="en-GB"/>
        </w:rPr>
        <w:t>imi</w:t>
      </w:r>
      <w:r w:rsidR="00F61E58" w:rsidRPr="00275FBD">
        <w:rPr>
          <w:bCs/>
          <w:lang w:val="sl-SI" w:eastAsia="en-GB"/>
        </w:rPr>
        <w:t xml:space="preserve"> analiz</w:t>
      </w:r>
      <w:r w:rsidR="00F61E58">
        <w:rPr>
          <w:bCs/>
          <w:lang w:val="sl-SI" w:eastAsia="en-GB"/>
        </w:rPr>
        <w:t>ami</w:t>
      </w:r>
      <w:r w:rsidR="00F61E58" w:rsidRPr="00275FBD">
        <w:rPr>
          <w:bCs/>
          <w:lang w:val="sl-SI" w:eastAsia="en-GB"/>
        </w:rPr>
        <w:t xml:space="preserve"> </w:t>
      </w:r>
      <w:r w:rsidR="007073AD" w:rsidRPr="00275FBD">
        <w:rPr>
          <w:bCs/>
          <w:lang w:val="sl-SI" w:eastAsia="en-GB"/>
        </w:rPr>
        <w:t>(»Probabilistic Safety Analysis«, PSA)</w:t>
      </w:r>
      <w:r w:rsidRPr="00275FBD">
        <w:rPr>
          <w:bCs/>
          <w:lang w:val="sl-SI" w:eastAsia="en-GB"/>
        </w:rPr>
        <w:t xml:space="preserve"> </w:t>
      </w:r>
      <w:r w:rsidR="00F61E58">
        <w:rPr>
          <w:bCs/>
          <w:lang w:val="sl-SI" w:eastAsia="en-GB"/>
        </w:rPr>
        <w:t>raz</w:t>
      </w:r>
      <w:r w:rsidRPr="00275FBD">
        <w:rPr>
          <w:bCs/>
          <w:lang w:val="sl-SI" w:eastAsia="en-GB"/>
        </w:rPr>
        <w:t xml:space="preserve">rešenih med dvema PSR. Pregledovalci niso odkrili nobenih </w:t>
      </w:r>
      <w:r w:rsidR="008335E8">
        <w:rPr>
          <w:bCs/>
          <w:lang w:val="sl-SI" w:eastAsia="en-GB"/>
        </w:rPr>
        <w:t>povezav</w:t>
      </w:r>
      <w:r w:rsidRPr="00275FBD">
        <w:rPr>
          <w:bCs/>
          <w:lang w:val="sl-SI" w:eastAsia="en-GB"/>
        </w:rPr>
        <w:t xml:space="preserve"> pri varnostnih </w:t>
      </w:r>
      <w:r w:rsidR="00E1088E">
        <w:rPr>
          <w:lang w:val="sl-SI"/>
        </w:rPr>
        <w:t xml:space="preserve">vsebinah </w:t>
      </w:r>
      <w:r w:rsidRPr="00275FBD">
        <w:rPr>
          <w:bCs/>
          <w:lang w:val="sl-SI" w:eastAsia="en-GB"/>
        </w:rPr>
        <w:t>»9«, »16« in »18«.</w:t>
      </w:r>
    </w:p>
    <w:p w14:paraId="3100B2C4" w14:textId="188E68D6" w:rsidR="001A7DAD" w:rsidRPr="00275FBD" w:rsidRDefault="001A7DAD" w:rsidP="001A7DAD">
      <w:pPr>
        <w:rPr>
          <w:bCs/>
          <w:lang w:val="sl-SI" w:eastAsia="en-GB"/>
        </w:rPr>
      </w:pPr>
      <w:r w:rsidRPr="00275FBD">
        <w:rPr>
          <w:bCs/>
          <w:lang w:val="sl-SI" w:eastAsia="en-GB"/>
        </w:rPr>
        <w:t xml:space="preserve">Ocena </w:t>
      </w:r>
      <w:r w:rsidR="008335E8">
        <w:rPr>
          <w:bCs/>
          <w:lang w:val="sl-SI" w:eastAsia="en-GB"/>
        </w:rPr>
        <w:t>povezav</w:t>
      </w:r>
      <w:r w:rsidRPr="00275FBD">
        <w:rPr>
          <w:bCs/>
          <w:lang w:val="sl-SI" w:eastAsia="en-GB"/>
        </w:rPr>
        <w:t xml:space="preserve"> kot del </w:t>
      </w:r>
      <w:r w:rsidR="000C7C28">
        <w:rPr>
          <w:lang w:val="sl-SI"/>
        </w:rPr>
        <w:t>celovite</w:t>
      </w:r>
      <w:r w:rsidR="000C7C28" w:rsidRPr="00275FBD">
        <w:rPr>
          <w:lang w:val="sl-SI"/>
        </w:rPr>
        <w:t xml:space="preserve"> </w:t>
      </w:r>
      <w:r w:rsidRPr="00275FBD">
        <w:rPr>
          <w:bCs/>
          <w:lang w:val="sl-SI" w:eastAsia="en-GB"/>
        </w:rPr>
        <w:t xml:space="preserve">presoje </w:t>
      </w:r>
      <w:r w:rsidR="000C7C28">
        <w:rPr>
          <w:bCs/>
          <w:lang w:val="sl-SI" w:eastAsia="en-GB"/>
        </w:rPr>
        <w:t>varnosti</w:t>
      </w:r>
      <w:r w:rsidR="000C7C28" w:rsidRPr="00275FBD">
        <w:rPr>
          <w:bCs/>
          <w:lang w:val="sl-SI" w:eastAsia="en-GB"/>
        </w:rPr>
        <w:t xml:space="preserve"> </w:t>
      </w:r>
      <w:r w:rsidRPr="00275FBD">
        <w:rPr>
          <w:bCs/>
          <w:lang w:val="sl-SI" w:eastAsia="en-GB"/>
        </w:rPr>
        <w:t>je potekala v dveh fazah.</w:t>
      </w:r>
    </w:p>
    <w:p w14:paraId="756AE62E" w14:textId="63D865E6" w:rsidR="001A7DAD" w:rsidRPr="00275FBD" w:rsidRDefault="001A7DAD" w:rsidP="009202D5">
      <w:pPr>
        <w:rPr>
          <w:bCs/>
          <w:lang w:val="sl-SI" w:eastAsia="en-GB"/>
        </w:rPr>
      </w:pPr>
      <w:r w:rsidRPr="00275FBD">
        <w:rPr>
          <w:bCs/>
          <w:lang w:val="sl-SI" w:eastAsia="en-GB"/>
        </w:rPr>
        <w:t xml:space="preserve">Prva faza je bila obravnava povezanih varnostnih </w:t>
      </w:r>
      <w:r w:rsidR="00F61E58">
        <w:rPr>
          <w:bCs/>
          <w:lang w:val="sl-SI" w:eastAsia="en-GB"/>
        </w:rPr>
        <w:t>vsebin</w:t>
      </w:r>
      <w:r w:rsidR="00F61E58" w:rsidRPr="00275FBD">
        <w:rPr>
          <w:bCs/>
          <w:lang w:val="sl-SI" w:eastAsia="en-GB"/>
        </w:rPr>
        <w:t xml:space="preserve"> </w:t>
      </w:r>
      <w:r w:rsidRPr="00275FBD">
        <w:rPr>
          <w:bCs/>
          <w:lang w:val="sl-SI" w:eastAsia="en-GB"/>
        </w:rPr>
        <w:t xml:space="preserve">in zadevnih </w:t>
      </w:r>
      <w:r w:rsidR="00BD5705" w:rsidRPr="00275FBD">
        <w:rPr>
          <w:bCs/>
          <w:lang w:val="sl-SI" w:eastAsia="en-GB"/>
        </w:rPr>
        <w:t xml:space="preserve">najdb </w:t>
      </w:r>
      <w:r w:rsidRPr="00275FBD">
        <w:rPr>
          <w:bCs/>
          <w:lang w:val="sl-SI" w:eastAsia="en-GB"/>
        </w:rPr>
        <w:t xml:space="preserve">med pregledom predhodnih uvrstitev. Za ovrednoteno </w:t>
      </w:r>
      <w:r w:rsidR="00EC5401" w:rsidRPr="00275FBD">
        <w:rPr>
          <w:bCs/>
          <w:lang w:val="sl-SI" w:eastAsia="en-GB"/>
        </w:rPr>
        <w:t>najdbo</w:t>
      </w:r>
      <w:r w:rsidRPr="00275FBD">
        <w:rPr>
          <w:bCs/>
          <w:lang w:val="sl-SI" w:eastAsia="en-GB"/>
        </w:rPr>
        <w:t xml:space="preserve"> so bil</w:t>
      </w:r>
      <w:r w:rsidR="00F61E58">
        <w:rPr>
          <w:bCs/>
          <w:lang w:val="sl-SI" w:eastAsia="en-GB"/>
        </w:rPr>
        <w:t>e</w:t>
      </w:r>
      <w:r w:rsidRPr="00275FBD">
        <w:rPr>
          <w:bCs/>
          <w:lang w:val="sl-SI" w:eastAsia="en-GB"/>
        </w:rPr>
        <w:t xml:space="preserve"> povezan</w:t>
      </w:r>
      <w:r w:rsidR="00F61E58">
        <w:rPr>
          <w:bCs/>
          <w:lang w:val="sl-SI" w:eastAsia="en-GB"/>
        </w:rPr>
        <w:t>e</w:t>
      </w:r>
      <w:r w:rsidRPr="00275FBD">
        <w:rPr>
          <w:bCs/>
          <w:lang w:val="sl-SI" w:eastAsia="en-GB"/>
        </w:rPr>
        <w:t xml:space="preserve"> varnostn</w:t>
      </w:r>
      <w:r w:rsidR="00F61E58">
        <w:rPr>
          <w:bCs/>
          <w:lang w:val="sl-SI" w:eastAsia="en-GB"/>
        </w:rPr>
        <w:t>e</w:t>
      </w:r>
      <w:r w:rsidRPr="00275FBD">
        <w:rPr>
          <w:bCs/>
          <w:lang w:val="sl-SI" w:eastAsia="en-GB"/>
        </w:rPr>
        <w:t xml:space="preserve"> </w:t>
      </w:r>
      <w:r w:rsidR="00F61E58">
        <w:rPr>
          <w:bCs/>
          <w:lang w:val="sl-SI" w:eastAsia="en-GB"/>
        </w:rPr>
        <w:t>vsebine</w:t>
      </w:r>
      <w:r w:rsidR="00F61E58" w:rsidRPr="00275FBD">
        <w:rPr>
          <w:bCs/>
          <w:lang w:val="sl-SI" w:eastAsia="en-GB"/>
        </w:rPr>
        <w:t xml:space="preserve"> </w:t>
      </w:r>
      <w:r w:rsidRPr="00275FBD">
        <w:rPr>
          <w:bCs/>
          <w:lang w:val="sl-SI" w:eastAsia="en-GB"/>
        </w:rPr>
        <w:t xml:space="preserve">(če </w:t>
      </w:r>
      <w:r w:rsidR="007073AD" w:rsidRPr="00275FBD">
        <w:rPr>
          <w:bCs/>
          <w:lang w:val="sl-SI" w:eastAsia="en-GB"/>
        </w:rPr>
        <w:t xml:space="preserve">so </w:t>
      </w:r>
      <w:r w:rsidR="00F61E58" w:rsidRPr="00275FBD">
        <w:rPr>
          <w:bCs/>
          <w:lang w:val="sl-SI" w:eastAsia="en-GB"/>
        </w:rPr>
        <w:t>obstajal</w:t>
      </w:r>
      <w:r w:rsidR="00F61E58">
        <w:rPr>
          <w:bCs/>
          <w:lang w:val="sl-SI" w:eastAsia="en-GB"/>
        </w:rPr>
        <w:t>e</w:t>
      </w:r>
      <w:r w:rsidRPr="00275FBD">
        <w:rPr>
          <w:bCs/>
          <w:lang w:val="sl-SI" w:eastAsia="en-GB"/>
        </w:rPr>
        <w:t>)</w:t>
      </w:r>
      <w:r w:rsidR="00485A8B" w:rsidRPr="00275FBD">
        <w:rPr>
          <w:bCs/>
          <w:lang w:val="sl-SI" w:eastAsia="en-GB"/>
        </w:rPr>
        <w:t>,</w:t>
      </w:r>
      <w:r w:rsidRPr="00275FBD">
        <w:rPr>
          <w:bCs/>
          <w:lang w:val="sl-SI" w:eastAsia="en-GB"/>
        </w:rPr>
        <w:t xml:space="preserve"> </w:t>
      </w:r>
      <w:r w:rsidR="00F61E58">
        <w:rPr>
          <w:bCs/>
          <w:lang w:val="sl-SI" w:eastAsia="en-GB"/>
        </w:rPr>
        <w:t>določene</w:t>
      </w:r>
      <w:r w:rsidR="00F61E58" w:rsidRPr="00275FBD">
        <w:rPr>
          <w:bCs/>
          <w:lang w:val="sl-SI" w:eastAsia="en-GB"/>
        </w:rPr>
        <w:t xml:space="preserve"> </w:t>
      </w:r>
      <w:r w:rsidRPr="00275FBD">
        <w:rPr>
          <w:bCs/>
          <w:lang w:val="sl-SI" w:eastAsia="en-GB"/>
        </w:rPr>
        <w:t xml:space="preserve">iz tematskega poročila </w:t>
      </w:r>
      <w:r w:rsidR="00F61E58">
        <w:rPr>
          <w:bCs/>
          <w:lang w:val="sl-SI" w:eastAsia="en-GB"/>
        </w:rPr>
        <w:t>s</w:t>
      </w:r>
      <w:r w:rsidR="00F61E58" w:rsidRPr="00275FBD">
        <w:rPr>
          <w:bCs/>
          <w:lang w:val="sl-SI" w:eastAsia="en-GB"/>
        </w:rPr>
        <w:t xml:space="preserve"> </w:t>
      </w:r>
      <w:r w:rsidRPr="00275FBD">
        <w:rPr>
          <w:bCs/>
          <w:lang w:val="sl-SI" w:eastAsia="en-GB"/>
        </w:rPr>
        <w:t>t</w:t>
      </w:r>
      <w:r w:rsidR="00F61E58">
        <w:rPr>
          <w:bCs/>
          <w:lang w:val="sl-SI" w:eastAsia="en-GB"/>
        </w:rPr>
        <w:t>ak</w:t>
      </w:r>
      <w:r w:rsidRPr="00275FBD">
        <w:rPr>
          <w:bCs/>
          <w:lang w:val="sl-SI" w:eastAsia="en-GB"/>
        </w:rPr>
        <w:t xml:space="preserve">o </w:t>
      </w:r>
      <w:r w:rsidR="00EC5401" w:rsidRPr="00275FBD">
        <w:rPr>
          <w:bCs/>
          <w:lang w:val="sl-SI" w:eastAsia="en-GB"/>
        </w:rPr>
        <w:t>najdbo</w:t>
      </w:r>
      <w:r w:rsidRPr="00275FBD">
        <w:rPr>
          <w:bCs/>
          <w:lang w:val="sl-SI" w:eastAsia="en-GB"/>
        </w:rPr>
        <w:t xml:space="preserve">. Tematska poročila o povezanih varnostnih </w:t>
      </w:r>
      <w:r w:rsidR="00E1088E">
        <w:rPr>
          <w:lang w:val="sl-SI"/>
        </w:rPr>
        <w:t>vsebinah</w:t>
      </w:r>
      <w:r w:rsidR="00E1088E" w:rsidRPr="00275FBD">
        <w:rPr>
          <w:lang w:val="sl-SI"/>
        </w:rPr>
        <w:t xml:space="preserve"> </w:t>
      </w:r>
      <w:r w:rsidRPr="00275FBD">
        <w:rPr>
          <w:bCs/>
          <w:lang w:val="sl-SI" w:eastAsia="en-GB"/>
        </w:rPr>
        <w:t>so bila nato pregledana, da bi ugotovili morebitn</w:t>
      </w:r>
      <w:r w:rsidR="00910B6F" w:rsidRPr="00275FBD">
        <w:rPr>
          <w:bCs/>
          <w:lang w:val="sl-SI" w:eastAsia="en-GB"/>
        </w:rPr>
        <w:t>e</w:t>
      </w:r>
      <w:r w:rsidRPr="00275FBD">
        <w:rPr>
          <w:bCs/>
          <w:lang w:val="sl-SI" w:eastAsia="en-GB"/>
        </w:rPr>
        <w:t xml:space="preserve"> povezan</w:t>
      </w:r>
      <w:r w:rsidR="00910B6F" w:rsidRPr="00275FBD">
        <w:rPr>
          <w:bCs/>
          <w:lang w:val="sl-SI" w:eastAsia="en-GB"/>
        </w:rPr>
        <w:t>e</w:t>
      </w:r>
      <w:r w:rsidRPr="00275FBD">
        <w:rPr>
          <w:bCs/>
          <w:lang w:val="sl-SI" w:eastAsia="en-GB"/>
        </w:rPr>
        <w:t xml:space="preserve"> </w:t>
      </w:r>
      <w:r w:rsidR="00910B6F" w:rsidRPr="00275FBD">
        <w:rPr>
          <w:bCs/>
          <w:lang w:val="sl-SI" w:eastAsia="en-GB"/>
        </w:rPr>
        <w:t xml:space="preserve">najdbe </w:t>
      </w:r>
      <w:r w:rsidRPr="00275FBD">
        <w:rPr>
          <w:bCs/>
          <w:lang w:val="sl-SI" w:eastAsia="en-GB"/>
        </w:rPr>
        <w:t xml:space="preserve">(če </w:t>
      </w:r>
      <w:r w:rsidR="007073AD" w:rsidRPr="00275FBD">
        <w:rPr>
          <w:bCs/>
          <w:lang w:val="sl-SI" w:eastAsia="en-GB"/>
        </w:rPr>
        <w:t xml:space="preserve">so </w:t>
      </w:r>
      <w:r w:rsidR="00F61E58" w:rsidRPr="00275FBD">
        <w:rPr>
          <w:bCs/>
          <w:lang w:val="sl-SI" w:eastAsia="en-GB"/>
        </w:rPr>
        <w:t>obstajal</w:t>
      </w:r>
      <w:r w:rsidR="00F61E58">
        <w:rPr>
          <w:bCs/>
          <w:lang w:val="sl-SI" w:eastAsia="en-GB"/>
        </w:rPr>
        <w:t>e</w:t>
      </w:r>
      <w:r w:rsidRPr="00275FBD">
        <w:rPr>
          <w:bCs/>
          <w:lang w:val="sl-SI" w:eastAsia="en-GB"/>
        </w:rPr>
        <w:t xml:space="preserve">) in </w:t>
      </w:r>
      <w:r w:rsidR="00F61E58" w:rsidRPr="00275FBD">
        <w:rPr>
          <w:bCs/>
          <w:lang w:val="sl-SI" w:eastAsia="en-GB"/>
        </w:rPr>
        <w:t xml:space="preserve">ustrezno </w:t>
      </w:r>
      <w:r w:rsidRPr="00275FBD">
        <w:rPr>
          <w:bCs/>
          <w:lang w:val="sl-SI" w:eastAsia="en-GB"/>
        </w:rPr>
        <w:t>ocenili kumulativne</w:t>
      </w:r>
      <w:r w:rsidR="007073AD" w:rsidRPr="00275FBD">
        <w:rPr>
          <w:bCs/>
          <w:lang w:val="sl-SI" w:eastAsia="en-GB"/>
        </w:rPr>
        <w:t xml:space="preserve"> </w:t>
      </w:r>
      <w:r w:rsidRPr="00275FBD">
        <w:rPr>
          <w:bCs/>
          <w:lang w:val="sl-SI" w:eastAsia="en-GB"/>
        </w:rPr>
        <w:t>/</w:t>
      </w:r>
      <w:r w:rsidR="007073AD" w:rsidRPr="00275FBD">
        <w:rPr>
          <w:bCs/>
          <w:lang w:val="sl-SI" w:eastAsia="en-GB"/>
        </w:rPr>
        <w:t xml:space="preserve"> </w:t>
      </w:r>
      <w:proofErr w:type="spellStart"/>
      <w:r w:rsidRPr="00275FBD">
        <w:rPr>
          <w:bCs/>
          <w:lang w:val="sl-SI" w:eastAsia="en-GB"/>
        </w:rPr>
        <w:t>sinergijske</w:t>
      </w:r>
      <w:proofErr w:type="spellEnd"/>
      <w:r w:rsidRPr="00275FBD">
        <w:rPr>
          <w:bCs/>
          <w:lang w:val="sl-SI" w:eastAsia="en-GB"/>
        </w:rPr>
        <w:t xml:space="preserve"> učinke. Poudarek v tej fazi je bil na ugotavljanju, ali je </w:t>
      </w:r>
      <w:proofErr w:type="spellStart"/>
      <w:r w:rsidRPr="00275FBD">
        <w:rPr>
          <w:bCs/>
          <w:lang w:val="sl-SI" w:eastAsia="en-GB"/>
        </w:rPr>
        <w:t>kater</w:t>
      </w:r>
      <w:r w:rsidR="0015186D">
        <w:rPr>
          <w:bCs/>
          <w:lang w:val="sl-SI" w:eastAsia="en-GB"/>
        </w:rPr>
        <w:t>a</w:t>
      </w:r>
      <w:r w:rsidRPr="00275FBD">
        <w:rPr>
          <w:bCs/>
          <w:lang w:val="sl-SI" w:eastAsia="en-GB"/>
        </w:rPr>
        <w:t>kol</w:t>
      </w:r>
      <w:proofErr w:type="spellEnd"/>
      <w:r w:rsidRPr="00275FBD">
        <w:rPr>
          <w:bCs/>
          <w:lang w:val="sl-SI" w:eastAsia="en-GB"/>
        </w:rPr>
        <w:t xml:space="preserve"> </w:t>
      </w:r>
      <w:r w:rsidR="0015186D">
        <w:rPr>
          <w:bCs/>
          <w:lang w:val="sl-SI" w:eastAsia="en-GB"/>
        </w:rPr>
        <w:t>povezava</w:t>
      </w:r>
      <w:r w:rsidR="0015186D" w:rsidRPr="00275FBD">
        <w:rPr>
          <w:bCs/>
          <w:lang w:val="sl-SI" w:eastAsia="en-GB"/>
        </w:rPr>
        <w:t xml:space="preserve"> </w:t>
      </w:r>
      <w:r w:rsidRPr="00275FBD">
        <w:rPr>
          <w:bCs/>
          <w:lang w:val="sl-SI" w:eastAsia="en-GB"/>
        </w:rPr>
        <w:t>morda prinesl</w:t>
      </w:r>
      <w:r w:rsidR="0015186D">
        <w:rPr>
          <w:bCs/>
          <w:lang w:val="sl-SI" w:eastAsia="en-GB"/>
        </w:rPr>
        <w:t>a</w:t>
      </w:r>
      <w:r w:rsidRPr="00275FBD">
        <w:rPr>
          <w:bCs/>
          <w:lang w:val="sl-SI" w:eastAsia="en-GB"/>
        </w:rPr>
        <w:t xml:space="preserve"> </w:t>
      </w:r>
      <w:proofErr w:type="spellStart"/>
      <w:r w:rsidRPr="00275FBD">
        <w:rPr>
          <w:bCs/>
          <w:lang w:val="sl-SI" w:eastAsia="en-GB"/>
        </w:rPr>
        <w:t>sinergijski</w:t>
      </w:r>
      <w:proofErr w:type="spellEnd"/>
      <w:r w:rsidRPr="00275FBD">
        <w:rPr>
          <w:bCs/>
          <w:lang w:val="sl-SI" w:eastAsia="en-GB"/>
        </w:rPr>
        <w:t xml:space="preserve"> učinek na način, da </w:t>
      </w:r>
      <w:r w:rsidR="00F61E58">
        <w:rPr>
          <w:bCs/>
          <w:lang w:val="sl-SI" w:eastAsia="en-GB"/>
        </w:rPr>
        <w:t xml:space="preserve">poveča varnostno pomembnost najdbe do </w:t>
      </w:r>
      <w:r w:rsidRPr="00275FBD">
        <w:rPr>
          <w:bCs/>
          <w:lang w:val="sl-SI" w:eastAsia="en-GB"/>
        </w:rPr>
        <w:t>krši</w:t>
      </w:r>
      <w:r w:rsidR="00F61E58">
        <w:rPr>
          <w:bCs/>
          <w:lang w:val="sl-SI" w:eastAsia="en-GB"/>
        </w:rPr>
        <w:t>tve</w:t>
      </w:r>
      <w:r w:rsidRPr="00275FBD">
        <w:rPr>
          <w:bCs/>
          <w:lang w:val="sl-SI" w:eastAsia="en-GB"/>
        </w:rPr>
        <w:t xml:space="preserve"> </w:t>
      </w:r>
      <w:r w:rsidR="00FC520E" w:rsidRPr="00B973B0">
        <w:rPr>
          <w:lang w:val="sl-SI"/>
        </w:rPr>
        <w:t xml:space="preserve">obratovalnih </w:t>
      </w:r>
      <w:r w:rsidR="00FC520E">
        <w:rPr>
          <w:lang w:val="sl-SI"/>
        </w:rPr>
        <w:t>pogojev in omejitev</w:t>
      </w:r>
      <w:r w:rsidR="00FC520E" w:rsidRPr="00B973B0">
        <w:rPr>
          <w:lang w:val="sl-SI"/>
        </w:rPr>
        <w:t xml:space="preserve"> </w:t>
      </w:r>
      <w:r w:rsidRPr="00275FBD">
        <w:rPr>
          <w:bCs/>
          <w:lang w:val="sl-SI" w:eastAsia="en-GB"/>
        </w:rPr>
        <w:t xml:space="preserve">NEK ali pomembno vpliva na jedrsko varnost na način, ki ni analiziran v NEK USAR, kar </w:t>
      </w:r>
      <w:r w:rsidR="00F61E58">
        <w:rPr>
          <w:bCs/>
          <w:lang w:val="sl-SI" w:eastAsia="en-GB"/>
        </w:rPr>
        <w:t xml:space="preserve">bi </w:t>
      </w:r>
      <w:r w:rsidRPr="00275FBD">
        <w:rPr>
          <w:bCs/>
          <w:lang w:val="sl-SI" w:eastAsia="en-GB"/>
        </w:rPr>
        <w:t>lahko zahteva</w:t>
      </w:r>
      <w:r w:rsidR="00F61E58">
        <w:rPr>
          <w:bCs/>
          <w:lang w:val="sl-SI" w:eastAsia="en-GB"/>
        </w:rPr>
        <w:t>lo</w:t>
      </w:r>
      <w:r w:rsidRPr="00275FBD">
        <w:rPr>
          <w:bCs/>
          <w:lang w:val="sl-SI" w:eastAsia="en-GB"/>
        </w:rPr>
        <w:t xml:space="preserve"> takojšnje </w:t>
      </w:r>
      <w:r w:rsidR="007073AD" w:rsidRPr="00275FBD">
        <w:rPr>
          <w:bCs/>
          <w:lang w:val="sl-SI" w:eastAsia="en-GB"/>
        </w:rPr>
        <w:t xml:space="preserve">ukrepe </w:t>
      </w:r>
      <w:r w:rsidRPr="00275FBD">
        <w:rPr>
          <w:bCs/>
          <w:lang w:val="sl-SI" w:eastAsia="en-GB"/>
        </w:rPr>
        <w:t xml:space="preserve">ali </w:t>
      </w:r>
      <w:r w:rsidR="007073AD" w:rsidRPr="00275FBD">
        <w:rPr>
          <w:bCs/>
          <w:lang w:val="sl-SI" w:eastAsia="en-GB"/>
        </w:rPr>
        <w:t xml:space="preserve">pa </w:t>
      </w:r>
      <w:r w:rsidRPr="00275FBD">
        <w:rPr>
          <w:bCs/>
          <w:lang w:val="sl-SI" w:eastAsia="en-GB"/>
        </w:rPr>
        <w:t>ukrepe</w:t>
      </w:r>
      <w:r w:rsidR="007073AD" w:rsidRPr="00275FBD">
        <w:rPr>
          <w:bCs/>
          <w:lang w:val="sl-SI" w:eastAsia="en-GB"/>
        </w:rPr>
        <w:t xml:space="preserve"> v najkrajšem času</w:t>
      </w:r>
      <w:r w:rsidRPr="00275FBD">
        <w:rPr>
          <w:bCs/>
          <w:lang w:val="sl-SI" w:eastAsia="en-GB"/>
        </w:rPr>
        <w:t xml:space="preserve">. Ocena učinka </w:t>
      </w:r>
      <w:r w:rsidR="008335E8">
        <w:rPr>
          <w:bCs/>
          <w:lang w:val="sl-SI" w:eastAsia="en-GB"/>
        </w:rPr>
        <w:t>povezav</w:t>
      </w:r>
      <w:r w:rsidR="00F61E58" w:rsidRPr="00275FBD">
        <w:rPr>
          <w:bCs/>
          <w:lang w:val="sl-SI" w:eastAsia="en-GB"/>
        </w:rPr>
        <w:t xml:space="preserve"> </w:t>
      </w:r>
      <w:r w:rsidRPr="00275FBD">
        <w:rPr>
          <w:bCs/>
          <w:lang w:val="sl-SI" w:eastAsia="en-GB"/>
        </w:rPr>
        <w:t xml:space="preserve">ni odkrila nobenega takega primera ali </w:t>
      </w:r>
      <w:r w:rsidR="00F61E58">
        <w:rPr>
          <w:bCs/>
          <w:lang w:val="sl-SI" w:eastAsia="en-GB"/>
        </w:rPr>
        <w:t>možnosti</w:t>
      </w:r>
      <w:r w:rsidRPr="00275FBD">
        <w:rPr>
          <w:bCs/>
          <w:lang w:val="sl-SI" w:eastAsia="en-GB"/>
        </w:rPr>
        <w:t>.</w:t>
      </w:r>
    </w:p>
    <w:p w14:paraId="0817FC80" w14:textId="6A15A7E4" w:rsidR="00F5563F" w:rsidRPr="00275FBD" w:rsidRDefault="00F5563F" w:rsidP="009202D5">
      <w:pPr>
        <w:rPr>
          <w:bCs/>
          <w:lang w:val="sl-SI" w:eastAsia="en-GB"/>
        </w:rPr>
      </w:pPr>
    </w:p>
    <w:p w14:paraId="5BD6CF6F" w14:textId="77777777" w:rsidR="00F5563F" w:rsidRPr="00275FBD" w:rsidRDefault="00F5563F" w:rsidP="009202D5">
      <w:pPr>
        <w:rPr>
          <w:bCs/>
          <w:lang w:val="sl-SI" w:eastAsia="en-GB"/>
        </w:rPr>
      </w:pPr>
    </w:p>
    <w:p w14:paraId="67399236" w14:textId="71819AFD" w:rsidR="00EC42CB" w:rsidRPr="00275FBD" w:rsidRDefault="00EC42CB" w:rsidP="00EC42CB">
      <w:pPr>
        <w:pStyle w:val="Napis"/>
        <w:rPr>
          <w:lang w:val="sl-SI" w:eastAsia="en-GB"/>
        </w:rPr>
      </w:pPr>
      <w:bookmarkStart w:id="54" w:name="_Ref138337520"/>
      <w:bookmarkStart w:id="55" w:name="_Toc163197439"/>
      <w:r w:rsidRPr="00275FBD">
        <w:rPr>
          <w:lang w:val="sl-SI" w:eastAsia="en-GB"/>
        </w:rPr>
        <w:t xml:space="preserve">Tabela </w:t>
      </w:r>
      <w:r w:rsidR="00D51CB7" w:rsidRPr="00275FBD">
        <w:rPr>
          <w:lang w:val="sl-SI" w:eastAsia="en-GB"/>
        </w:rPr>
        <w:fldChar w:fldCharType="begin"/>
      </w:r>
      <w:r w:rsidR="00D51CB7" w:rsidRPr="00275FBD">
        <w:rPr>
          <w:lang w:val="sl-SI" w:eastAsia="en-GB"/>
        </w:rPr>
        <w:instrText xml:space="preserve"> STYLEREF 1 \s </w:instrText>
      </w:r>
      <w:r w:rsidR="00D51CB7" w:rsidRPr="00275FBD">
        <w:rPr>
          <w:lang w:val="sl-SI" w:eastAsia="en-GB"/>
        </w:rPr>
        <w:fldChar w:fldCharType="separate"/>
      </w:r>
      <w:r w:rsidR="00BA25CD">
        <w:rPr>
          <w:noProof/>
          <w:lang w:val="sl-SI" w:eastAsia="en-GB"/>
        </w:rPr>
        <w:t>4</w:t>
      </w:r>
      <w:r w:rsidR="00D51CB7" w:rsidRPr="00275FBD">
        <w:rPr>
          <w:lang w:val="sl-SI" w:eastAsia="en-GB"/>
        </w:rPr>
        <w:fldChar w:fldCharType="end"/>
      </w:r>
      <w:r w:rsidR="00D51CB7" w:rsidRPr="00275FBD">
        <w:rPr>
          <w:lang w:val="sl-SI" w:eastAsia="en-GB"/>
        </w:rPr>
        <w:noBreakHyphen/>
      </w:r>
      <w:r w:rsidR="00D51CB7" w:rsidRPr="00275FBD">
        <w:rPr>
          <w:lang w:val="sl-SI" w:eastAsia="en-GB"/>
        </w:rPr>
        <w:fldChar w:fldCharType="begin"/>
      </w:r>
      <w:r w:rsidR="00D51CB7" w:rsidRPr="00275FBD">
        <w:rPr>
          <w:lang w:val="sl-SI" w:eastAsia="en-GB"/>
        </w:rPr>
        <w:instrText xml:space="preserve"> SEQ Tabela \* ARABIC \s 1 </w:instrText>
      </w:r>
      <w:r w:rsidR="00D51CB7" w:rsidRPr="00275FBD">
        <w:rPr>
          <w:lang w:val="sl-SI" w:eastAsia="en-GB"/>
        </w:rPr>
        <w:fldChar w:fldCharType="separate"/>
      </w:r>
      <w:r w:rsidR="00BA25CD">
        <w:rPr>
          <w:noProof/>
          <w:lang w:val="sl-SI" w:eastAsia="en-GB"/>
        </w:rPr>
        <w:t>1</w:t>
      </w:r>
      <w:r w:rsidR="00D51CB7" w:rsidRPr="00275FBD">
        <w:rPr>
          <w:lang w:val="sl-SI" w:eastAsia="en-GB"/>
        </w:rPr>
        <w:fldChar w:fldCharType="end"/>
      </w:r>
      <w:bookmarkEnd w:id="54"/>
      <w:r w:rsidRPr="00275FBD">
        <w:rPr>
          <w:lang w:val="sl-SI" w:eastAsia="en-GB"/>
        </w:rPr>
        <w:t>: Števil</w:t>
      </w:r>
      <w:r w:rsidR="00485A8B" w:rsidRPr="00275FBD">
        <w:rPr>
          <w:lang w:val="sl-SI" w:eastAsia="en-GB"/>
        </w:rPr>
        <w:t>o</w:t>
      </w:r>
      <w:r w:rsidRPr="00275FBD">
        <w:rPr>
          <w:lang w:val="sl-SI" w:eastAsia="en-GB"/>
        </w:rPr>
        <w:t xml:space="preserve"> </w:t>
      </w:r>
      <w:r w:rsidR="00BD5705" w:rsidRPr="00275FBD">
        <w:rPr>
          <w:lang w:val="sl-SI" w:eastAsia="en-GB"/>
        </w:rPr>
        <w:t xml:space="preserve">najdb </w:t>
      </w:r>
      <w:r w:rsidRPr="00275FBD">
        <w:rPr>
          <w:lang w:val="sl-SI" w:eastAsia="en-GB"/>
        </w:rPr>
        <w:t xml:space="preserve">z možnimi povezavami z drugimi varnostnimi </w:t>
      </w:r>
      <w:r w:rsidR="00FD3159">
        <w:rPr>
          <w:lang w:val="sl-SI" w:eastAsia="en-GB"/>
        </w:rPr>
        <w:t>vsebinami</w:t>
      </w:r>
      <w:bookmarkEnd w:id="55"/>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425"/>
        <w:gridCol w:w="426"/>
        <w:gridCol w:w="425"/>
        <w:gridCol w:w="425"/>
        <w:gridCol w:w="425"/>
        <w:gridCol w:w="426"/>
        <w:gridCol w:w="425"/>
        <w:gridCol w:w="425"/>
        <w:gridCol w:w="425"/>
        <w:gridCol w:w="426"/>
        <w:gridCol w:w="425"/>
        <w:gridCol w:w="425"/>
        <w:gridCol w:w="425"/>
        <w:gridCol w:w="426"/>
        <w:gridCol w:w="425"/>
        <w:gridCol w:w="425"/>
        <w:gridCol w:w="531"/>
        <w:gridCol w:w="531"/>
      </w:tblGrid>
      <w:tr w:rsidR="00336765" w:rsidRPr="00275FBD" w14:paraId="585207A0" w14:textId="77777777" w:rsidTr="00336765">
        <w:trPr>
          <w:trHeight w:val="300"/>
          <w:tblHeader/>
          <w:jc w:val="center"/>
        </w:trPr>
        <w:tc>
          <w:tcPr>
            <w:tcW w:w="1720" w:type="dxa"/>
            <w:shd w:val="clear" w:color="auto" w:fill="BFBFBF"/>
            <w:noWrap/>
            <w:vAlign w:val="center"/>
            <w:hideMark/>
          </w:tcPr>
          <w:p w14:paraId="0B4D426B" w14:textId="707924B9" w:rsidR="00336765" w:rsidRPr="00275FBD" w:rsidRDefault="002E1A70" w:rsidP="00B47BFF">
            <w:pPr>
              <w:spacing w:before="0" w:after="0"/>
              <w:contextualSpacing/>
              <w:jc w:val="left"/>
              <w:rPr>
                <w:rFonts w:ascii="Arial Narrow" w:hAnsi="Arial Narrow"/>
                <w:b/>
                <w:color w:val="000000"/>
                <w:szCs w:val="20"/>
                <w:lang w:val="sl-SI" w:eastAsia="en-GB"/>
              </w:rPr>
            </w:pPr>
            <w:r w:rsidRPr="00275FBD">
              <w:rPr>
                <w:rFonts w:ascii="Arial Narrow" w:hAnsi="Arial Narrow"/>
                <w:b/>
                <w:color w:val="000000"/>
                <w:szCs w:val="20"/>
                <w:lang w:val="sl-SI" w:eastAsia="en-GB"/>
              </w:rPr>
              <w:t>Varnostn</w:t>
            </w:r>
            <w:r w:rsidR="00FD3159">
              <w:rPr>
                <w:rFonts w:ascii="Arial Narrow" w:hAnsi="Arial Narrow"/>
                <w:b/>
                <w:color w:val="000000"/>
                <w:szCs w:val="20"/>
                <w:lang w:val="sl-SI" w:eastAsia="en-GB"/>
              </w:rPr>
              <w:t>a</w:t>
            </w:r>
            <w:r w:rsidRPr="00275FBD">
              <w:rPr>
                <w:rFonts w:ascii="Arial Narrow" w:hAnsi="Arial Narrow"/>
                <w:b/>
                <w:color w:val="000000"/>
                <w:szCs w:val="20"/>
                <w:lang w:val="sl-SI" w:eastAsia="en-GB"/>
              </w:rPr>
              <w:t xml:space="preserve"> </w:t>
            </w:r>
            <w:r w:rsidR="00FD3159">
              <w:rPr>
                <w:rFonts w:ascii="Arial Narrow" w:hAnsi="Arial Narrow"/>
                <w:b/>
                <w:color w:val="000000"/>
                <w:szCs w:val="20"/>
                <w:lang w:val="sl-SI" w:eastAsia="en-GB"/>
              </w:rPr>
              <w:t>vsebina</w:t>
            </w:r>
          </w:p>
        </w:tc>
        <w:tc>
          <w:tcPr>
            <w:tcW w:w="425" w:type="dxa"/>
            <w:shd w:val="clear" w:color="auto" w:fill="BFBFBF"/>
            <w:noWrap/>
            <w:vAlign w:val="center"/>
          </w:tcPr>
          <w:p w14:paraId="2DF9B154" w14:textId="77777777" w:rsidR="00336765" w:rsidRPr="00275FBD" w:rsidRDefault="00336765" w:rsidP="00B47BFF">
            <w:pPr>
              <w:spacing w:before="0" w:after="0"/>
              <w:contextualSpacing/>
              <w:jc w:val="center"/>
              <w:rPr>
                <w:rFonts w:ascii="Arial Narrow" w:hAnsi="Arial Narrow"/>
                <w:b/>
                <w:color w:val="000000"/>
                <w:szCs w:val="20"/>
                <w:lang w:val="sl-SI" w:eastAsia="en-GB"/>
              </w:rPr>
            </w:pPr>
            <w:r w:rsidRPr="00275FBD">
              <w:rPr>
                <w:rFonts w:ascii="Arial Narrow" w:hAnsi="Arial Narrow"/>
                <w:b/>
                <w:color w:val="000000"/>
                <w:szCs w:val="20"/>
                <w:lang w:val="sl-SI" w:eastAsia="en-GB"/>
              </w:rPr>
              <w:t>1</w:t>
            </w:r>
          </w:p>
        </w:tc>
        <w:tc>
          <w:tcPr>
            <w:tcW w:w="426" w:type="dxa"/>
            <w:shd w:val="clear" w:color="auto" w:fill="BFBFBF"/>
            <w:vAlign w:val="center"/>
          </w:tcPr>
          <w:p w14:paraId="5F14AEAB" w14:textId="77777777" w:rsidR="00336765" w:rsidRPr="00275FBD" w:rsidRDefault="00336765" w:rsidP="00B47BFF">
            <w:pPr>
              <w:spacing w:before="0" w:after="0"/>
              <w:contextualSpacing/>
              <w:jc w:val="center"/>
              <w:rPr>
                <w:rFonts w:ascii="Arial Narrow" w:hAnsi="Arial Narrow"/>
                <w:b/>
                <w:color w:val="000000"/>
                <w:szCs w:val="20"/>
                <w:lang w:val="sl-SI" w:eastAsia="en-GB"/>
              </w:rPr>
            </w:pPr>
            <w:r w:rsidRPr="00275FBD">
              <w:rPr>
                <w:rFonts w:ascii="Arial Narrow" w:hAnsi="Arial Narrow"/>
                <w:b/>
                <w:color w:val="000000"/>
                <w:szCs w:val="20"/>
                <w:lang w:val="sl-SI" w:eastAsia="en-GB"/>
              </w:rPr>
              <w:t>2</w:t>
            </w:r>
          </w:p>
        </w:tc>
        <w:tc>
          <w:tcPr>
            <w:tcW w:w="425" w:type="dxa"/>
            <w:shd w:val="clear" w:color="auto" w:fill="BFBFBF"/>
            <w:vAlign w:val="center"/>
          </w:tcPr>
          <w:p w14:paraId="377DB714" w14:textId="77777777" w:rsidR="00336765" w:rsidRPr="00275FBD" w:rsidRDefault="00336765" w:rsidP="00B47BFF">
            <w:pPr>
              <w:spacing w:before="0" w:after="0"/>
              <w:contextualSpacing/>
              <w:jc w:val="center"/>
              <w:rPr>
                <w:rFonts w:ascii="Arial Narrow" w:hAnsi="Arial Narrow"/>
                <w:b/>
                <w:color w:val="000000"/>
                <w:szCs w:val="20"/>
                <w:lang w:val="sl-SI" w:eastAsia="en-GB"/>
              </w:rPr>
            </w:pPr>
            <w:r w:rsidRPr="00275FBD">
              <w:rPr>
                <w:rFonts w:ascii="Arial Narrow" w:hAnsi="Arial Narrow"/>
                <w:b/>
                <w:color w:val="000000"/>
                <w:szCs w:val="20"/>
                <w:lang w:val="sl-SI" w:eastAsia="en-GB"/>
              </w:rPr>
              <w:t>3</w:t>
            </w:r>
          </w:p>
        </w:tc>
        <w:tc>
          <w:tcPr>
            <w:tcW w:w="425" w:type="dxa"/>
            <w:shd w:val="clear" w:color="auto" w:fill="BFBFBF"/>
            <w:vAlign w:val="center"/>
          </w:tcPr>
          <w:p w14:paraId="6CE555C0" w14:textId="77777777" w:rsidR="00336765" w:rsidRPr="00275FBD" w:rsidRDefault="00336765" w:rsidP="00B47BFF">
            <w:pPr>
              <w:spacing w:before="0" w:after="0"/>
              <w:contextualSpacing/>
              <w:jc w:val="center"/>
              <w:rPr>
                <w:rFonts w:ascii="Arial Narrow" w:hAnsi="Arial Narrow"/>
                <w:b/>
                <w:color w:val="000000"/>
                <w:szCs w:val="20"/>
                <w:lang w:val="sl-SI" w:eastAsia="en-GB"/>
              </w:rPr>
            </w:pPr>
            <w:r w:rsidRPr="00275FBD">
              <w:rPr>
                <w:rFonts w:ascii="Arial Narrow" w:hAnsi="Arial Narrow"/>
                <w:b/>
                <w:color w:val="000000"/>
                <w:szCs w:val="20"/>
                <w:lang w:val="sl-SI" w:eastAsia="en-GB"/>
              </w:rPr>
              <w:t>4</w:t>
            </w:r>
          </w:p>
        </w:tc>
        <w:tc>
          <w:tcPr>
            <w:tcW w:w="425" w:type="dxa"/>
            <w:shd w:val="clear" w:color="auto" w:fill="BFBFBF"/>
            <w:vAlign w:val="center"/>
          </w:tcPr>
          <w:p w14:paraId="35179EA3" w14:textId="77777777" w:rsidR="00336765" w:rsidRPr="00275FBD" w:rsidRDefault="00336765" w:rsidP="00B47BFF">
            <w:pPr>
              <w:spacing w:before="0" w:after="0"/>
              <w:contextualSpacing/>
              <w:jc w:val="center"/>
              <w:rPr>
                <w:rFonts w:ascii="Arial Narrow" w:hAnsi="Arial Narrow"/>
                <w:b/>
                <w:color w:val="000000"/>
                <w:szCs w:val="20"/>
                <w:lang w:val="sl-SI" w:eastAsia="en-GB"/>
              </w:rPr>
            </w:pPr>
            <w:r w:rsidRPr="00275FBD">
              <w:rPr>
                <w:rFonts w:ascii="Arial Narrow" w:hAnsi="Arial Narrow"/>
                <w:b/>
                <w:color w:val="000000"/>
                <w:szCs w:val="20"/>
                <w:lang w:val="sl-SI" w:eastAsia="en-GB"/>
              </w:rPr>
              <w:t>5</w:t>
            </w:r>
          </w:p>
        </w:tc>
        <w:tc>
          <w:tcPr>
            <w:tcW w:w="426" w:type="dxa"/>
            <w:shd w:val="clear" w:color="auto" w:fill="BFBFBF"/>
            <w:vAlign w:val="center"/>
          </w:tcPr>
          <w:p w14:paraId="662D9EAA" w14:textId="77777777" w:rsidR="00336765" w:rsidRPr="00275FBD" w:rsidRDefault="00336765" w:rsidP="00B47BFF">
            <w:pPr>
              <w:spacing w:before="0" w:after="0"/>
              <w:contextualSpacing/>
              <w:jc w:val="center"/>
              <w:rPr>
                <w:rFonts w:ascii="Arial Narrow" w:hAnsi="Arial Narrow"/>
                <w:b/>
                <w:color w:val="000000"/>
                <w:szCs w:val="20"/>
                <w:lang w:val="sl-SI" w:eastAsia="en-GB"/>
              </w:rPr>
            </w:pPr>
            <w:r w:rsidRPr="00275FBD">
              <w:rPr>
                <w:rFonts w:ascii="Arial Narrow" w:hAnsi="Arial Narrow"/>
                <w:b/>
                <w:color w:val="000000"/>
                <w:szCs w:val="20"/>
                <w:lang w:val="sl-SI" w:eastAsia="en-GB"/>
              </w:rPr>
              <w:t>6</w:t>
            </w:r>
          </w:p>
        </w:tc>
        <w:tc>
          <w:tcPr>
            <w:tcW w:w="425" w:type="dxa"/>
            <w:shd w:val="clear" w:color="auto" w:fill="BFBFBF"/>
            <w:vAlign w:val="center"/>
          </w:tcPr>
          <w:p w14:paraId="7F2CDC96" w14:textId="77777777" w:rsidR="00336765" w:rsidRPr="00275FBD" w:rsidRDefault="00336765" w:rsidP="00B47BFF">
            <w:pPr>
              <w:spacing w:before="0" w:after="0"/>
              <w:contextualSpacing/>
              <w:jc w:val="center"/>
              <w:rPr>
                <w:rFonts w:ascii="Arial Narrow" w:hAnsi="Arial Narrow"/>
                <w:b/>
                <w:color w:val="000000"/>
                <w:szCs w:val="20"/>
                <w:lang w:val="sl-SI" w:eastAsia="en-GB"/>
              </w:rPr>
            </w:pPr>
            <w:r w:rsidRPr="00275FBD">
              <w:rPr>
                <w:rFonts w:ascii="Arial Narrow" w:hAnsi="Arial Narrow"/>
                <w:b/>
                <w:color w:val="000000"/>
                <w:szCs w:val="20"/>
                <w:lang w:val="sl-SI" w:eastAsia="en-GB"/>
              </w:rPr>
              <w:t>7</w:t>
            </w:r>
          </w:p>
        </w:tc>
        <w:tc>
          <w:tcPr>
            <w:tcW w:w="425" w:type="dxa"/>
            <w:shd w:val="clear" w:color="auto" w:fill="BFBFBF"/>
            <w:vAlign w:val="center"/>
          </w:tcPr>
          <w:p w14:paraId="771757DB" w14:textId="77777777" w:rsidR="00336765" w:rsidRPr="00275FBD" w:rsidRDefault="00336765" w:rsidP="00B47BFF">
            <w:pPr>
              <w:spacing w:before="0" w:after="0"/>
              <w:contextualSpacing/>
              <w:jc w:val="center"/>
              <w:rPr>
                <w:rFonts w:ascii="Arial Narrow" w:hAnsi="Arial Narrow"/>
                <w:b/>
                <w:color w:val="000000"/>
                <w:szCs w:val="20"/>
                <w:lang w:val="sl-SI" w:eastAsia="en-GB"/>
              </w:rPr>
            </w:pPr>
            <w:r w:rsidRPr="00275FBD">
              <w:rPr>
                <w:rFonts w:ascii="Arial Narrow" w:hAnsi="Arial Narrow"/>
                <w:b/>
                <w:color w:val="000000"/>
                <w:szCs w:val="20"/>
                <w:lang w:val="sl-SI" w:eastAsia="en-GB"/>
              </w:rPr>
              <w:t>8</w:t>
            </w:r>
          </w:p>
        </w:tc>
        <w:tc>
          <w:tcPr>
            <w:tcW w:w="425" w:type="dxa"/>
            <w:shd w:val="clear" w:color="auto" w:fill="BFBFBF"/>
            <w:vAlign w:val="center"/>
          </w:tcPr>
          <w:p w14:paraId="55926604" w14:textId="77777777" w:rsidR="00336765" w:rsidRPr="00275FBD" w:rsidRDefault="00336765" w:rsidP="00B47BFF">
            <w:pPr>
              <w:spacing w:before="0" w:after="0"/>
              <w:contextualSpacing/>
              <w:jc w:val="center"/>
              <w:rPr>
                <w:rFonts w:ascii="Arial Narrow" w:hAnsi="Arial Narrow"/>
                <w:b/>
                <w:color w:val="000000"/>
                <w:szCs w:val="20"/>
                <w:lang w:val="sl-SI" w:eastAsia="en-GB"/>
              </w:rPr>
            </w:pPr>
            <w:r w:rsidRPr="00275FBD">
              <w:rPr>
                <w:rFonts w:ascii="Arial Narrow" w:hAnsi="Arial Narrow"/>
                <w:b/>
                <w:color w:val="000000"/>
                <w:szCs w:val="20"/>
                <w:lang w:val="sl-SI" w:eastAsia="en-GB"/>
              </w:rPr>
              <w:t>9</w:t>
            </w:r>
          </w:p>
        </w:tc>
        <w:tc>
          <w:tcPr>
            <w:tcW w:w="426" w:type="dxa"/>
            <w:shd w:val="clear" w:color="auto" w:fill="BFBFBF"/>
            <w:vAlign w:val="center"/>
          </w:tcPr>
          <w:p w14:paraId="6C609239" w14:textId="77777777" w:rsidR="00336765" w:rsidRPr="00275FBD" w:rsidRDefault="00336765" w:rsidP="00B47BFF">
            <w:pPr>
              <w:spacing w:before="0" w:after="0"/>
              <w:contextualSpacing/>
              <w:jc w:val="center"/>
              <w:rPr>
                <w:rFonts w:ascii="Arial Narrow" w:hAnsi="Arial Narrow"/>
                <w:b/>
                <w:color w:val="000000"/>
                <w:szCs w:val="20"/>
                <w:lang w:val="sl-SI" w:eastAsia="en-GB"/>
              </w:rPr>
            </w:pPr>
            <w:r w:rsidRPr="00275FBD">
              <w:rPr>
                <w:rFonts w:ascii="Arial Narrow" w:hAnsi="Arial Narrow"/>
                <w:b/>
                <w:color w:val="000000"/>
                <w:szCs w:val="20"/>
                <w:lang w:val="sl-SI" w:eastAsia="en-GB"/>
              </w:rPr>
              <w:t>10</w:t>
            </w:r>
          </w:p>
        </w:tc>
        <w:tc>
          <w:tcPr>
            <w:tcW w:w="425" w:type="dxa"/>
            <w:shd w:val="clear" w:color="auto" w:fill="BFBFBF"/>
            <w:vAlign w:val="center"/>
          </w:tcPr>
          <w:p w14:paraId="4FD68EB1" w14:textId="77777777" w:rsidR="00336765" w:rsidRPr="00275FBD" w:rsidRDefault="00336765" w:rsidP="00B47BFF">
            <w:pPr>
              <w:spacing w:before="0" w:after="0"/>
              <w:contextualSpacing/>
              <w:jc w:val="center"/>
              <w:rPr>
                <w:rFonts w:ascii="Arial Narrow" w:hAnsi="Arial Narrow"/>
                <w:b/>
                <w:color w:val="000000"/>
                <w:szCs w:val="20"/>
                <w:lang w:val="sl-SI" w:eastAsia="en-GB"/>
              </w:rPr>
            </w:pPr>
            <w:r w:rsidRPr="00275FBD">
              <w:rPr>
                <w:rFonts w:ascii="Arial Narrow" w:hAnsi="Arial Narrow"/>
                <w:b/>
                <w:color w:val="000000"/>
                <w:szCs w:val="20"/>
                <w:lang w:val="sl-SI" w:eastAsia="en-GB"/>
              </w:rPr>
              <w:t>11</w:t>
            </w:r>
          </w:p>
        </w:tc>
        <w:tc>
          <w:tcPr>
            <w:tcW w:w="425" w:type="dxa"/>
            <w:shd w:val="clear" w:color="auto" w:fill="BFBFBF"/>
            <w:vAlign w:val="center"/>
          </w:tcPr>
          <w:p w14:paraId="752CEB0C" w14:textId="77777777" w:rsidR="00336765" w:rsidRPr="00275FBD" w:rsidRDefault="00336765" w:rsidP="00B47BFF">
            <w:pPr>
              <w:spacing w:before="0" w:after="0"/>
              <w:contextualSpacing/>
              <w:jc w:val="center"/>
              <w:rPr>
                <w:rFonts w:ascii="Arial Narrow" w:hAnsi="Arial Narrow"/>
                <w:b/>
                <w:color w:val="000000"/>
                <w:szCs w:val="20"/>
                <w:lang w:val="sl-SI" w:eastAsia="en-GB"/>
              </w:rPr>
            </w:pPr>
            <w:r w:rsidRPr="00275FBD">
              <w:rPr>
                <w:rFonts w:ascii="Arial Narrow" w:hAnsi="Arial Narrow"/>
                <w:b/>
                <w:color w:val="000000"/>
                <w:szCs w:val="20"/>
                <w:lang w:val="sl-SI" w:eastAsia="en-GB"/>
              </w:rPr>
              <w:t>12</w:t>
            </w:r>
          </w:p>
        </w:tc>
        <w:tc>
          <w:tcPr>
            <w:tcW w:w="425" w:type="dxa"/>
            <w:shd w:val="clear" w:color="auto" w:fill="BFBFBF"/>
            <w:vAlign w:val="center"/>
          </w:tcPr>
          <w:p w14:paraId="574227E4" w14:textId="77777777" w:rsidR="00336765" w:rsidRPr="00275FBD" w:rsidRDefault="00336765" w:rsidP="00B47BFF">
            <w:pPr>
              <w:spacing w:before="0" w:after="0"/>
              <w:contextualSpacing/>
              <w:jc w:val="center"/>
              <w:rPr>
                <w:rFonts w:ascii="Arial Narrow" w:hAnsi="Arial Narrow"/>
                <w:b/>
                <w:color w:val="000000"/>
                <w:szCs w:val="20"/>
                <w:lang w:val="sl-SI" w:eastAsia="en-GB"/>
              </w:rPr>
            </w:pPr>
            <w:r w:rsidRPr="00275FBD">
              <w:rPr>
                <w:rFonts w:ascii="Arial Narrow" w:hAnsi="Arial Narrow"/>
                <w:b/>
                <w:color w:val="000000"/>
                <w:szCs w:val="20"/>
                <w:lang w:val="sl-SI" w:eastAsia="en-GB"/>
              </w:rPr>
              <w:t>13</w:t>
            </w:r>
          </w:p>
        </w:tc>
        <w:tc>
          <w:tcPr>
            <w:tcW w:w="426" w:type="dxa"/>
            <w:shd w:val="clear" w:color="auto" w:fill="BFBFBF"/>
            <w:vAlign w:val="center"/>
          </w:tcPr>
          <w:p w14:paraId="20012B79" w14:textId="77777777" w:rsidR="00336765" w:rsidRPr="00275FBD" w:rsidRDefault="00336765" w:rsidP="00B47BFF">
            <w:pPr>
              <w:spacing w:before="0" w:after="0"/>
              <w:contextualSpacing/>
              <w:jc w:val="center"/>
              <w:rPr>
                <w:rFonts w:ascii="Arial Narrow" w:hAnsi="Arial Narrow"/>
                <w:b/>
                <w:color w:val="000000"/>
                <w:szCs w:val="20"/>
                <w:lang w:val="sl-SI" w:eastAsia="en-GB"/>
              </w:rPr>
            </w:pPr>
            <w:r w:rsidRPr="00275FBD">
              <w:rPr>
                <w:rFonts w:ascii="Arial Narrow" w:hAnsi="Arial Narrow"/>
                <w:b/>
                <w:color w:val="000000"/>
                <w:szCs w:val="20"/>
                <w:lang w:val="sl-SI" w:eastAsia="en-GB"/>
              </w:rPr>
              <w:t>14</w:t>
            </w:r>
          </w:p>
        </w:tc>
        <w:tc>
          <w:tcPr>
            <w:tcW w:w="425" w:type="dxa"/>
            <w:shd w:val="clear" w:color="auto" w:fill="BFBFBF"/>
            <w:vAlign w:val="center"/>
          </w:tcPr>
          <w:p w14:paraId="67ED8C08" w14:textId="77777777" w:rsidR="00336765" w:rsidRPr="00275FBD" w:rsidRDefault="00336765" w:rsidP="00B47BFF">
            <w:pPr>
              <w:spacing w:before="0" w:after="0"/>
              <w:contextualSpacing/>
              <w:jc w:val="center"/>
              <w:rPr>
                <w:rFonts w:ascii="Arial Narrow" w:hAnsi="Arial Narrow"/>
                <w:b/>
                <w:color w:val="000000"/>
                <w:szCs w:val="20"/>
                <w:lang w:val="sl-SI" w:eastAsia="en-GB"/>
              </w:rPr>
            </w:pPr>
            <w:r w:rsidRPr="00275FBD">
              <w:rPr>
                <w:rFonts w:ascii="Arial Narrow" w:hAnsi="Arial Narrow"/>
                <w:b/>
                <w:color w:val="000000"/>
                <w:szCs w:val="20"/>
                <w:lang w:val="sl-SI" w:eastAsia="en-GB"/>
              </w:rPr>
              <w:t>15</w:t>
            </w:r>
          </w:p>
        </w:tc>
        <w:tc>
          <w:tcPr>
            <w:tcW w:w="425" w:type="dxa"/>
            <w:shd w:val="clear" w:color="auto" w:fill="BFBFBF"/>
            <w:vAlign w:val="center"/>
          </w:tcPr>
          <w:p w14:paraId="1F220F43" w14:textId="77777777" w:rsidR="00336765" w:rsidRPr="00275FBD" w:rsidRDefault="00336765" w:rsidP="00B47BFF">
            <w:pPr>
              <w:spacing w:before="0" w:after="0"/>
              <w:contextualSpacing/>
              <w:jc w:val="center"/>
              <w:rPr>
                <w:rFonts w:ascii="Arial Narrow" w:hAnsi="Arial Narrow"/>
                <w:b/>
                <w:color w:val="000000"/>
                <w:szCs w:val="20"/>
                <w:lang w:val="sl-SI" w:eastAsia="en-GB"/>
              </w:rPr>
            </w:pPr>
            <w:r w:rsidRPr="00275FBD">
              <w:rPr>
                <w:rFonts w:ascii="Arial Narrow" w:hAnsi="Arial Narrow"/>
                <w:b/>
                <w:color w:val="000000"/>
                <w:szCs w:val="20"/>
                <w:lang w:val="sl-SI" w:eastAsia="en-GB"/>
              </w:rPr>
              <w:t>16</w:t>
            </w:r>
          </w:p>
        </w:tc>
        <w:tc>
          <w:tcPr>
            <w:tcW w:w="531" w:type="dxa"/>
            <w:shd w:val="clear" w:color="auto" w:fill="BFBFBF"/>
            <w:vAlign w:val="center"/>
          </w:tcPr>
          <w:p w14:paraId="78B03695" w14:textId="77777777" w:rsidR="00336765" w:rsidRPr="00275FBD" w:rsidRDefault="00336765" w:rsidP="00B47BFF">
            <w:pPr>
              <w:spacing w:before="0" w:after="0"/>
              <w:contextualSpacing/>
              <w:jc w:val="center"/>
              <w:rPr>
                <w:rFonts w:ascii="Arial Narrow" w:hAnsi="Arial Narrow"/>
                <w:b/>
                <w:color w:val="000000"/>
                <w:szCs w:val="20"/>
                <w:lang w:val="sl-SI" w:eastAsia="en-GB"/>
              </w:rPr>
            </w:pPr>
            <w:r w:rsidRPr="00275FBD">
              <w:rPr>
                <w:rFonts w:ascii="Arial Narrow" w:hAnsi="Arial Narrow"/>
                <w:b/>
                <w:color w:val="000000"/>
                <w:szCs w:val="20"/>
                <w:lang w:val="sl-SI" w:eastAsia="en-GB"/>
              </w:rPr>
              <w:t>17</w:t>
            </w:r>
          </w:p>
        </w:tc>
        <w:tc>
          <w:tcPr>
            <w:tcW w:w="531" w:type="dxa"/>
            <w:shd w:val="clear" w:color="auto" w:fill="BFBFBF"/>
            <w:vAlign w:val="center"/>
          </w:tcPr>
          <w:p w14:paraId="1B2AE9A4" w14:textId="77777777" w:rsidR="00336765" w:rsidRPr="00275FBD" w:rsidRDefault="00336765" w:rsidP="00B47BFF">
            <w:pPr>
              <w:spacing w:before="0" w:after="0"/>
              <w:contextualSpacing/>
              <w:jc w:val="center"/>
              <w:rPr>
                <w:rFonts w:ascii="Arial Narrow" w:hAnsi="Arial Narrow"/>
                <w:b/>
                <w:color w:val="000000"/>
                <w:szCs w:val="20"/>
                <w:lang w:val="sl-SI" w:eastAsia="en-GB"/>
              </w:rPr>
            </w:pPr>
            <w:r w:rsidRPr="00275FBD">
              <w:rPr>
                <w:rFonts w:ascii="Arial Narrow" w:hAnsi="Arial Narrow"/>
                <w:b/>
                <w:color w:val="000000"/>
                <w:szCs w:val="20"/>
                <w:lang w:val="sl-SI" w:eastAsia="en-GB"/>
              </w:rPr>
              <w:t>18</w:t>
            </w:r>
          </w:p>
        </w:tc>
      </w:tr>
      <w:tr w:rsidR="00336765" w:rsidRPr="00275FBD" w14:paraId="140DEA7D" w14:textId="77777777" w:rsidTr="00336765">
        <w:trPr>
          <w:trHeight w:val="300"/>
          <w:jc w:val="center"/>
        </w:trPr>
        <w:tc>
          <w:tcPr>
            <w:tcW w:w="1720" w:type="dxa"/>
            <w:shd w:val="clear" w:color="auto" w:fill="auto"/>
            <w:noWrap/>
            <w:hideMark/>
          </w:tcPr>
          <w:p w14:paraId="5DFB772A" w14:textId="06EFE428" w:rsidR="00336765" w:rsidRPr="00275FBD" w:rsidRDefault="00336765" w:rsidP="00B47BFF">
            <w:pPr>
              <w:spacing w:before="0" w:after="0"/>
              <w:contextualSpacing/>
              <w:jc w:val="left"/>
              <w:rPr>
                <w:rFonts w:ascii="Arial Narrow" w:hAnsi="Arial Narrow" w:cs="TimesNewRomanPSMT"/>
                <w:szCs w:val="20"/>
                <w:lang w:val="sl-SI" w:eastAsia="en-GB"/>
              </w:rPr>
            </w:pPr>
            <w:r w:rsidRPr="00275FBD">
              <w:rPr>
                <w:rFonts w:ascii="Arial Narrow" w:hAnsi="Arial Narrow" w:cs="TimesNewRomanPSMT"/>
                <w:szCs w:val="20"/>
                <w:lang w:val="sl-SI" w:eastAsia="en-GB"/>
              </w:rPr>
              <w:t xml:space="preserve">1 </w:t>
            </w:r>
            <w:r w:rsidR="002E1A70" w:rsidRPr="00275FBD">
              <w:rPr>
                <w:rFonts w:ascii="Arial Narrow" w:hAnsi="Arial Narrow" w:cs="TimesNewRomanPSMT"/>
                <w:szCs w:val="20"/>
                <w:lang w:val="sl-SI" w:eastAsia="en-GB"/>
              </w:rPr>
              <w:t>Projekt objekta</w:t>
            </w:r>
          </w:p>
        </w:tc>
        <w:tc>
          <w:tcPr>
            <w:tcW w:w="425" w:type="dxa"/>
            <w:shd w:val="clear" w:color="auto" w:fill="D9D9D9" w:themeFill="background1" w:themeFillShade="D9"/>
            <w:noWrap/>
          </w:tcPr>
          <w:p w14:paraId="131771A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056F127F"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5" w:type="dxa"/>
          </w:tcPr>
          <w:p w14:paraId="11253FEC"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5D11F389"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5" w:type="dxa"/>
          </w:tcPr>
          <w:p w14:paraId="14B8AE75"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3</w:t>
            </w:r>
          </w:p>
        </w:tc>
        <w:tc>
          <w:tcPr>
            <w:tcW w:w="426" w:type="dxa"/>
          </w:tcPr>
          <w:p w14:paraId="0C097043"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61245ED4"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B56D676"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5D6E58D6"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6D530020"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2438CB88"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31E4D648"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32FD52A3"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3B57FFD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39FDF581"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5EC02403"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0C32723E"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06555E43"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r>
      <w:tr w:rsidR="00336765" w:rsidRPr="00275FBD" w14:paraId="74DB355F" w14:textId="77777777" w:rsidTr="00336765">
        <w:trPr>
          <w:trHeight w:val="300"/>
          <w:jc w:val="center"/>
        </w:trPr>
        <w:tc>
          <w:tcPr>
            <w:tcW w:w="1720" w:type="dxa"/>
            <w:shd w:val="clear" w:color="auto" w:fill="auto"/>
            <w:noWrap/>
            <w:hideMark/>
          </w:tcPr>
          <w:p w14:paraId="74E96F16" w14:textId="47B131AA" w:rsidR="00336765" w:rsidRPr="00275FBD" w:rsidRDefault="00336765" w:rsidP="00B47BFF">
            <w:pPr>
              <w:spacing w:before="0" w:after="0"/>
              <w:contextualSpacing/>
              <w:jc w:val="left"/>
              <w:rPr>
                <w:rFonts w:ascii="Arial Narrow" w:hAnsi="Arial Narrow" w:cs="TimesNewRomanPSMT"/>
                <w:szCs w:val="20"/>
                <w:lang w:val="sl-SI" w:eastAsia="en-GB"/>
              </w:rPr>
            </w:pPr>
            <w:r w:rsidRPr="00275FBD">
              <w:rPr>
                <w:rFonts w:ascii="Arial Narrow" w:hAnsi="Arial Narrow" w:cs="TimesNewRomanPSMT"/>
                <w:szCs w:val="20"/>
                <w:lang w:val="sl-SI" w:eastAsia="en-GB"/>
              </w:rPr>
              <w:t xml:space="preserve">2 </w:t>
            </w:r>
            <w:r w:rsidR="002E1A70" w:rsidRPr="00275FBD">
              <w:rPr>
                <w:rFonts w:ascii="Arial Narrow" w:hAnsi="Arial Narrow" w:cs="TimesNewRomanPSMT"/>
                <w:szCs w:val="20"/>
                <w:lang w:val="sl-SI" w:eastAsia="en-GB"/>
              </w:rPr>
              <w:t>Dejansko stanje SSK</w:t>
            </w:r>
          </w:p>
        </w:tc>
        <w:tc>
          <w:tcPr>
            <w:tcW w:w="425" w:type="dxa"/>
            <w:shd w:val="clear" w:color="auto" w:fill="auto"/>
            <w:noWrap/>
          </w:tcPr>
          <w:p w14:paraId="3A57893E"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2</w:t>
            </w:r>
          </w:p>
        </w:tc>
        <w:tc>
          <w:tcPr>
            <w:tcW w:w="426" w:type="dxa"/>
            <w:shd w:val="clear" w:color="auto" w:fill="D9D9D9" w:themeFill="background1" w:themeFillShade="D9"/>
          </w:tcPr>
          <w:p w14:paraId="4B38D8E1"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5EE502E8"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5" w:type="dxa"/>
          </w:tcPr>
          <w:p w14:paraId="12AD6FF3"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3</w:t>
            </w:r>
          </w:p>
        </w:tc>
        <w:tc>
          <w:tcPr>
            <w:tcW w:w="425" w:type="dxa"/>
          </w:tcPr>
          <w:p w14:paraId="22AC85C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4F96297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EC0CCA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55794059"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27A669F4"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363B8464"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2452C67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1695CBA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0BB1C2F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3D926C81"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35596FB9"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31FE466"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3989EEE1"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7B9DEEB3"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r>
      <w:tr w:rsidR="00336765" w:rsidRPr="00275FBD" w14:paraId="66A07628" w14:textId="77777777" w:rsidTr="00336765">
        <w:trPr>
          <w:trHeight w:val="300"/>
          <w:jc w:val="center"/>
        </w:trPr>
        <w:tc>
          <w:tcPr>
            <w:tcW w:w="1720" w:type="dxa"/>
            <w:shd w:val="clear" w:color="auto" w:fill="auto"/>
            <w:noWrap/>
            <w:hideMark/>
          </w:tcPr>
          <w:p w14:paraId="189B7088" w14:textId="4F6A6FE2" w:rsidR="00336765" w:rsidRPr="00275FBD" w:rsidRDefault="00336765" w:rsidP="00B47BFF">
            <w:pPr>
              <w:spacing w:before="0" w:after="0"/>
              <w:contextualSpacing/>
              <w:jc w:val="left"/>
              <w:rPr>
                <w:rFonts w:ascii="Arial Narrow" w:hAnsi="Arial Narrow" w:cs="TimesNewRomanPSMT"/>
                <w:szCs w:val="20"/>
                <w:lang w:val="sl-SI" w:eastAsia="en-GB"/>
              </w:rPr>
            </w:pPr>
            <w:r w:rsidRPr="00275FBD">
              <w:rPr>
                <w:rFonts w:ascii="Arial Narrow" w:hAnsi="Arial Narrow" w:cs="TimesNewRomanPSMT"/>
                <w:szCs w:val="20"/>
                <w:lang w:val="sl-SI" w:eastAsia="en-GB"/>
              </w:rPr>
              <w:t xml:space="preserve">3 </w:t>
            </w:r>
            <w:r w:rsidR="002E1A70" w:rsidRPr="00275FBD">
              <w:rPr>
                <w:rFonts w:ascii="Arial Narrow" w:hAnsi="Arial Narrow" w:cs="TimesNewRomanPSMT"/>
                <w:szCs w:val="20"/>
                <w:lang w:val="sl-SI" w:eastAsia="en-GB"/>
              </w:rPr>
              <w:t>Kvalifikacija opreme</w:t>
            </w:r>
          </w:p>
        </w:tc>
        <w:tc>
          <w:tcPr>
            <w:tcW w:w="425" w:type="dxa"/>
            <w:shd w:val="clear" w:color="auto" w:fill="auto"/>
            <w:noWrap/>
          </w:tcPr>
          <w:p w14:paraId="1E38BDFE"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2</w:t>
            </w:r>
          </w:p>
        </w:tc>
        <w:tc>
          <w:tcPr>
            <w:tcW w:w="426" w:type="dxa"/>
          </w:tcPr>
          <w:p w14:paraId="01DD6FAD"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2</w:t>
            </w:r>
          </w:p>
        </w:tc>
        <w:tc>
          <w:tcPr>
            <w:tcW w:w="425" w:type="dxa"/>
            <w:shd w:val="clear" w:color="auto" w:fill="D9D9D9" w:themeFill="background1" w:themeFillShade="D9"/>
          </w:tcPr>
          <w:p w14:paraId="2711EE61"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75F2D15C"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7F56AA4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3ACE9F49"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23C1905C"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53CBCEEB"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CCE01BC"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16256683"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33DA6191"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5BDDD76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689E9C68"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27E32EE1"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518A333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3DDAED9D"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12DA81D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63B30A56"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r>
      <w:tr w:rsidR="00336765" w:rsidRPr="00275FBD" w14:paraId="330991AA" w14:textId="77777777" w:rsidTr="00336765">
        <w:trPr>
          <w:trHeight w:val="300"/>
          <w:jc w:val="center"/>
        </w:trPr>
        <w:tc>
          <w:tcPr>
            <w:tcW w:w="1720" w:type="dxa"/>
            <w:shd w:val="clear" w:color="auto" w:fill="auto"/>
            <w:noWrap/>
            <w:hideMark/>
          </w:tcPr>
          <w:p w14:paraId="34E1D278" w14:textId="5EE478B2" w:rsidR="00336765" w:rsidRPr="00275FBD" w:rsidRDefault="00336765" w:rsidP="00B47BFF">
            <w:pPr>
              <w:spacing w:before="0" w:after="0"/>
              <w:contextualSpacing/>
              <w:jc w:val="left"/>
              <w:rPr>
                <w:rFonts w:ascii="Arial Narrow" w:hAnsi="Arial Narrow" w:cs="TimesNewRomanPSMT"/>
                <w:szCs w:val="20"/>
                <w:lang w:val="sl-SI" w:eastAsia="en-GB"/>
              </w:rPr>
            </w:pPr>
            <w:r w:rsidRPr="00275FBD">
              <w:rPr>
                <w:rFonts w:ascii="Arial Narrow" w:hAnsi="Arial Narrow" w:cs="TimesNewRomanPSMT"/>
                <w:szCs w:val="20"/>
                <w:lang w:val="sl-SI" w:eastAsia="en-GB"/>
              </w:rPr>
              <w:t xml:space="preserve">4 </w:t>
            </w:r>
            <w:r w:rsidR="002E1A70" w:rsidRPr="00275FBD">
              <w:rPr>
                <w:rFonts w:ascii="Arial Narrow" w:hAnsi="Arial Narrow" w:cs="TimesNewRomanPSMT"/>
                <w:szCs w:val="20"/>
                <w:lang w:val="sl-SI" w:eastAsia="en-GB"/>
              </w:rPr>
              <w:t>Staranje objekta</w:t>
            </w:r>
            <w:r w:rsidRPr="00275FBD">
              <w:rPr>
                <w:rFonts w:ascii="Arial Narrow" w:hAnsi="Arial Narrow" w:cs="TimesNewRomanPSMT"/>
                <w:szCs w:val="20"/>
                <w:lang w:val="sl-SI" w:eastAsia="en-GB"/>
              </w:rPr>
              <w:t>;</w:t>
            </w:r>
          </w:p>
        </w:tc>
        <w:tc>
          <w:tcPr>
            <w:tcW w:w="425" w:type="dxa"/>
            <w:shd w:val="clear" w:color="auto" w:fill="auto"/>
            <w:noWrap/>
          </w:tcPr>
          <w:p w14:paraId="56541BA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73B6FD76"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3</w:t>
            </w:r>
          </w:p>
        </w:tc>
        <w:tc>
          <w:tcPr>
            <w:tcW w:w="425" w:type="dxa"/>
          </w:tcPr>
          <w:p w14:paraId="4E267F7E"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2</w:t>
            </w:r>
          </w:p>
        </w:tc>
        <w:tc>
          <w:tcPr>
            <w:tcW w:w="425" w:type="dxa"/>
            <w:shd w:val="clear" w:color="auto" w:fill="D9D9D9" w:themeFill="background1" w:themeFillShade="D9"/>
          </w:tcPr>
          <w:p w14:paraId="35F5E6B5"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35A070BE"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6711EB55"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357E1291"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09B13BA"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18509240"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6607664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4EAD6FB"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00462F55"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1F9282A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52AC2CE5"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324333B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5722F9B9"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73D301AD"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00F43107"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r>
      <w:tr w:rsidR="00336765" w:rsidRPr="00275FBD" w14:paraId="5F3C16EA" w14:textId="77777777" w:rsidTr="00336765">
        <w:trPr>
          <w:trHeight w:val="300"/>
          <w:jc w:val="center"/>
        </w:trPr>
        <w:tc>
          <w:tcPr>
            <w:tcW w:w="1720" w:type="dxa"/>
            <w:shd w:val="clear" w:color="auto" w:fill="auto"/>
            <w:noWrap/>
            <w:hideMark/>
          </w:tcPr>
          <w:p w14:paraId="11260279" w14:textId="339914CF" w:rsidR="00336765" w:rsidRPr="00275FBD" w:rsidRDefault="00336765" w:rsidP="00B47BFF">
            <w:pPr>
              <w:spacing w:before="0" w:after="0"/>
              <w:contextualSpacing/>
              <w:jc w:val="left"/>
              <w:rPr>
                <w:rFonts w:ascii="Arial Narrow" w:hAnsi="Arial Narrow" w:cs="TimesNewRomanPSMT"/>
                <w:szCs w:val="20"/>
                <w:lang w:val="sl-SI" w:eastAsia="en-GB"/>
              </w:rPr>
            </w:pPr>
            <w:r w:rsidRPr="00275FBD">
              <w:rPr>
                <w:rFonts w:ascii="Arial Narrow" w:hAnsi="Arial Narrow" w:cs="TimesNewRomanPSMT"/>
                <w:szCs w:val="20"/>
                <w:lang w:val="sl-SI" w:eastAsia="en-GB"/>
              </w:rPr>
              <w:t>5 Deterministi</w:t>
            </w:r>
            <w:r w:rsidR="002E1A70" w:rsidRPr="00275FBD">
              <w:rPr>
                <w:rFonts w:ascii="Arial Narrow" w:hAnsi="Arial Narrow" w:cs="TimesNewRomanPSMT"/>
                <w:szCs w:val="20"/>
                <w:lang w:val="sl-SI" w:eastAsia="en-GB"/>
              </w:rPr>
              <w:t>čne</w:t>
            </w:r>
            <w:r w:rsidRPr="00275FBD">
              <w:rPr>
                <w:rFonts w:ascii="Arial Narrow" w:hAnsi="Arial Narrow" w:cs="TimesNewRomanPSMT"/>
                <w:szCs w:val="20"/>
                <w:lang w:val="sl-SI" w:eastAsia="en-GB"/>
              </w:rPr>
              <w:t xml:space="preserve"> </w:t>
            </w:r>
            <w:r w:rsidR="002E1A70" w:rsidRPr="00275FBD">
              <w:rPr>
                <w:rFonts w:ascii="Arial Narrow" w:hAnsi="Arial Narrow" w:cs="TimesNewRomanPSMT"/>
                <w:szCs w:val="20"/>
                <w:lang w:val="sl-SI" w:eastAsia="en-GB"/>
              </w:rPr>
              <w:t>varnostne analize</w:t>
            </w:r>
          </w:p>
        </w:tc>
        <w:tc>
          <w:tcPr>
            <w:tcW w:w="425" w:type="dxa"/>
            <w:shd w:val="clear" w:color="auto" w:fill="auto"/>
            <w:noWrap/>
          </w:tcPr>
          <w:p w14:paraId="7A39A785"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10DC8D6C"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782A19E9"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5" w:type="dxa"/>
          </w:tcPr>
          <w:p w14:paraId="0230E9E6"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shd w:val="clear" w:color="auto" w:fill="D9D9D9" w:themeFill="background1" w:themeFillShade="D9"/>
          </w:tcPr>
          <w:p w14:paraId="2989BF8C"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24863109"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B13E236"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5" w:type="dxa"/>
          </w:tcPr>
          <w:p w14:paraId="54DA177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DC2447C"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30CA1B3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5483FD54"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669A5741"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A124D5A"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3B2E4F63"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7AA84CB2"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5" w:type="dxa"/>
          </w:tcPr>
          <w:p w14:paraId="259350A9"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1F8A30F3"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13848DAE"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r>
      <w:tr w:rsidR="00336765" w:rsidRPr="00275FBD" w14:paraId="4DF9C296" w14:textId="77777777" w:rsidTr="00336765">
        <w:trPr>
          <w:trHeight w:val="300"/>
          <w:jc w:val="center"/>
        </w:trPr>
        <w:tc>
          <w:tcPr>
            <w:tcW w:w="1720" w:type="dxa"/>
            <w:shd w:val="clear" w:color="auto" w:fill="auto"/>
            <w:noWrap/>
            <w:hideMark/>
          </w:tcPr>
          <w:p w14:paraId="1F47EC85" w14:textId="07A09915" w:rsidR="00336765" w:rsidRPr="00275FBD" w:rsidRDefault="00336765" w:rsidP="00B47BFF">
            <w:pPr>
              <w:spacing w:before="0" w:after="0"/>
              <w:contextualSpacing/>
              <w:jc w:val="left"/>
              <w:rPr>
                <w:rFonts w:ascii="Arial Narrow" w:hAnsi="Arial Narrow" w:cs="TimesNewRomanPSMT"/>
                <w:szCs w:val="20"/>
                <w:lang w:val="sl-SI" w:eastAsia="en-GB"/>
              </w:rPr>
            </w:pPr>
            <w:r w:rsidRPr="00275FBD">
              <w:rPr>
                <w:rFonts w:ascii="Arial Narrow" w:hAnsi="Arial Narrow" w:cs="TimesNewRomanPSMT"/>
                <w:szCs w:val="20"/>
                <w:lang w:val="sl-SI" w:eastAsia="en-GB"/>
              </w:rPr>
              <w:t xml:space="preserve">6 </w:t>
            </w:r>
            <w:r w:rsidR="002E1A70" w:rsidRPr="00275FBD">
              <w:rPr>
                <w:rFonts w:ascii="Arial Narrow" w:hAnsi="Arial Narrow" w:cs="TimesNewRomanPSMT"/>
                <w:szCs w:val="20"/>
                <w:lang w:val="sl-SI" w:eastAsia="en-GB"/>
              </w:rPr>
              <w:t>Verjetnostne varnostne analize</w:t>
            </w:r>
          </w:p>
        </w:tc>
        <w:tc>
          <w:tcPr>
            <w:tcW w:w="425" w:type="dxa"/>
            <w:shd w:val="clear" w:color="auto" w:fill="auto"/>
            <w:noWrap/>
          </w:tcPr>
          <w:p w14:paraId="2549782B"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0E93D8E6"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58F4A9C6"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3D21EFF0"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59FEB050"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6" w:type="dxa"/>
            <w:shd w:val="clear" w:color="auto" w:fill="D9D9D9" w:themeFill="background1" w:themeFillShade="D9"/>
          </w:tcPr>
          <w:p w14:paraId="1ABEDD0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27315771"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2AF448FE"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78A101ED"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53D3D024"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7FE4D668"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5" w:type="dxa"/>
          </w:tcPr>
          <w:p w14:paraId="0902521D"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5" w:type="dxa"/>
          </w:tcPr>
          <w:p w14:paraId="3914DF9A"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6" w:type="dxa"/>
          </w:tcPr>
          <w:p w14:paraId="70D2F235"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67A2BE3B"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6968DBB0"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76C0CB3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5D4227B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r>
      <w:tr w:rsidR="00336765" w:rsidRPr="00275FBD" w14:paraId="647BAAAB" w14:textId="77777777" w:rsidTr="00336765">
        <w:trPr>
          <w:trHeight w:val="300"/>
          <w:jc w:val="center"/>
        </w:trPr>
        <w:tc>
          <w:tcPr>
            <w:tcW w:w="1720" w:type="dxa"/>
            <w:shd w:val="clear" w:color="auto" w:fill="auto"/>
            <w:noWrap/>
            <w:hideMark/>
          </w:tcPr>
          <w:p w14:paraId="01AAD60E" w14:textId="690E7BFE" w:rsidR="00336765" w:rsidRPr="00275FBD" w:rsidRDefault="00336765" w:rsidP="00B47BFF">
            <w:pPr>
              <w:spacing w:before="0" w:after="0"/>
              <w:contextualSpacing/>
              <w:jc w:val="left"/>
              <w:rPr>
                <w:rFonts w:ascii="Arial Narrow" w:hAnsi="Arial Narrow" w:cs="TimesNewRomanPSMT"/>
                <w:szCs w:val="20"/>
                <w:lang w:val="sl-SI" w:eastAsia="en-GB"/>
              </w:rPr>
            </w:pPr>
            <w:r w:rsidRPr="00275FBD">
              <w:rPr>
                <w:rFonts w:ascii="Arial Narrow" w:hAnsi="Arial Narrow" w:cs="TimesNewRomanPSMT"/>
                <w:szCs w:val="20"/>
                <w:lang w:val="sl-SI" w:eastAsia="en-GB"/>
              </w:rPr>
              <w:t xml:space="preserve">7 </w:t>
            </w:r>
            <w:r w:rsidR="002E1A70" w:rsidRPr="00275FBD">
              <w:rPr>
                <w:rFonts w:ascii="Arial Narrow" w:hAnsi="Arial Narrow" w:cs="TimesNewRomanPSMT"/>
                <w:szCs w:val="20"/>
                <w:lang w:val="sl-SI" w:eastAsia="en-GB"/>
              </w:rPr>
              <w:t>Analize ogroženosti</w:t>
            </w:r>
          </w:p>
        </w:tc>
        <w:tc>
          <w:tcPr>
            <w:tcW w:w="425" w:type="dxa"/>
            <w:shd w:val="clear" w:color="auto" w:fill="auto"/>
            <w:noWrap/>
          </w:tcPr>
          <w:p w14:paraId="11E2773C"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6" w:type="dxa"/>
          </w:tcPr>
          <w:p w14:paraId="3804E95B"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5" w:type="dxa"/>
          </w:tcPr>
          <w:p w14:paraId="2F790726"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51141465"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0A5F4D7F"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6" w:type="dxa"/>
          </w:tcPr>
          <w:p w14:paraId="052CBCB5"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shd w:val="clear" w:color="auto" w:fill="D9D9D9" w:themeFill="background1" w:themeFillShade="D9"/>
          </w:tcPr>
          <w:p w14:paraId="20502EBE"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3F1DF156"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7AC04090"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3C79C9BA"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5" w:type="dxa"/>
          </w:tcPr>
          <w:p w14:paraId="273CB053"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5E452C21"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5" w:type="dxa"/>
          </w:tcPr>
          <w:p w14:paraId="1EBACEDF"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6" w:type="dxa"/>
          </w:tcPr>
          <w:p w14:paraId="7F9F1587"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1509D80D"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35B235E0"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10C9B356"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24F19F5E"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r>
      <w:tr w:rsidR="00336765" w:rsidRPr="00275FBD" w14:paraId="00A31E9F" w14:textId="77777777" w:rsidTr="00336765">
        <w:trPr>
          <w:trHeight w:val="300"/>
          <w:jc w:val="center"/>
        </w:trPr>
        <w:tc>
          <w:tcPr>
            <w:tcW w:w="1720" w:type="dxa"/>
            <w:shd w:val="clear" w:color="auto" w:fill="auto"/>
            <w:noWrap/>
            <w:hideMark/>
          </w:tcPr>
          <w:p w14:paraId="774F53EF" w14:textId="79499400" w:rsidR="00336765" w:rsidRPr="00275FBD" w:rsidRDefault="00336765" w:rsidP="00B47BFF">
            <w:pPr>
              <w:spacing w:before="0" w:after="0"/>
              <w:contextualSpacing/>
              <w:jc w:val="left"/>
              <w:rPr>
                <w:rFonts w:ascii="Arial Narrow" w:hAnsi="Arial Narrow" w:cs="TimesNewRomanPSMT"/>
                <w:szCs w:val="20"/>
                <w:lang w:val="sl-SI" w:eastAsia="en-GB"/>
              </w:rPr>
            </w:pPr>
            <w:r w:rsidRPr="00275FBD">
              <w:rPr>
                <w:rFonts w:ascii="Arial Narrow" w:hAnsi="Arial Narrow" w:cs="TimesNewRomanPSMT"/>
                <w:szCs w:val="20"/>
                <w:lang w:val="sl-SI" w:eastAsia="en-GB"/>
              </w:rPr>
              <w:t xml:space="preserve">8 </w:t>
            </w:r>
            <w:r w:rsidR="002E1A70" w:rsidRPr="00275FBD">
              <w:rPr>
                <w:rFonts w:ascii="Arial Narrow" w:hAnsi="Arial Narrow" w:cs="TimesNewRomanPSMT"/>
                <w:szCs w:val="20"/>
                <w:lang w:val="sl-SI" w:eastAsia="en-GB"/>
              </w:rPr>
              <w:t>Obratovalne izkušnje – lastne</w:t>
            </w:r>
          </w:p>
        </w:tc>
        <w:tc>
          <w:tcPr>
            <w:tcW w:w="425" w:type="dxa"/>
            <w:shd w:val="clear" w:color="auto" w:fill="auto"/>
            <w:noWrap/>
          </w:tcPr>
          <w:p w14:paraId="3953F4A8"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3</w:t>
            </w:r>
          </w:p>
        </w:tc>
        <w:tc>
          <w:tcPr>
            <w:tcW w:w="426" w:type="dxa"/>
          </w:tcPr>
          <w:p w14:paraId="64DD9C2F"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9</w:t>
            </w:r>
          </w:p>
        </w:tc>
        <w:tc>
          <w:tcPr>
            <w:tcW w:w="425" w:type="dxa"/>
          </w:tcPr>
          <w:p w14:paraId="24BD9809"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187E4665"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5" w:type="dxa"/>
          </w:tcPr>
          <w:p w14:paraId="3F5F6237"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4947A36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5C55AFCA"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shd w:val="clear" w:color="auto" w:fill="D9D9D9" w:themeFill="background1" w:themeFillShade="D9"/>
          </w:tcPr>
          <w:p w14:paraId="5E45C9B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36599DC5"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2706724C"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11</w:t>
            </w:r>
          </w:p>
        </w:tc>
        <w:tc>
          <w:tcPr>
            <w:tcW w:w="425" w:type="dxa"/>
          </w:tcPr>
          <w:p w14:paraId="3D5B9E62"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10</w:t>
            </w:r>
          </w:p>
        </w:tc>
        <w:tc>
          <w:tcPr>
            <w:tcW w:w="425" w:type="dxa"/>
          </w:tcPr>
          <w:p w14:paraId="7ED7E818"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3</w:t>
            </w:r>
          </w:p>
        </w:tc>
        <w:tc>
          <w:tcPr>
            <w:tcW w:w="425" w:type="dxa"/>
          </w:tcPr>
          <w:p w14:paraId="3BEFE066"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5</w:t>
            </w:r>
          </w:p>
        </w:tc>
        <w:tc>
          <w:tcPr>
            <w:tcW w:w="426" w:type="dxa"/>
          </w:tcPr>
          <w:p w14:paraId="7C80704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66617CE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502CEF1"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17C9BF88"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31C57EED"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r>
      <w:tr w:rsidR="00336765" w:rsidRPr="00275FBD" w14:paraId="7F643BBE" w14:textId="77777777" w:rsidTr="00336765">
        <w:trPr>
          <w:trHeight w:val="300"/>
          <w:jc w:val="center"/>
        </w:trPr>
        <w:tc>
          <w:tcPr>
            <w:tcW w:w="1720" w:type="dxa"/>
            <w:shd w:val="clear" w:color="auto" w:fill="auto"/>
            <w:noWrap/>
            <w:hideMark/>
          </w:tcPr>
          <w:p w14:paraId="0CDA690C" w14:textId="7DDA45B0" w:rsidR="00336765" w:rsidRPr="00275FBD" w:rsidRDefault="00336765" w:rsidP="00B47BFF">
            <w:pPr>
              <w:spacing w:before="0" w:after="0"/>
              <w:contextualSpacing/>
              <w:jc w:val="left"/>
              <w:rPr>
                <w:rFonts w:ascii="Arial Narrow" w:hAnsi="Arial Narrow" w:cs="TimesNewRomanPSMT"/>
                <w:szCs w:val="20"/>
                <w:lang w:val="sl-SI" w:eastAsia="en-GB"/>
              </w:rPr>
            </w:pPr>
            <w:r w:rsidRPr="00275FBD">
              <w:rPr>
                <w:rFonts w:ascii="Arial Narrow" w:hAnsi="Arial Narrow" w:cs="TimesNewRomanPSMT"/>
                <w:szCs w:val="20"/>
                <w:lang w:val="sl-SI" w:eastAsia="en-GB"/>
              </w:rPr>
              <w:t xml:space="preserve">9 </w:t>
            </w:r>
            <w:r w:rsidR="002E1A70" w:rsidRPr="00275FBD">
              <w:rPr>
                <w:rFonts w:ascii="Arial Narrow" w:hAnsi="Arial Narrow" w:cs="TimesNewRomanPSMT"/>
                <w:szCs w:val="20"/>
                <w:lang w:val="sl-SI" w:eastAsia="en-GB"/>
              </w:rPr>
              <w:t>Obratovalne izkušnje – drugi</w:t>
            </w:r>
          </w:p>
        </w:tc>
        <w:tc>
          <w:tcPr>
            <w:tcW w:w="425" w:type="dxa"/>
            <w:shd w:val="clear" w:color="auto" w:fill="auto"/>
            <w:noWrap/>
          </w:tcPr>
          <w:p w14:paraId="31FC9614"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42163C65"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5" w:type="dxa"/>
          </w:tcPr>
          <w:p w14:paraId="6A17B695"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2AC46A04"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C23E6E8"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185E28C0"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6F4E18C0"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22187723"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shd w:val="clear" w:color="auto" w:fill="D9D9D9" w:themeFill="background1" w:themeFillShade="D9"/>
          </w:tcPr>
          <w:p w14:paraId="1F9F3715"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3A10F167"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3</w:t>
            </w:r>
          </w:p>
        </w:tc>
        <w:tc>
          <w:tcPr>
            <w:tcW w:w="425" w:type="dxa"/>
          </w:tcPr>
          <w:p w14:paraId="3709CEEA"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0E53C053"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5</w:t>
            </w:r>
          </w:p>
        </w:tc>
        <w:tc>
          <w:tcPr>
            <w:tcW w:w="425" w:type="dxa"/>
          </w:tcPr>
          <w:p w14:paraId="3E05F769"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05F14706"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143E566C"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36862B47"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5437058E"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5DDCEC5B"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r>
      <w:tr w:rsidR="00336765" w:rsidRPr="00275FBD" w14:paraId="0E46B91E" w14:textId="77777777" w:rsidTr="00336765">
        <w:trPr>
          <w:trHeight w:val="300"/>
          <w:jc w:val="center"/>
        </w:trPr>
        <w:tc>
          <w:tcPr>
            <w:tcW w:w="1720" w:type="dxa"/>
            <w:shd w:val="clear" w:color="auto" w:fill="auto"/>
            <w:noWrap/>
            <w:hideMark/>
          </w:tcPr>
          <w:p w14:paraId="4354DC50" w14:textId="63D977DC" w:rsidR="00336765" w:rsidRPr="00275FBD" w:rsidRDefault="00336765" w:rsidP="00B47BFF">
            <w:pPr>
              <w:spacing w:before="0" w:after="0"/>
              <w:contextualSpacing/>
              <w:jc w:val="left"/>
              <w:rPr>
                <w:rFonts w:ascii="Arial Narrow" w:hAnsi="Arial Narrow" w:cs="TimesNewRomanPSMT"/>
                <w:szCs w:val="20"/>
                <w:lang w:val="sl-SI" w:eastAsia="en-GB"/>
              </w:rPr>
            </w:pPr>
            <w:r w:rsidRPr="00275FBD">
              <w:rPr>
                <w:rFonts w:ascii="Arial Narrow" w:hAnsi="Arial Narrow" w:cs="TimesNewRomanPSMT"/>
                <w:szCs w:val="20"/>
                <w:lang w:val="sl-SI" w:eastAsia="en-GB"/>
              </w:rPr>
              <w:t xml:space="preserve">10 </w:t>
            </w:r>
            <w:r w:rsidR="002E1A70" w:rsidRPr="00275FBD">
              <w:rPr>
                <w:rFonts w:ascii="Arial Narrow" w:hAnsi="Arial Narrow" w:cs="TimesNewRomanPSMT"/>
                <w:szCs w:val="20"/>
                <w:lang w:val="sl-SI" w:eastAsia="en-GB"/>
              </w:rPr>
              <w:t>Sistemi vodenja</w:t>
            </w:r>
          </w:p>
        </w:tc>
        <w:tc>
          <w:tcPr>
            <w:tcW w:w="425" w:type="dxa"/>
            <w:shd w:val="clear" w:color="auto" w:fill="auto"/>
            <w:noWrap/>
          </w:tcPr>
          <w:p w14:paraId="2994BF4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4A7BEFCC"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5" w:type="dxa"/>
          </w:tcPr>
          <w:p w14:paraId="0FAB447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386F7861"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2769FC94"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280B7D5A"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5BD4B964"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0AD9070D"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2F02968"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shd w:val="clear" w:color="auto" w:fill="D9D9D9" w:themeFill="background1" w:themeFillShade="D9"/>
          </w:tcPr>
          <w:p w14:paraId="127150A7"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202FD04A"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3</w:t>
            </w:r>
          </w:p>
        </w:tc>
        <w:tc>
          <w:tcPr>
            <w:tcW w:w="425" w:type="dxa"/>
          </w:tcPr>
          <w:p w14:paraId="65567482"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6</w:t>
            </w:r>
          </w:p>
        </w:tc>
        <w:tc>
          <w:tcPr>
            <w:tcW w:w="425" w:type="dxa"/>
          </w:tcPr>
          <w:p w14:paraId="40C07FF6"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4</w:t>
            </w:r>
          </w:p>
        </w:tc>
        <w:tc>
          <w:tcPr>
            <w:tcW w:w="426" w:type="dxa"/>
          </w:tcPr>
          <w:p w14:paraId="33F9C6F3"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1052362A"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3CF4B396"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129A6287"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47C29123"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r>
      <w:tr w:rsidR="00336765" w:rsidRPr="00275FBD" w14:paraId="3BE88A88" w14:textId="77777777" w:rsidTr="00336765">
        <w:trPr>
          <w:trHeight w:val="300"/>
          <w:jc w:val="center"/>
        </w:trPr>
        <w:tc>
          <w:tcPr>
            <w:tcW w:w="1720" w:type="dxa"/>
            <w:shd w:val="clear" w:color="auto" w:fill="auto"/>
            <w:noWrap/>
            <w:hideMark/>
          </w:tcPr>
          <w:p w14:paraId="4A387FBA" w14:textId="55F5F364" w:rsidR="00336765" w:rsidRPr="00275FBD" w:rsidRDefault="00336765" w:rsidP="00B47BFF">
            <w:pPr>
              <w:spacing w:before="0" w:after="0"/>
              <w:contextualSpacing/>
              <w:jc w:val="left"/>
              <w:rPr>
                <w:rFonts w:ascii="Arial Narrow" w:hAnsi="Arial Narrow" w:cs="TimesNewRomanPSMT"/>
                <w:szCs w:val="20"/>
                <w:lang w:val="sl-SI" w:eastAsia="en-GB"/>
              </w:rPr>
            </w:pPr>
            <w:r w:rsidRPr="00275FBD">
              <w:rPr>
                <w:rFonts w:ascii="Arial Narrow" w:hAnsi="Arial Narrow" w:cs="TimesNewRomanPSMT"/>
                <w:szCs w:val="20"/>
                <w:lang w:val="sl-SI" w:eastAsia="en-GB"/>
              </w:rPr>
              <w:t xml:space="preserve">11 </w:t>
            </w:r>
            <w:r w:rsidR="002E1A70" w:rsidRPr="00275FBD">
              <w:rPr>
                <w:rFonts w:ascii="Arial Narrow" w:hAnsi="Arial Narrow" w:cs="TimesNewRomanPSMT"/>
                <w:szCs w:val="20"/>
                <w:lang w:val="sl-SI" w:eastAsia="en-GB"/>
              </w:rPr>
              <w:t>Varnostna kultura</w:t>
            </w:r>
          </w:p>
        </w:tc>
        <w:tc>
          <w:tcPr>
            <w:tcW w:w="425" w:type="dxa"/>
            <w:shd w:val="clear" w:color="auto" w:fill="auto"/>
            <w:noWrap/>
          </w:tcPr>
          <w:p w14:paraId="7488D583"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407405B7"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5" w:type="dxa"/>
          </w:tcPr>
          <w:p w14:paraId="3E0C1286"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702F7EBC"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691DED41"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3C23B34D"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0A25EE6"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301F73CC"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2</w:t>
            </w:r>
          </w:p>
        </w:tc>
        <w:tc>
          <w:tcPr>
            <w:tcW w:w="425" w:type="dxa"/>
          </w:tcPr>
          <w:p w14:paraId="41AA359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39D6016C"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3</w:t>
            </w:r>
          </w:p>
        </w:tc>
        <w:tc>
          <w:tcPr>
            <w:tcW w:w="425" w:type="dxa"/>
            <w:shd w:val="clear" w:color="auto" w:fill="D9D9D9" w:themeFill="background1" w:themeFillShade="D9"/>
          </w:tcPr>
          <w:p w14:paraId="62016ED7"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6C060971"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5" w:type="dxa"/>
          </w:tcPr>
          <w:p w14:paraId="3EA51E00"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2</w:t>
            </w:r>
          </w:p>
        </w:tc>
        <w:tc>
          <w:tcPr>
            <w:tcW w:w="426" w:type="dxa"/>
          </w:tcPr>
          <w:p w14:paraId="5F7CB9D8"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EF2771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6D0D06E"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53D8E294"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427920B5"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r>
      <w:tr w:rsidR="00336765" w:rsidRPr="00275FBD" w14:paraId="50739891" w14:textId="77777777" w:rsidTr="00336765">
        <w:trPr>
          <w:trHeight w:val="300"/>
          <w:jc w:val="center"/>
        </w:trPr>
        <w:tc>
          <w:tcPr>
            <w:tcW w:w="1720" w:type="dxa"/>
            <w:shd w:val="clear" w:color="auto" w:fill="auto"/>
            <w:noWrap/>
            <w:hideMark/>
          </w:tcPr>
          <w:p w14:paraId="631767E2" w14:textId="6A4F3B1B" w:rsidR="00336765" w:rsidRPr="00275FBD" w:rsidRDefault="00336765" w:rsidP="00B47BFF">
            <w:pPr>
              <w:spacing w:before="0" w:after="0"/>
              <w:contextualSpacing/>
              <w:jc w:val="left"/>
              <w:rPr>
                <w:rFonts w:ascii="Arial Narrow" w:hAnsi="Arial Narrow" w:cs="TimesNewRomanPSMT"/>
                <w:szCs w:val="20"/>
                <w:lang w:val="sl-SI" w:eastAsia="en-GB"/>
              </w:rPr>
            </w:pPr>
            <w:r w:rsidRPr="00275FBD">
              <w:rPr>
                <w:rFonts w:ascii="Arial Narrow" w:hAnsi="Arial Narrow" w:cs="TimesNewRomanPSMT"/>
                <w:szCs w:val="20"/>
                <w:lang w:val="sl-SI" w:eastAsia="en-GB"/>
              </w:rPr>
              <w:t xml:space="preserve">12 </w:t>
            </w:r>
            <w:r w:rsidR="002E1A70" w:rsidRPr="00275FBD">
              <w:rPr>
                <w:rFonts w:ascii="Arial Narrow" w:hAnsi="Arial Narrow" w:cs="TimesNewRomanPSMT"/>
                <w:szCs w:val="20"/>
                <w:lang w:val="sl-SI" w:eastAsia="en-GB"/>
              </w:rPr>
              <w:t>Pisni postopki</w:t>
            </w:r>
          </w:p>
        </w:tc>
        <w:tc>
          <w:tcPr>
            <w:tcW w:w="425" w:type="dxa"/>
            <w:shd w:val="clear" w:color="auto" w:fill="auto"/>
            <w:noWrap/>
          </w:tcPr>
          <w:p w14:paraId="13F93933"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6" w:type="dxa"/>
          </w:tcPr>
          <w:p w14:paraId="5B1402D0"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29BCC2A0"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9833E87"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B02A90B"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401BE955"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09D32FA8"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05D80857"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5" w:type="dxa"/>
          </w:tcPr>
          <w:p w14:paraId="4BC4AFF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539EB58C"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0AA7A583"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shd w:val="clear" w:color="auto" w:fill="D9D9D9" w:themeFill="background1" w:themeFillShade="D9"/>
          </w:tcPr>
          <w:p w14:paraId="5C854A69"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0084845A"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76D61AE0"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2</w:t>
            </w:r>
          </w:p>
        </w:tc>
        <w:tc>
          <w:tcPr>
            <w:tcW w:w="425" w:type="dxa"/>
          </w:tcPr>
          <w:p w14:paraId="0ED20DB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2B643085"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3DA62367"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29A8EC07"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r>
      <w:tr w:rsidR="00336765" w:rsidRPr="00275FBD" w14:paraId="34B63AC7" w14:textId="77777777" w:rsidTr="00336765">
        <w:trPr>
          <w:trHeight w:val="300"/>
          <w:jc w:val="center"/>
        </w:trPr>
        <w:tc>
          <w:tcPr>
            <w:tcW w:w="1720" w:type="dxa"/>
            <w:shd w:val="clear" w:color="auto" w:fill="auto"/>
            <w:noWrap/>
            <w:hideMark/>
          </w:tcPr>
          <w:p w14:paraId="7DB0CC36" w14:textId="1A51FD78" w:rsidR="00336765" w:rsidRPr="00275FBD" w:rsidRDefault="00336765" w:rsidP="00B47BFF">
            <w:pPr>
              <w:spacing w:before="0" w:after="0"/>
              <w:contextualSpacing/>
              <w:jc w:val="left"/>
              <w:rPr>
                <w:rFonts w:ascii="Arial Narrow" w:hAnsi="Arial Narrow" w:cs="TimesNewRomanPSMT"/>
                <w:szCs w:val="20"/>
                <w:lang w:val="sl-SI" w:eastAsia="en-GB"/>
              </w:rPr>
            </w:pPr>
            <w:r w:rsidRPr="00275FBD">
              <w:rPr>
                <w:rFonts w:ascii="Arial Narrow" w:hAnsi="Arial Narrow" w:cs="TimesNewRomanPSMT"/>
                <w:szCs w:val="20"/>
                <w:lang w:val="sl-SI" w:eastAsia="en-GB"/>
              </w:rPr>
              <w:t xml:space="preserve">13 </w:t>
            </w:r>
            <w:r w:rsidR="001D65DF" w:rsidRPr="001D65DF">
              <w:rPr>
                <w:rFonts w:ascii="Arial Narrow" w:hAnsi="Arial Narrow" w:cs="TimesNewRomanPSMT"/>
                <w:szCs w:val="20"/>
                <w:lang w:val="sl-SI" w:eastAsia="en-GB"/>
              </w:rPr>
              <w:t>Vpliv dejavnosti osebja – č</w:t>
            </w:r>
            <w:r w:rsidR="002E1A70" w:rsidRPr="00275FBD">
              <w:rPr>
                <w:rFonts w:ascii="Arial Narrow" w:hAnsi="Arial Narrow" w:cs="TimesNewRomanPSMT"/>
                <w:szCs w:val="20"/>
                <w:lang w:val="sl-SI" w:eastAsia="en-GB"/>
              </w:rPr>
              <w:t>loveški dejavnik</w:t>
            </w:r>
          </w:p>
        </w:tc>
        <w:tc>
          <w:tcPr>
            <w:tcW w:w="425" w:type="dxa"/>
            <w:shd w:val="clear" w:color="auto" w:fill="auto"/>
            <w:noWrap/>
          </w:tcPr>
          <w:p w14:paraId="02973625"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7E04ED19"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1E08D91D"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547DEFD9"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7E672827"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567C5594"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7AEC00E1"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AEAAA14"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2</w:t>
            </w:r>
          </w:p>
        </w:tc>
        <w:tc>
          <w:tcPr>
            <w:tcW w:w="425" w:type="dxa"/>
          </w:tcPr>
          <w:p w14:paraId="278BA24D"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32DE2011"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8</w:t>
            </w:r>
          </w:p>
        </w:tc>
        <w:tc>
          <w:tcPr>
            <w:tcW w:w="425" w:type="dxa"/>
          </w:tcPr>
          <w:p w14:paraId="0E80F994"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2</w:t>
            </w:r>
          </w:p>
        </w:tc>
        <w:tc>
          <w:tcPr>
            <w:tcW w:w="425" w:type="dxa"/>
          </w:tcPr>
          <w:p w14:paraId="04F36E99"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shd w:val="clear" w:color="auto" w:fill="D9D9D9" w:themeFill="background1" w:themeFillShade="D9"/>
          </w:tcPr>
          <w:p w14:paraId="09E6902B"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6D357804"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374A2CB6"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33A21451"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6BF224DD"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437D3064"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r>
      <w:tr w:rsidR="00336765" w:rsidRPr="00275FBD" w14:paraId="2E8BF8B8" w14:textId="77777777" w:rsidTr="00336765">
        <w:trPr>
          <w:trHeight w:val="300"/>
          <w:jc w:val="center"/>
        </w:trPr>
        <w:tc>
          <w:tcPr>
            <w:tcW w:w="1720" w:type="dxa"/>
            <w:shd w:val="clear" w:color="auto" w:fill="auto"/>
            <w:noWrap/>
            <w:hideMark/>
          </w:tcPr>
          <w:p w14:paraId="4DF9C4F3" w14:textId="54BB2F74" w:rsidR="00336765" w:rsidRPr="00275FBD" w:rsidRDefault="00336765" w:rsidP="00B47BFF">
            <w:pPr>
              <w:spacing w:before="0" w:after="0"/>
              <w:contextualSpacing/>
              <w:jc w:val="left"/>
              <w:rPr>
                <w:rFonts w:ascii="Arial Narrow" w:hAnsi="Arial Narrow" w:cs="TimesNewRomanPSMT"/>
                <w:szCs w:val="20"/>
                <w:lang w:val="sl-SI" w:eastAsia="en-GB"/>
              </w:rPr>
            </w:pPr>
            <w:r w:rsidRPr="00275FBD">
              <w:rPr>
                <w:rFonts w:ascii="Arial Narrow" w:hAnsi="Arial Narrow" w:cs="TimesNewRomanPSMT"/>
                <w:szCs w:val="20"/>
                <w:lang w:val="sl-SI" w:eastAsia="en-GB"/>
              </w:rPr>
              <w:t xml:space="preserve">14 </w:t>
            </w:r>
            <w:r w:rsidR="002E1A70" w:rsidRPr="00275FBD">
              <w:rPr>
                <w:rFonts w:ascii="Arial Narrow" w:hAnsi="Arial Narrow" w:cs="TimesNewRomanPSMT"/>
                <w:szCs w:val="20"/>
                <w:lang w:val="sl-SI" w:eastAsia="en-GB"/>
              </w:rPr>
              <w:t>Načrt zaščite in reševanja</w:t>
            </w:r>
          </w:p>
        </w:tc>
        <w:tc>
          <w:tcPr>
            <w:tcW w:w="425" w:type="dxa"/>
            <w:shd w:val="clear" w:color="auto" w:fill="auto"/>
            <w:noWrap/>
          </w:tcPr>
          <w:p w14:paraId="0205844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28AF939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72BF04B7"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2524DC0A"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121A3358"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123063EE"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65765456"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5" w:type="dxa"/>
          </w:tcPr>
          <w:p w14:paraId="078E4DE6"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5" w:type="dxa"/>
          </w:tcPr>
          <w:p w14:paraId="794F1E2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6B45E2AA"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3</w:t>
            </w:r>
          </w:p>
        </w:tc>
        <w:tc>
          <w:tcPr>
            <w:tcW w:w="425" w:type="dxa"/>
          </w:tcPr>
          <w:p w14:paraId="73157BAE"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1A36C005"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2</w:t>
            </w:r>
          </w:p>
        </w:tc>
        <w:tc>
          <w:tcPr>
            <w:tcW w:w="425" w:type="dxa"/>
          </w:tcPr>
          <w:p w14:paraId="41713265"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shd w:val="clear" w:color="auto" w:fill="D9D9D9" w:themeFill="background1" w:themeFillShade="D9"/>
          </w:tcPr>
          <w:p w14:paraId="2EA71779"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5B3C3B1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30B311A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60B84380"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18026290"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r>
      <w:tr w:rsidR="00336765" w:rsidRPr="00275FBD" w14:paraId="7FAF762E" w14:textId="77777777" w:rsidTr="00336765">
        <w:trPr>
          <w:trHeight w:val="300"/>
          <w:jc w:val="center"/>
        </w:trPr>
        <w:tc>
          <w:tcPr>
            <w:tcW w:w="1720" w:type="dxa"/>
            <w:shd w:val="clear" w:color="auto" w:fill="auto"/>
            <w:noWrap/>
          </w:tcPr>
          <w:p w14:paraId="4AD16C7B" w14:textId="5675AB66" w:rsidR="00336765" w:rsidRPr="00275FBD" w:rsidRDefault="00336765" w:rsidP="00B47BFF">
            <w:pPr>
              <w:spacing w:before="0" w:after="0"/>
              <w:contextualSpacing/>
              <w:jc w:val="left"/>
              <w:rPr>
                <w:rFonts w:ascii="Arial Narrow" w:hAnsi="Arial Narrow" w:cs="TimesNewRomanPSMT"/>
                <w:szCs w:val="20"/>
                <w:lang w:val="sl-SI" w:eastAsia="en-GB"/>
              </w:rPr>
            </w:pPr>
            <w:r w:rsidRPr="00275FBD">
              <w:rPr>
                <w:rFonts w:ascii="Arial Narrow" w:hAnsi="Arial Narrow" w:cs="TimesNewRomanPSMT"/>
                <w:szCs w:val="20"/>
                <w:lang w:val="sl-SI" w:eastAsia="en-GB"/>
              </w:rPr>
              <w:t>15</w:t>
            </w:r>
            <w:r w:rsidR="001D65DF">
              <w:rPr>
                <w:rFonts w:ascii="Arial Narrow" w:hAnsi="Arial Narrow" w:cs="TimesNewRomanPSMT"/>
                <w:szCs w:val="20"/>
                <w:lang w:val="sl-SI" w:eastAsia="en-GB"/>
              </w:rPr>
              <w:t xml:space="preserve"> </w:t>
            </w:r>
            <w:r w:rsidRPr="00275FBD">
              <w:rPr>
                <w:rFonts w:ascii="Arial Narrow" w:hAnsi="Arial Narrow" w:cs="TimesNewRomanPSMT"/>
                <w:szCs w:val="20"/>
                <w:lang w:val="sl-SI" w:eastAsia="en-GB"/>
              </w:rPr>
              <w:t>Radiolo</w:t>
            </w:r>
            <w:r w:rsidR="002E1A70" w:rsidRPr="00275FBD">
              <w:rPr>
                <w:rFonts w:ascii="Arial Narrow" w:hAnsi="Arial Narrow" w:cs="TimesNewRomanPSMT"/>
                <w:szCs w:val="20"/>
                <w:lang w:val="sl-SI" w:eastAsia="en-GB"/>
              </w:rPr>
              <w:t>ški vplivi na okolje</w:t>
            </w:r>
          </w:p>
        </w:tc>
        <w:tc>
          <w:tcPr>
            <w:tcW w:w="425" w:type="dxa"/>
            <w:shd w:val="clear" w:color="auto" w:fill="auto"/>
            <w:noWrap/>
          </w:tcPr>
          <w:p w14:paraId="5F3B8904"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0A045298"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62E15986"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7A344E61"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3AFE43C"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4DD3BB85"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ECDC278"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6AA57AD"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0FF258C6"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5F445DF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5CD6F71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3DD15BE9"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23BFC27A"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0E948B14"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shd w:val="clear" w:color="auto" w:fill="D9D9D9" w:themeFill="background1" w:themeFillShade="D9"/>
          </w:tcPr>
          <w:p w14:paraId="73A8400D"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18AE1EF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6AE7E23E"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5CDF5AE9"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r>
      <w:tr w:rsidR="00336765" w:rsidRPr="001D65DF" w14:paraId="5B4EDB33" w14:textId="77777777" w:rsidTr="00336765">
        <w:trPr>
          <w:trHeight w:val="300"/>
          <w:jc w:val="center"/>
        </w:trPr>
        <w:tc>
          <w:tcPr>
            <w:tcW w:w="1720" w:type="dxa"/>
            <w:shd w:val="clear" w:color="auto" w:fill="auto"/>
            <w:noWrap/>
          </w:tcPr>
          <w:p w14:paraId="0955C53D" w14:textId="46C3C916" w:rsidR="00336765" w:rsidRPr="00275FBD" w:rsidRDefault="00336765" w:rsidP="00B47BFF">
            <w:pPr>
              <w:spacing w:before="0" w:after="0"/>
              <w:contextualSpacing/>
              <w:jc w:val="left"/>
              <w:rPr>
                <w:rFonts w:ascii="Arial Narrow" w:hAnsi="Arial Narrow" w:cs="TimesNewRomanPSMT"/>
                <w:szCs w:val="20"/>
                <w:lang w:val="sl-SI" w:eastAsia="en-GB"/>
              </w:rPr>
            </w:pPr>
            <w:r w:rsidRPr="00275FBD">
              <w:rPr>
                <w:rFonts w:ascii="Arial Narrow" w:hAnsi="Arial Narrow" w:cs="TimesNewRomanPSMT"/>
                <w:szCs w:val="20"/>
                <w:lang w:val="sl-SI" w:eastAsia="en-GB"/>
              </w:rPr>
              <w:t>16 Radioa</w:t>
            </w:r>
            <w:r w:rsidR="002E1A70" w:rsidRPr="00275FBD">
              <w:rPr>
                <w:rFonts w:ascii="Arial Narrow" w:hAnsi="Arial Narrow" w:cs="TimesNewRomanPSMT"/>
                <w:szCs w:val="20"/>
                <w:lang w:val="sl-SI" w:eastAsia="en-GB"/>
              </w:rPr>
              <w:t>ktivni odpadki</w:t>
            </w:r>
            <w:r w:rsidRPr="00275FBD">
              <w:rPr>
                <w:rFonts w:ascii="Arial Narrow" w:hAnsi="Arial Narrow" w:cs="TimesNewRomanPSMT"/>
                <w:szCs w:val="20"/>
                <w:lang w:val="sl-SI" w:eastAsia="en-GB"/>
              </w:rPr>
              <w:t xml:space="preserve"> </w:t>
            </w:r>
            <w:r w:rsidR="002E1A70" w:rsidRPr="00275FBD">
              <w:rPr>
                <w:rFonts w:ascii="Arial Narrow" w:hAnsi="Arial Narrow" w:cs="TimesNewRomanPSMT"/>
                <w:szCs w:val="20"/>
                <w:lang w:val="sl-SI" w:eastAsia="en-GB"/>
              </w:rPr>
              <w:t xml:space="preserve">in izrabljeno </w:t>
            </w:r>
            <w:r w:rsidR="001D65DF">
              <w:rPr>
                <w:rFonts w:ascii="Arial Narrow" w:hAnsi="Arial Narrow" w:cs="TimesNewRomanPSMT"/>
                <w:szCs w:val="20"/>
                <w:lang w:val="sl-SI" w:eastAsia="en-GB"/>
              </w:rPr>
              <w:t xml:space="preserve">jedrsko </w:t>
            </w:r>
            <w:r w:rsidR="002E1A70" w:rsidRPr="00275FBD">
              <w:rPr>
                <w:rFonts w:ascii="Arial Narrow" w:hAnsi="Arial Narrow" w:cs="TimesNewRomanPSMT"/>
                <w:szCs w:val="20"/>
                <w:lang w:val="sl-SI" w:eastAsia="en-GB"/>
              </w:rPr>
              <w:t>gorivo</w:t>
            </w:r>
          </w:p>
        </w:tc>
        <w:tc>
          <w:tcPr>
            <w:tcW w:w="425" w:type="dxa"/>
            <w:shd w:val="clear" w:color="auto" w:fill="auto"/>
            <w:noWrap/>
          </w:tcPr>
          <w:p w14:paraId="3A7C78D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5433EAF4"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66C9643C"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57174A95"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3395087A"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7772FBB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112ED188"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C28F73E"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5AA1DF23"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0EFA24D9"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2D645839"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7D994FCE"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7D978E83"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Pr>
          <w:p w14:paraId="3A43416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Pr>
          <w:p w14:paraId="413027F0"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shd w:val="clear" w:color="auto" w:fill="D9D9D9" w:themeFill="background1" w:themeFillShade="D9"/>
          </w:tcPr>
          <w:p w14:paraId="6F790C2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11D36E6A"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Pr>
          <w:p w14:paraId="773F87E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r>
      <w:tr w:rsidR="00336765" w:rsidRPr="00275FBD" w14:paraId="2D7E946B" w14:textId="77777777" w:rsidTr="00336765">
        <w:trPr>
          <w:trHeight w:val="300"/>
          <w:jc w:val="center"/>
        </w:trPr>
        <w:tc>
          <w:tcPr>
            <w:tcW w:w="1720" w:type="dxa"/>
            <w:tcBorders>
              <w:bottom w:val="single" w:sz="4" w:space="0" w:color="auto"/>
            </w:tcBorders>
            <w:shd w:val="clear" w:color="auto" w:fill="auto"/>
            <w:noWrap/>
          </w:tcPr>
          <w:p w14:paraId="7B3C2BA2" w14:textId="0BF19D8A" w:rsidR="00336765" w:rsidRPr="00275FBD" w:rsidRDefault="00336765" w:rsidP="00B47BFF">
            <w:pPr>
              <w:spacing w:before="0" w:after="0"/>
              <w:contextualSpacing/>
              <w:jc w:val="left"/>
              <w:rPr>
                <w:rFonts w:ascii="Arial Narrow" w:hAnsi="Arial Narrow" w:cs="TimesNewRomanPSMT"/>
                <w:szCs w:val="20"/>
                <w:lang w:val="sl-SI" w:eastAsia="en-GB"/>
              </w:rPr>
            </w:pPr>
            <w:r w:rsidRPr="00275FBD">
              <w:rPr>
                <w:rFonts w:ascii="Arial Narrow" w:hAnsi="Arial Narrow" w:cs="TimesNewRomanPSMT"/>
                <w:szCs w:val="20"/>
                <w:lang w:val="sl-SI" w:eastAsia="en-GB"/>
              </w:rPr>
              <w:t xml:space="preserve">17. </w:t>
            </w:r>
            <w:r w:rsidR="002E1A70" w:rsidRPr="00275FBD">
              <w:rPr>
                <w:rFonts w:ascii="Arial Narrow" w:hAnsi="Arial Narrow" w:cs="TimesNewRomanPSMT"/>
                <w:szCs w:val="20"/>
                <w:lang w:val="sl-SI" w:eastAsia="en-GB"/>
              </w:rPr>
              <w:t>Fizično varovanje</w:t>
            </w:r>
          </w:p>
        </w:tc>
        <w:tc>
          <w:tcPr>
            <w:tcW w:w="425" w:type="dxa"/>
            <w:tcBorders>
              <w:bottom w:val="single" w:sz="4" w:space="0" w:color="auto"/>
            </w:tcBorders>
            <w:shd w:val="clear" w:color="auto" w:fill="auto"/>
            <w:noWrap/>
          </w:tcPr>
          <w:p w14:paraId="4E62EC9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Borders>
              <w:bottom w:val="single" w:sz="4" w:space="0" w:color="auto"/>
            </w:tcBorders>
          </w:tcPr>
          <w:p w14:paraId="441A8DA8"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Borders>
              <w:bottom w:val="single" w:sz="4" w:space="0" w:color="auto"/>
            </w:tcBorders>
          </w:tcPr>
          <w:p w14:paraId="49B94018"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Borders>
              <w:bottom w:val="single" w:sz="4" w:space="0" w:color="auto"/>
            </w:tcBorders>
          </w:tcPr>
          <w:p w14:paraId="62DCBF4B"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Borders>
              <w:bottom w:val="single" w:sz="4" w:space="0" w:color="auto"/>
            </w:tcBorders>
          </w:tcPr>
          <w:p w14:paraId="49A393A3"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Borders>
              <w:bottom w:val="single" w:sz="4" w:space="0" w:color="auto"/>
            </w:tcBorders>
          </w:tcPr>
          <w:p w14:paraId="2363A391"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Borders>
              <w:bottom w:val="single" w:sz="4" w:space="0" w:color="auto"/>
            </w:tcBorders>
          </w:tcPr>
          <w:p w14:paraId="4086B2DD"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Borders>
              <w:bottom w:val="single" w:sz="4" w:space="0" w:color="auto"/>
            </w:tcBorders>
          </w:tcPr>
          <w:p w14:paraId="0A88A32D"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Borders>
              <w:bottom w:val="single" w:sz="4" w:space="0" w:color="auto"/>
            </w:tcBorders>
          </w:tcPr>
          <w:p w14:paraId="36E8B57D"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Borders>
              <w:bottom w:val="single" w:sz="4" w:space="0" w:color="auto"/>
            </w:tcBorders>
          </w:tcPr>
          <w:p w14:paraId="18874279"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Borders>
              <w:bottom w:val="single" w:sz="4" w:space="0" w:color="auto"/>
            </w:tcBorders>
          </w:tcPr>
          <w:p w14:paraId="180DC911"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5" w:type="dxa"/>
            <w:tcBorders>
              <w:bottom w:val="single" w:sz="4" w:space="0" w:color="auto"/>
            </w:tcBorders>
          </w:tcPr>
          <w:p w14:paraId="63E751FD"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Borders>
              <w:bottom w:val="single" w:sz="4" w:space="0" w:color="auto"/>
            </w:tcBorders>
          </w:tcPr>
          <w:p w14:paraId="3C41355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Borders>
              <w:bottom w:val="single" w:sz="4" w:space="0" w:color="auto"/>
            </w:tcBorders>
          </w:tcPr>
          <w:p w14:paraId="2CA75F89"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Borders>
              <w:bottom w:val="single" w:sz="4" w:space="0" w:color="auto"/>
            </w:tcBorders>
          </w:tcPr>
          <w:p w14:paraId="2C08CEF5"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Borders>
              <w:bottom w:val="single" w:sz="4" w:space="0" w:color="auto"/>
            </w:tcBorders>
          </w:tcPr>
          <w:p w14:paraId="68F84BB7"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Borders>
              <w:bottom w:val="single" w:sz="4" w:space="0" w:color="auto"/>
            </w:tcBorders>
            <w:shd w:val="clear" w:color="auto" w:fill="D9D9D9" w:themeFill="background1" w:themeFillShade="D9"/>
          </w:tcPr>
          <w:p w14:paraId="187DACF6"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Borders>
              <w:bottom w:val="single" w:sz="4" w:space="0" w:color="auto"/>
            </w:tcBorders>
            <w:shd w:val="clear" w:color="auto" w:fill="auto"/>
          </w:tcPr>
          <w:p w14:paraId="2861080D"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r>
      <w:tr w:rsidR="00336765" w:rsidRPr="00275FBD" w14:paraId="0D1571E4" w14:textId="77777777" w:rsidTr="00336765">
        <w:trPr>
          <w:trHeight w:val="300"/>
          <w:jc w:val="center"/>
        </w:trPr>
        <w:tc>
          <w:tcPr>
            <w:tcW w:w="1720" w:type="dxa"/>
            <w:tcBorders>
              <w:bottom w:val="single" w:sz="4" w:space="0" w:color="auto"/>
            </w:tcBorders>
            <w:shd w:val="clear" w:color="auto" w:fill="auto"/>
            <w:noWrap/>
          </w:tcPr>
          <w:p w14:paraId="6C10A176" w14:textId="4ACF7EF5" w:rsidR="00336765" w:rsidRPr="00275FBD" w:rsidRDefault="00336765" w:rsidP="00B47BFF">
            <w:pPr>
              <w:spacing w:before="0" w:after="0"/>
              <w:contextualSpacing/>
              <w:jc w:val="left"/>
              <w:rPr>
                <w:rFonts w:ascii="Arial Narrow" w:hAnsi="Arial Narrow" w:cs="TimesNewRomanPSMT"/>
                <w:szCs w:val="20"/>
                <w:lang w:val="sl-SI" w:eastAsia="en-GB"/>
              </w:rPr>
            </w:pPr>
            <w:r w:rsidRPr="00275FBD">
              <w:rPr>
                <w:rFonts w:ascii="Arial Narrow" w:hAnsi="Arial Narrow" w:cs="TimesNewRomanPSMT"/>
                <w:szCs w:val="20"/>
                <w:lang w:val="sl-SI" w:eastAsia="en-GB"/>
              </w:rPr>
              <w:t xml:space="preserve">18 </w:t>
            </w:r>
            <w:r w:rsidR="002E1A70" w:rsidRPr="00275FBD">
              <w:rPr>
                <w:rFonts w:ascii="Arial Narrow" w:hAnsi="Arial Narrow" w:cs="TimesNewRomanPSMT"/>
                <w:szCs w:val="20"/>
                <w:lang w:val="sl-SI" w:eastAsia="en-GB"/>
              </w:rPr>
              <w:t>Varstvo pred sevanji</w:t>
            </w:r>
          </w:p>
        </w:tc>
        <w:tc>
          <w:tcPr>
            <w:tcW w:w="425" w:type="dxa"/>
            <w:tcBorders>
              <w:bottom w:val="single" w:sz="4" w:space="0" w:color="auto"/>
            </w:tcBorders>
            <w:shd w:val="clear" w:color="auto" w:fill="auto"/>
            <w:noWrap/>
          </w:tcPr>
          <w:p w14:paraId="550F2ED7"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Borders>
              <w:bottom w:val="single" w:sz="4" w:space="0" w:color="auto"/>
            </w:tcBorders>
          </w:tcPr>
          <w:p w14:paraId="4284DB6D"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Borders>
              <w:bottom w:val="single" w:sz="4" w:space="0" w:color="auto"/>
            </w:tcBorders>
          </w:tcPr>
          <w:p w14:paraId="7DE2BEF5"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Borders>
              <w:bottom w:val="single" w:sz="4" w:space="0" w:color="auto"/>
            </w:tcBorders>
          </w:tcPr>
          <w:p w14:paraId="7EC4BF73"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Borders>
              <w:bottom w:val="single" w:sz="4" w:space="0" w:color="auto"/>
            </w:tcBorders>
          </w:tcPr>
          <w:p w14:paraId="5CF1A81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Borders>
              <w:bottom w:val="single" w:sz="4" w:space="0" w:color="auto"/>
            </w:tcBorders>
          </w:tcPr>
          <w:p w14:paraId="3DCB8527"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Borders>
              <w:bottom w:val="single" w:sz="4" w:space="0" w:color="auto"/>
            </w:tcBorders>
          </w:tcPr>
          <w:p w14:paraId="43C0057B"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Borders>
              <w:bottom w:val="single" w:sz="4" w:space="0" w:color="auto"/>
            </w:tcBorders>
          </w:tcPr>
          <w:p w14:paraId="389F1122"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Borders>
              <w:bottom w:val="single" w:sz="4" w:space="0" w:color="auto"/>
            </w:tcBorders>
          </w:tcPr>
          <w:p w14:paraId="496109D6"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Borders>
              <w:bottom w:val="single" w:sz="4" w:space="0" w:color="auto"/>
            </w:tcBorders>
          </w:tcPr>
          <w:p w14:paraId="2AC33155" w14:textId="77777777" w:rsidR="00336765" w:rsidRPr="00275FBD" w:rsidRDefault="00336765" w:rsidP="00B47BFF">
            <w:pPr>
              <w:spacing w:before="0" w:after="0"/>
              <w:contextualSpacing/>
              <w:jc w:val="center"/>
              <w:rPr>
                <w:rFonts w:ascii="Arial Narrow" w:hAnsi="Arial Narrow"/>
                <w:color w:val="000000"/>
                <w:szCs w:val="20"/>
                <w:lang w:val="sl-SI" w:eastAsia="en-GB"/>
              </w:rPr>
            </w:pPr>
            <w:r w:rsidRPr="00275FBD">
              <w:rPr>
                <w:rFonts w:ascii="Arial Narrow" w:hAnsi="Arial Narrow"/>
                <w:color w:val="000000"/>
                <w:szCs w:val="20"/>
                <w:lang w:val="sl-SI" w:eastAsia="en-GB"/>
              </w:rPr>
              <w:t>1</w:t>
            </w:r>
          </w:p>
        </w:tc>
        <w:tc>
          <w:tcPr>
            <w:tcW w:w="425" w:type="dxa"/>
            <w:tcBorders>
              <w:bottom w:val="single" w:sz="4" w:space="0" w:color="auto"/>
            </w:tcBorders>
          </w:tcPr>
          <w:p w14:paraId="1D485483"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Borders>
              <w:bottom w:val="single" w:sz="4" w:space="0" w:color="auto"/>
            </w:tcBorders>
          </w:tcPr>
          <w:p w14:paraId="7ADED5C4"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Borders>
              <w:bottom w:val="single" w:sz="4" w:space="0" w:color="auto"/>
            </w:tcBorders>
          </w:tcPr>
          <w:p w14:paraId="51BBB88A"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6" w:type="dxa"/>
            <w:tcBorders>
              <w:bottom w:val="single" w:sz="4" w:space="0" w:color="auto"/>
            </w:tcBorders>
          </w:tcPr>
          <w:p w14:paraId="29A3552F"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Borders>
              <w:bottom w:val="single" w:sz="4" w:space="0" w:color="auto"/>
            </w:tcBorders>
          </w:tcPr>
          <w:p w14:paraId="7A07B7C0"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425" w:type="dxa"/>
            <w:tcBorders>
              <w:bottom w:val="single" w:sz="4" w:space="0" w:color="auto"/>
            </w:tcBorders>
          </w:tcPr>
          <w:p w14:paraId="15212C20"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Borders>
              <w:bottom w:val="single" w:sz="4" w:space="0" w:color="auto"/>
            </w:tcBorders>
            <w:shd w:val="clear" w:color="auto" w:fill="FFFFFF" w:themeFill="background1"/>
          </w:tcPr>
          <w:p w14:paraId="34A68657"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c>
          <w:tcPr>
            <w:tcW w:w="531" w:type="dxa"/>
            <w:tcBorders>
              <w:bottom w:val="single" w:sz="4" w:space="0" w:color="auto"/>
            </w:tcBorders>
            <w:shd w:val="clear" w:color="auto" w:fill="D9D9D9" w:themeFill="background1" w:themeFillShade="D9"/>
          </w:tcPr>
          <w:p w14:paraId="737C92B7" w14:textId="77777777" w:rsidR="00336765" w:rsidRPr="00275FBD" w:rsidRDefault="00336765" w:rsidP="00B47BFF">
            <w:pPr>
              <w:spacing w:before="0" w:after="0"/>
              <w:contextualSpacing/>
              <w:jc w:val="center"/>
              <w:rPr>
                <w:rFonts w:ascii="Arial Narrow" w:hAnsi="Arial Narrow"/>
                <w:color w:val="000000"/>
                <w:szCs w:val="20"/>
                <w:lang w:val="sl-SI" w:eastAsia="en-GB"/>
              </w:rPr>
            </w:pPr>
          </w:p>
        </w:tc>
      </w:tr>
      <w:tr w:rsidR="00336765" w:rsidRPr="00275FBD" w14:paraId="443A20F9" w14:textId="77777777" w:rsidTr="00336765">
        <w:trPr>
          <w:trHeight w:val="300"/>
          <w:jc w:val="center"/>
        </w:trPr>
        <w:tc>
          <w:tcPr>
            <w:tcW w:w="1720" w:type="dxa"/>
            <w:tcBorders>
              <w:left w:val="nil"/>
              <w:bottom w:val="nil"/>
              <w:right w:val="nil"/>
            </w:tcBorders>
            <w:shd w:val="clear" w:color="auto" w:fill="auto"/>
            <w:noWrap/>
          </w:tcPr>
          <w:p w14:paraId="0ABEF19A" w14:textId="0FEFE3D5" w:rsidR="00336765" w:rsidRPr="00275FBD" w:rsidRDefault="002E1A70" w:rsidP="00B47BFF">
            <w:pPr>
              <w:spacing w:before="0" w:after="0"/>
              <w:contextualSpacing/>
              <w:jc w:val="left"/>
              <w:rPr>
                <w:rFonts w:ascii="Arial Narrow" w:hAnsi="Arial Narrow" w:cs="TimesNewRomanPSMT"/>
                <w:b/>
                <w:bCs/>
                <w:szCs w:val="20"/>
                <w:lang w:val="sl-SI" w:eastAsia="en-GB"/>
              </w:rPr>
            </w:pPr>
            <w:r w:rsidRPr="00275FBD">
              <w:rPr>
                <w:rFonts w:ascii="Arial Narrow" w:hAnsi="Arial Narrow" w:cs="TimesNewRomanPSMT"/>
                <w:b/>
                <w:bCs/>
                <w:szCs w:val="20"/>
                <w:lang w:val="sl-SI" w:eastAsia="en-GB"/>
              </w:rPr>
              <w:t>Skupno</w:t>
            </w:r>
            <w:r w:rsidR="00336765" w:rsidRPr="00275FBD">
              <w:rPr>
                <w:rFonts w:ascii="Arial Narrow" w:hAnsi="Arial Narrow" w:cs="TimesNewRomanPSMT"/>
                <w:b/>
                <w:bCs/>
                <w:szCs w:val="20"/>
                <w:lang w:val="sl-SI" w:eastAsia="en-GB"/>
              </w:rPr>
              <w:t>:</w:t>
            </w:r>
          </w:p>
        </w:tc>
        <w:tc>
          <w:tcPr>
            <w:tcW w:w="425" w:type="dxa"/>
            <w:tcBorders>
              <w:left w:val="nil"/>
              <w:bottom w:val="nil"/>
              <w:right w:val="nil"/>
            </w:tcBorders>
            <w:shd w:val="clear" w:color="auto" w:fill="auto"/>
            <w:noWrap/>
          </w:tcPr>
          <w:p w14:paraId="5A475625" w14:textId="77777777" w:rsidR="00336765" w:rsidRPr="00275FBD" w:rsidRDefault="00336765" w:rsidP="00B47BFF">
            <w:pPr>
              <w:spacing w:before="0" w:after="0"/>
              <w:contextualSpacing/>
              <w:jc w:val="center"/>
              <w:rPr>
                <w:rFonts w:ascii="Arial Narrow" w:hAnsi="Arial Narrow"/>
                <w:b/>
                <w:bCs/>
                <w:color w:val="000000"/>
                <w:szCs w:val="20"/>
                <w:lang w:val="sl-SI" w:eastAsia="en-GB"/>
              </w:rPr>
            </w:pPr>
            <w:r w:rsidRPr="00275FBD">
              <w:rPr>
                <w:rFonts w:ascii="Arial Narrow" w:hAnsi="Arial Narrow"/>
                <w:b/>
                <w:bCs/>
                <w:color w:val="000000"/>
                <w:szCs w:val="20"/>
                <w:lang w:val="sl-SI" w:eastAsia="en-GB"/>
              </w:rPr>
              <w:t>9</w:t>
            </w:r>
          </w:p>
        </w:tc>
        <w:tc>
          <w:tcPr>
            <w:tcW w:w="426" w:type="dxa"/>
            <w:tcBorders>
              <w:left w:val="nil"/>
              <w:bottom w:val="nil"/>
              <w:right w:val="nil"/>
            </w:tcBorders>
          </w:tcPr>
          <w:p w14:paraId="7DC0A1EE" w14:textId="77777777" w:rsidR="00336765" w:rsidRPr="00275FBD" w:rsidRDefault="00336765" w:rsidP="00B47BFF">
            <w:pPr>
              <w:spacing w:before="0" w:after="0"/>
              <w:contextualSpacing/>
              <w:jc w:val="center"/>
              <w:rPr>
                <w:rFonts w:ascii="Arial Narrow" w:hAnsi="Arial Narrow"/>
                <w:b/>
                <w:bCs/>
                <w:color w:val="000000"/>
                <w:szCs w:val="20"/>
                <w:lang w:val="sl-SI" w:eastAsia="en-GB"/>
              </w:rPr>
            </w:pPr>
            <w:r w:rsidRPr="00275FBD">
              <w:rPr>
                <w:rFonts w:ascii="Arial Narrow" w:hAnsi="Arial Narrow"/>
                <w:b/>
                <w:bCs/>
                <w:color w:val="000000"/>
                <w:szCs w:val="20"/>
                <w:lang w:val="sl-SI" w:eastAsia="en-GB"/>
              </w:rPr>
              <w:t>19</w:t>
            </w:r>
          </w:p>
        </w:tc>
        <w:tc>
          <w:tcPr>
            <w:tcW w:w="425" w:type="dxa"/>
            <w:tcBorders>
              <w:left w:val="nil"/>
              <w:bottom w:val="nil"/>
              <w:right w:val="nil"/>
            </w:tcBorders>
          </w:tcPr>
          <w:p w14:paraId="62111527" w14:textId="77777777" w:rsidR="00336765" w:rsidRPr="00275FBD" w:rsidRDefault="00336765" w:rsidP="00B47BFF">
            <w:pPr>
              <w:spacing w:before="0" w:after="0"/>
              <w:contextualSpacing/>
              <w:jc w:val="center"/>
              <w:rPr>
                <w:rFonts w:ascii="Arial Narrow" w:hAnsi="Arial Narrow"/>
                <w:b/>
                <w:bCs/>
                <w:color w:val="000000"/>
                <w:szCs w:val="20"/>
                <w:lang w:val="sl-SI" w:eastAsia="en-GB"/>
              </w:rPr>
            </w:pPr>
            <w:r w:rsidRPr="00275FBD">
              <w:rPr>
                <w:rFonts w:ascii="Arial Narrow" w:hAnsi="Arial Narrow"/>
                <w:b/>
                <w:bCs/>
                <w:color w:val="000000"/>
                <w:szCs w:val="20"/>
                <w:lang w:val="sl-SI" w:eastAsia="en-GB"/>
              </w:rPr>
              <w:t>4</w:t>
            </w:r>
          </w:p>
        </w:tc>
        <w:tc>
          <w:tcPr>
            <w:tcW w:w="425" w:type="dxa"/>
            <w:tcBorders>
              <w:left w:val="nil"/>
              <w:bottom w:val="nil"/>
              <w:right w:val="nil"/>
            </w:tcBorders>
          </w:tcPr>
          <w:p w14:paraId="44657660" w14:textId="77777777" w:rsidR="00336765" w:rsidRPr="00275FBD" w:rsidRDefault="00336765" w:rsidP="00B47BFF">
            <w:pPr>
              <w:spacing w:before="0" w:after="0"/>
              <w:contextualSpacing/>
              <w:jc w:val="center"/>
              <w:rPr>
                <w:rFonts w:ascii="Arial Narrow" w:hAnsi="Arial Narrow"/>
                <w:b/>
                <w:bCs/>
                <w:color w:val="000000"/>
                <w:szCs w:val="20"/>
                <w:lang w:val="sl-SI" w:eastAsia="en-GB"/>
              </w:rPr>
            </w:pPr>
            <w:r w:rsidRPr="00275FBD">
              <w:rPr>
                <w:rFonts w:ascii="Arial Narrow" w:hAnsi="Arial Narrow"/>
                <w:b/>
                <w:bCs/>
                <w:color w:val="000000"/>
                <w:szCs w:val="20"/>
                <w:lang w:val="sl-SI" w:eastAsia="en-GB"/>
              </w:rPr>
              <w:t>5</w:t>
            </w:r>
          </w:p>
        </w:tc>
        <w:tc>
          <w:tcPr>
            <w:tcW w:w="425" w:type="dxa"/>
            <w:tcBorders>
              <w:left w:val="nil"/>
              <w:bottom w:val="nil"/>
              <w:right w:val="nil"/>
            </w:tcBorders>
          </w:tcPr>
          <w:p w14:paraId="037B085C" w14:textId="77777777" w:rsidR="00336765" w:rsidRPr="00275FBD" w:rsidRDefault="00336765" w:rsidP="00B47BFF">
            <w:pPr>
              <w:spacing w:before="0" w:after="0"/>
              <w:contextualSpacing/>
              <w:jc w:val="center"/>
              <w:rPr>
                <w:rFonts w:ascii="Arial Narrow" w:hAnsi="Arial Narrow"/>
                <w:b/>
                <w:bCs/>
                <w:color w:val="000000"/>
                <w:szCs w:val="20"/>
                <w:lang w:val="sl-SI" w:eastAsia="en-GB"/>
              </w:rPr>
            </w:pPr>
            <w:r w:rsidRPr="00275FBD">
              <w:rPr>
                <w:rFonts w:ascii="Arial Narrow" w:hAnsi="Arial Narrow"/>
                <w:b/>
                <w:bCs/>
                <w:color w:val="000000"/>
                <w:szCs w:val="20"/>
                <w:lang w:val="sl-SI" w:eastAsia="en-GB"/>
              </w:rPr>
              <w:t>5</w:t>
            </w:r>
          </w:p>
        </w:tc>
        <w:tc>
          <w:tcPr>
            <w:tcW w:w="426" w:type="dxa"/>
            <w:tcBorders>
              <w:left w:val="nil"/>
              <w:bottom w:val="nil"/>
              <w:right w:val="nil"/>
            </w:tcBorders>
          </w:tcPr>
          <w:p w14:paraId="21FC6FD7" w14:textId="77777777" w:rsidR="00336765" w:rsidRPr="00275FBD" w:rsidRDefault="00336765" w:rsidP="00B47BFF">
            <w:pPr>
              <w:spacing w:before="0" w:after="0"/>
              <w:contextualSpacing/>
              <w:jc w:val="center"/>
              <w:rPr>
                <w:rFonts w:ascii="Arial Narrow" w:hAnsi="Arial Narrow"/>
                <w:b/>
                <w:bCs/>
                <w:color w:val="000000"/>
                <w:szCs w:val="20"/>
                <w:lang w:val="sl-SI" w:eastAsia="en-GB"/>
              </w:rPr>
            </w:pPr>
            <w:r w:rsidRPr="00275FBD">
              <w:rPr>
                <w:rFonts w:ascii="Arial Narrow" w:hAnsi="Arial Narrow"/>
                <w:b/>
                <w:bCs/>
                <w:color w:val="000000"/>
                <w:szCs w:val="20"/>
                <w:lang w:val="sl-SI" w:eastAsia="en-GB"/>
              </w:rPr>
              <w:t>0</w:t>
            </w:r>
          </w:p>
        </w:tc>
        <w:tc>
          <w:tcPr>
            <w:tcW w:w="425" w:type="dxa"/>
            <w:tcBorders>
              <w:left w:val="nil"/>
              <w:bottom w:val="nil"/>
              <w:right w:val="nil"/>
            </w:tcBorders>
          </w:tcPr>
          <w:p w14:paraId="6C5B4A58" w14:textId="77777777" w:rsidR="00336765" w:rsidRPr="00275FBD" w:rsidRDefault="00336765" w:rsidP="00B47BFF">
            <w:pPr>
              <w:spacing w:before="0" w:after="0"/>
              <w:contextualSpacing/>
              <w:jc w:val="center"/>
              <w:rPr>
                <w:rFonts w:ascii="Arial Narrow" w:hAnsi="Arial Narrow"/>
                <w:b/>
                <w:bCs/>
                <w:color w:val="000000"/>
                <w:szCs w:val="20"/>
                <w:lang w:val="sl-SI" w:eastAsia="en-GB"/>
              </w:rPr>
            </w:pPr>
            <w:r w:rsidRPr="00275FBD">
              <w:rPr>
                <w:rFonts w:ascii="Arial Narrow" w:hAnsi="Arial Narrow"/>
                <w:b/>
                <w:bCs/>
                <w:color w:val="000000"/>
                <w:szCs w:val="20"/>
                <w:lang w:val="sl-SI" w:eastAsia="en-GB"/>
              </w:rPr>
              <w:t>2</w:t>
            </w:r>
          </w:p>
        </w:tc>
        <w:tc>
          <w:tcPr>
            <w:tcW w:w="425" w:type="dxa"/>
            <w:tcBorders>
              <w:left w:val="nil"/>
              <w:bottom w:val="nil"/>
              <w:right w:val="nil"/>
            </w:tcBorders>
          </w:tcPr>
          <w:p w14:paraId="053FF780" w14:textId="77777777" w:rsidR="00336765" w:rsidRPr="00275FBD" w:rsidRDefault="00336765" w:rsidP="00B47BFF">
            <w:pPr>
              <w:spacing w:before="0" w:after="0"/>
              <w:contextualSpacing/>
              <w:jc w:val="center"/>
              <w:rPr>
                <w:rFonts w:ascii="Arial Narrow" w:hAnsi="Arial Narrow"/>
                <w:b/>
                <w:bCs/>
                <w:color w:val="000000"/>
                <w:szCs w:val="20"/>
                <w:lang w:val="sl-SI" w:eastAsia="en-GB"/>
              </w:rPr>
            </w:pPr>
            <w:r w:rsidRPr="00275FBD">
              <w:rPr>
                <w:rFonts w:ascii="Arial Narrow" w:hAnsi="Arial Narrow"/>
                <w:b/>
                <w:bCs/>
                <w:color w:val="000000"/>
                <w:szCs w:val="20"/>
                <w:lang w:val="sl-SI" w:eastAsia="en-GB"/>
              </w:rPr>
              <w:t>6</w:t>
            </w:r>
          </w:p>
        </w:tc>
        <w:tc>
          <w:tcPr>
            <w:tcW w:w="425" w:type="dxa"/>
            <w:tcBorders>
              <w:left w:val="nil"/>
              <w:bottom w:val="nil"/>
              <w:right w:val="nil"/>
            </w:tcBorders>
          </w:tcPr>
          <w:p w14:paraId="0206A1C6" w14:textId="77777777" w:rsidR="00336765" w:rsidRPr="00275FBD" w:rsidRDefault="00336765" w:rsidP="00B47BFF">
            <w:pPr>
              <w:spacing w:before="0" w:after="0"/>
              <w:contextualSpacing/>
              <w:jc w:val="center"/>
              <w:rPr>
                <w:rFonts w:ascii="Arial Narrow" w:hAnsi="Arial Narrow"/>
                <w:b/>
                <w:bCs/>
                <w:color w:val="000000"/>
                <w:szCs w:val="20"/>
                <w:lang w:val="sl-SI" w:eastAsia="en-GB"/>
              </w:rPr>
            </w:pPr>
            <w:r w:rsidRPr="00275FBD">
              <w:rPr>
                <w:rFonts w:ascii="Arial Narrow" w:hAnsi="Arial Narrow"/>
                <w:b/>
                <w:bCs/>
                <w:color w:val="000000"/>
                <w:szCs w:val="20"/>
                <w:lang w:val="sl-SI" w:eastAsia="en-GB"/>
              </w:rPr>
              <w:t>0</w:t>
            </w:r>
          </w:p>
        </w:tc>
        <w:tc>
          <w:tcPr>
            <w:tcW w:w="426" w:type="dxa"/>
            <w:tcBorders>
              <w:left w:val="nil"/>
              <w:bottom w:val="nil"/>
              <w:right w:val="nil"/>
            </w:tcBorders>
          </w:tcPr>
          <w:p w14:paraId="5378EC37" w14:textId="77777777" w:rsidR="00336765" w:rsidRPr="00275FBD" w:rsidRDefault="00336765" w:rsidP="00B47BFF">
            <w:pPr>
              <w:spacing w:before="0" w:after="0"/>
              <w:contextualSpacing/>
              <w:jc w:val="center"/>
              <w:rPr>
                <w:rFonts w:ascii="Arial Narrow" w:hAnsi="Arial Narrow"/>
                <w:b/>
                <w:bCs/>
                <w:color w:val="000000"/>
                <w:szCs w:val="20"/>
                <w:lang w:val="sl-SI" w:eastAsia="en-GB"/>
              </w:rPr>
            </w:pPr>
            <w:r w:rsidRPr="00275FBD">
              <w:rPr>
                <w:rFonts w:ascii="Arial Narrow" w:hAnsi="Arial Narrow"/>
                <w:b/>
                <w:bCs/>
                <w:color w:val="000000"/>
                <w:szCs w:val="20"/>
                <w:lang w:val="sl-SI" w:eastAsia="en-GB"/>
              </w:rPr>
              <w:t>30</w:t>
            </w:r>
          </w:p>
        </w:tc>
        <w:tc>
          <w:tcPr>
            <w:tcW w:w="425" w:type="dxa"/>
            <w:tcBorders>
              <w:left w:val="nil"/>
              <w:bottom w:val="nil"/>
              <w:right w:val="nil"/>
            </w:tcBorders>
          </w:tcPr>
          <w:p w14:paraId="610AD82A" w14:textId="77777777" w:rsidR="00336765" w:rsidRPr="00275FBD" w:rsidRDefault="00336765" w:rsidP="00B47BFF">
            <w:pPr>
              <w:spacing w:before="0" w:after="0"/>
              <w:contextualSpacing/>
              <w:jc w:val="center"/>
              <w:rPr>
                <w:rFonts w:ascii="Arial Narrow" w:hAnsi="Arial Narrow"/>
                <w:b/>
                <w:bCs/>
                <w:color w:val="000000"/>
                <w:szCs w:val="20"/>
                <w:lang w:val="sl-SI" w:eastAsia="en-GB"/>
              </w:rPr>
            </w:pPr>
            <w:r w:rsidRPr="00275FBD">
              <w:rPr>
                <w:rFonts w:ascii="Arial Narrow" w:hAnsi="Arial Narrow"/>
                <w:b/>
                <w:bCs/>
                <w:color w:val="000000"/>
                <w:szCs w:val="20"/>
                <w:lang w:val="sl-SI" w:eastAsia="en-GB"/>
              </w:rPr>
              <w:t>17</w:t>
            </w:r>
          </w:p>
        </w:tc>
        <w:tc>
          <w:tcPr>
            <w:tcW w:w="425" w:type="dxa"/>
            <w:tcBorders>
              <w:left w:val="nil"/>
              <w:bottom w:val="nil"/>
              <w:right w:val="nil"/>
            </w:tcBorders>
          </w:tcPr>
          <w:p w14:paraId="7813C076" w14:textId="77777777" w:rsidR="00336765" w:rsidRPr="00275FBD" w:rsidRDefault="00336765" w:rsidP="00B47BFF">
            <w:pPr>
              <w:spacing w:before="0" w:after="0"/>
              <w:contextualSpacing/>
              <w:jc w:val="center"/>
              <w:rPr>
                <w:rFonts w:ascii="Arial Narrow" w:hAnsi="Arial Narrow"/>
                <w:b/>
                <w:bCs/>
                <w:color w:val="000000"/>
                <w:szCs w:val="20"/>
                <w:lang w:val="sl-SI" w:eastAsia="en-GB"/>
              </w:rPr>
            </w:pPr>
            <w:r w:rsidRPr="00275FBD">
              <w:rPr>
                <w:rFonts w:ascii="Arial Narrow" w:hAnsi="Arial Narrow"/>
                <w:b/>
                <w:bCs/>
                <w:color w:val="000000"/>
                <w:szCs w:val="20"/>
                <w:lang w:val="sl-SI" w:eastAsia="en-GB"/>
              </w:rPr>
              <w:t>19</w:t>
            </w:r>
          </w:p>
        </w:tc>
        <w:tc>
          <w:tcPr>
            <w:tcW w:w="425" w:type="dxa"/>
            <w:tcBorders>
              <w:left w:val="nil"/>
              <w:bottom w:val="nil"/>
              <w:right w:val="nil"/>
            </w:tcBorders>
          </w:tcPr>
          <w:p w14:paraId="28CB5CB7" w14:textId="77777777" w:rsidR="00336765" w:rsidRPr="00275FBD" w:rsidRDefault="00336765" w:rsidP="00B47BFF">
            <w:pPr>
              <w:spacing w:before="0" w:after="0"/>
              <w:contextualSpacing/>
              <w:jc w:val="center"/>
              <w:rPr>
                <w:rFonts w:ascii="Arial Narrow" w:hAnsi="Arial Narrow"/>
                <w:b/>
                <w:bCs/>
                <w:color w:val="000000"/>
                <w:szCs w:val="20"/>
                <w:lang w:val="sl-SI" w:eastAsia="en-GB"/>
              </w:rPr>
            </w:pPr>
            <w:r w:rsidRPr="00275FBD">
              <w:rPr>
                <w:rFonts w:ascii="Arial Narrow" w:hAnsi="Arial Narrow"/>
                <w:b/>
                <w:bCs/>
                <w:color w:val="000000"/>
                <w:szCs w:val="20"/>
                <w:lang w:val="sl-SI" w:eastAsia="en-GB"/>
              </w:rPr>
              <w:t>13</w:t>
            </w:r>
          </w:p>
        </w:tc>
        <w:tc>
          <w:tcPr>
            <w:tcW w:w="426" w:type="dxa"/>
            <w:tcBorders>
              <w:left w:val="nil"/>
              <w:bottom w:val="nil"/>
              <w:right w:val="nil"/>
            </w:tcBorders>
          </w:tcPr>
          <w:p w14:paraId="1CB0970C" w14:textId="77777777" w:rsidR="00336765" w:rsidRPr="00275FBD" w:rsidRDefault="00336765" w:rsidP="00B47BFF">
            <w:pPr>
              <w:spacing w:before="0" w:after="0"/>
              <w:contextualSpacing/>
              <w:jc w:val="center"/>
              <w:rPr>
                <w:rFonts w:ascii="Arial Narrow" w:hAnsi="Arial Narrow"/>
                <w:b/>
                <w:bCs/>
                <w:color w:val="000000"/>
                <w:szCs w:val="20"/>
                <w:lang w:val="sl-SI" w:eastAsia="en-GB"/>
              </w:rPr>
            </w:pPr>
            <w:r w:rsidRPr="00275FBD">
              <w:rPr>
                <w:rFonts w:ascii="Arial Narrow" w:hAnsi="Arial Narrow"/>
                <w:b/>
                <w:bCs/>
                <w:color w:val="000000"/>
                <w:szCs w:val="20"/>
                <w:lang w:val="sl-SI" w:eastAsia="en-GB"/>
              </w:rPr>
              <w:t>2</w:t>
            </w:r>
          </w:p>
        </w:tc>
        <w:tc>
          <w:tcPr>
            <w:tcW w:w="425" w:type="dxa"/>
            <w:tcBorders>
              <w:left w:val="nil"/>
              <w:bottom w:val="nil"/>
              <w:right w:val="nil"/>
            </w:tcBorders>
          </w:tcPr>
          <w:p w14:paraId="3D9F7489" w14:textId="77777777" w:rsidR="00336765" w:rsidRPr="00275FBD" w:rsidRDefault="00336765" w:rsidP="00B47BFF">
            <w:pPr>
              <w:spacing w:before="0" w:after="0"/>
              <w:contextualSpacing/>
              <w:jc w:val="center"/>
              <w:rPr>
                <w:rFonts w:ascii="Arial Narrow" w:hAnsi="Arial Narrow"/>
                <w:b/>
                <w:bCs/>
                <w:color w:val="000000"/>
                <w:szCs w:val="20"/>
                <w:lang w:val="sl-SI" w:eastAsia="en-GB"/>
              </w:rPr>
            </w:pPr>
            <w:r w:rsidRPr="00275FBD">
              <w:rPr>
                <w:rFonts w:ascii="Arial Narrow" w:hAnsi="Arial Narrow"/>
                <w:b/>
                <w:bCs/>
                <w:color w:val="000000"/>
                <w:szCs w:val="20"/>
                <w:lang w:val="sl-SI" w:eastAsia="en-GB"/>
              </w:rPr>
              <w:t>1</w:t>
            </w:r>
          </w:p>
        </w:tc>
        <w:tc>
          <w:tcPr>
            <w:tcW w:w="425" w:type="dxa"/>
            <w:tcBorders>
              <w:left w:val="nil"/>
              <w:bottom w:val="nil"/>
              <w:right w:val="nil"/>
            </w:tcBorders>
          </w:tcPr>
          <w:p w14:paraId="2946890F" w14:textId="77777777" w:rsidR="00336765" w:rsidRPr="00275FBD" w:rsidRDefault="00336765" w:rsidP="00B47BFF">
            <w:pPr>
              <w:spacing w:before="0" w:after="0"/>
              <w:contextualSpacing/>
              <w:jc w:val="center"/>
              <w:rPr>
                <w:rFonts w:ascii="Arial Narrow" w:hAnsi="Arial Narrow"/>
                <w:b/>
                <w:bCs/>
                <w:color w:val="000000"/>
                <w:szCs w:val="20"/>
                <w:lang w:val="sl-SI" w:eastAsia="en-GB"/>
              </w:rPr>
            </w:pPr>
            <w:r w:rsidRPr="00275FBD">
              <w:rPr>
                <w:rFonts w:ascii="Arial Narrow" w:hAnsi="Arial Narrow"/>
                <w:b/>
                <w:bCs/>
                <w:color w:val="000000"/>
                <w:szCs w:val="20"/>
                <w:lang w:val="sl-SI" w:eastAsia="en-GB"/>
              </w:rPr>
              <w:t>0</w:t>
            </w:r>
          </w:p>
        </w:tc>
        <w:tc>
          <w:tcPr>
            <w:tcW w:w="531" w:type="dxa"/>
            <w:tcBorders>
              <w:left w:val="nil"/>
              <w:bottom w:val="nil"/>
              <w:right w:val="nil"/>
            </w:tcBorders>
          </w:tcPr>
          <w:p w14:paraId="1204BD66" w14:textId="77777777" w:rsidR="00336765" w:rsidRPr="00275FBD" w:rsidRDefault="00336765" w:rsidP="00B47BFF">
            <w:pPr>
              <w:spacing w:before="0" w:after="0"/>
              <w:contextualSpacing/>
              <w:jc w:val="center"/>
              <w:rPr>
                <w:rFonts w:ascii="Arial Narrow" w:hAnsi="Arial Narrow"/>
                <w:b/>
                <w:bCs/>
                <w:color w:val="000000"/>
                <w:szCs w:val="20"/>
                <w:lang w:val="sl-SI" w:eastAsia="en-GB"/>
              </w:rPr>
            </w:pPr>
            <w:r w:rsidRPr="00275FBD">
              <w:rPr>
                <w:rFonts w:ascii="Arial Narrow" w:hAnsi="Arial Narrow"/>
                <w:b/>
                <w:bCs/>
                <w:color w:val="000000"/>
                <w:szCs w:val="20"/>
                <w:lang w:val="sl-SI" w:eastAsia="en-GB"/>
              </w:rPr>
              <w:t>0</w:t>
            </w:r>
          </w:p>
        </w:tc>
        <w:tc>
          <w:tcPr>
            <w:tcW w:w="531" w:type="dxa"/>
            <w:tcBorders>
              <w:left w:val="nil"/>
              <w:bottom w:val="nil"/>
              <w:right w:val="nil"/>
            </w:tcBorders>
            <w:shd w:val="clear" w:color="auto" w:fill="auto"/>
          </w:tcPr>
          <w:p w14:paraId="5AE2A754" w14:textId="77777777" w:rsidR="00336765" w:rsidRPr="00275FBD" w:rsidRDefault="00336765" w:rsidP="00B47BFF">
            <w:pPr>
              <w:spacing w:before="0" w:after="0"/>
              <w:contextualSpacing/>
              <w:jc w:val="center"/>
              <w:rPr>
                <w:rFonts w:ascii="Arial Narrow" w:hAnsi="Arial Narrow"/>
                <w:b/>
                <w:bCs/>
                <w:color w:val="000000"/>
                <w:szCs w:val="20"/>
                <w:lang w:val="sl-SI" w:eastAsia="en-GB"/>
              </w:rPr>
            </w:pPr>
            <w:r w:rsidRPr="00275FBD">
              <w:rPr>
                <w:rFonts w:ascii="Arial Narrow" w:hAnsi="Arial Narrow"/>
                <w:b/>
                <w:bCs/>
                <w:color w:val="000000"/>
                <w:szCs w:val="20"/>
                <w:lang w:val="sl-SI" w:eastAsia="en-GB"/>
              </w:rPr>
              <w:t>0</w:t>
            </w:r>
          </w:p>
        </w:tc>
      </w:tr>
    </w:tbl>
    <w:p w14:paraId="050FDA09" w14:textId="1EF217EA" w:rsidR="009202D5" w:rsidRPr="00275FBD" w:rsidRDefault="009202D5" w:rsidP="009202D5">
      <w:pPr>
        <w:rPr>
          <w:lang w:val="sl-SI" w:eastAsia="en-GB"/>
        </w:rPr>
      </w:pPr>
    </w:p>
    <w:p w14:paraId="488C3AC2" w14:textId="77777777" w:rsidR="00F5563F" w:rsidRPr="00275FBD" w:rsidRDefault="00F5563F" w:rsidP="009202D5">
      <w:pPr>
        <w:rPr>
          <w:lang w:val="sl-SI" w:eastAsia="en-GB"/>
        </w:rPr>
      </w:pPr>
    </w:p>
    <w:p w14:paraId="2596CEA3" w14:textId="02FF766B" w:rsidR="00F5563F" w:rsidRPr="00275FBD" w:rsidRDefault="00F5563F" w:rsidP="00F5563F">
      <w:pPr>
        <w:rPr>
          <w:lang w:val="sl-SI" w:eastAsia="en-GB"/>
        </w:rPr>
      </w:pPr>
      <w:r w:rsidRPr="00275FBD">
        <w:rPr>
          <w:lang w:val="sl-SI" w:eastAsia="en-GB"/>
        </w:rPr>
        <w:t xml:space="preserve">Druga faza je bila obravnava </w:t>
      </w:r>
      <w:r w:rsidR="008335E8">
        <w:rPr>
          <w:lang w:val="sl-SI" w:eastAsia="en-GB"/>
        </w:rPr>
        <w:t>povezav</w:t>
      </w:r>
      <w:r w:rsidRPr="00275FBD">
        <w:rPr>
          <w:lang w:val="sl-SI" w:eastAsia="en-GB"/>
        </w:rPr>
        <w:t xml:space="preserve"> v procesu podrobnega </w:t>
      </w:r>
      <w:proofErr w:type="spellStart"/>
      <w:r w:rsidRPr="00275FBD">
        <w:rPr>
          <w:lang w:val="sl-SI" w:eastAsia="en-GB"/>
        </w:rPr>
        <w:t>rangiranja</w:t>
      </w:r>
      <w:proofErr w:type="spellEnd"/>
      <w:r w:rsidRPr="00275FBD">
        <w:rPr>
          <w:lang w:val="sl-SI" w:eastAsia="en-GB"/>
        </w:rPr>
        <w:t>. V tej fazi je bil</w:t>
      </w:r>
      <w:r w:rsidR="00F61E58">
        <w:rPr>
          <w:lang w:val="sl-SI" w:eastAsia="en-GB"/>
        </w:rPr>
        <w:t>a</w:t>
      </w:r>
      <w:r w:rsidRPr="00275FBD">
        <w:rPr>
          <w:lang w:val="sl-SI" w:eastAsia="en-GB"/>
        </w:rPr>
        <w:t xml:space="preserve"> pome</w:t>
      </w:r>
      <w:r w:rsidR="00F61E58">
        <w:rPr>
          <w:lang w:val="sl-SI" w:eastAsia="en-GB"/>
        </w:rPr>
        <w:t>mb</w:t>
      </w:r>
      <w:r w:rsidRPr="00275FBD">
        <w:rPr>
          <w:lang w:val="sl-SI" w:eastAsia="en-GB"/>
        </w:rPr>
        <w:t>n</w:t>
      </w:r>
      <w:r w:rsidR="00F61E58">
        <w:rPr>
          <w:lang w:val="sl-SI" w:eastAsia="en-GB"/>
        </w:rPr>
        <w:t>ost</w:t>
      </w:r>
      <w:r w:rsidRPr="00275FBD">
        <w:rPr>
          <w:lang w:val="sl-SI" w:eastAsia="en-GB"/>
        </w:rPr>
        <w:t xml:space="preserve"> posamezne najdbe iz kateregakoli </w:t>
      </w:r>
      <w:r w:rsidR="00F61E58">
        <w:rPr>
          <w:lang w:val="sl-SI" w:eastAsia="en-GB"/>
        </w:rPr>
        <w:t xml:space="preserve">tematskega </w:t>
      </w:r>
      <w:r w:rsidRPr="00275FBD">
        <w:rPr>
          <w:lang w:val="sl-SI" w:eastAsia="en-GB"/>
        </w:rPr>
        <w:t>poročila o varnostn</w:t>
      </w:r>
      <w:r w:rsidR="00E1088E">
        <w:rPr>
          <w:lang w:val="sl-SI" w:eastAsia="en-GB"/>
        </w:rPr>
        <w:t>i</w:t>
      </w:r>
      <w:r w:rsidRPr="00275FBD">
        <w:rPr>
          <w:lang w:val="sl-SI" w:eastAsia="en-GB"/>
        </w:rPr>
        <w:t xml:space="preserve"> </w:t>
      </w:r>
      <w:r w:rsidR="00E1088E">
        <w:rPr>
          <w:lang w:val="sl-SI"/>
        </w:rPr>
        <w:t>vsebini</w:t>
      </w:r>
      <w:r w:rsidR="00E1088E" w:rsidRPr="00275FBD">
        <w:rPr>
          <w:lang w:val="sl-SI"/>
        </w:rPr>
        <w:t xml:space="preserve"> </w:t>
      </w:r>
      <w:r w:rsidRPr="00275FBD">
        <w:rPr>
          <w:lang w:val="sl-SI" w:eastAsia="en-GB"/>
        </w:rPr>
        <w:t>dodatno pregledan</w:t>
      </w:r>
      <w:r w:rsidR="00F61E58">
        <w:rPr>
          <w:lang w:val="sl-SI" w:eastAsia="en-GB"/>
        </w:rPr>
        <w:t>a</w:t>
      </w:r>
      <w:r w:rsidRPr="00275FBD">
        <w:rPr>
          <w:lang w:val="sl-SI" w:eastAsia="en-GB"/>
        </w:rPr>
        <w:t xml:space="preserve"> v luči drugih najdb (predvsem iz različnih varnostnih </w:t>
      </w:r>
      <w:r w:rsidR="00F61E58">
        <w:rPr>
          <w:lang w:val="sl-SI" w:eastAsia="en-GB"/>
        </w:rPr>
        <w:t>vsebin</w:t>
      </w:r>
      <w:r w:rsidRPr="00275FBD">
        <w:rPr>
          <w:lang w:val="sl-SI" w:eastAsia="en-GB"/>
        </w:rPr>
        <w:t>), za katere je bilo v prvi fazi ugotovljeno, da so potencialno medsebojno povezan</w:t>
      </w:r>
      <w:r w:rsidR="00485A8B" w:rsidRPr="00275FBD">
        <w:rPr>
          <w:lang w:val="sl-SI" w:eastAsia="en-GB"/>
        </w:rPr>
        <w:t>e</w:t>
      </w:r>
      <w:r w:rsidRPr="00275FBD">
        <w:rPr>
          <w:lang w:val="sl-SI" w:eastAsia="en-GB"/>
        </w:rPr>
        <w:t xml:space="preserve">. Opravljeno je bilo predvsem z </w:t>
      </w:r>
      <w:r w:rsidR="00F61E58">
        <w:rPr>
          <w:lang w:val="sl-SI" w:eastAsia="en-GB"/>
        </w:rPr>
        <w:t>določitv</w:t>
      </w:r>
      <w:r w:rsidR="00F61E58" w:rsidRPr="00275FBD">
        <w:rPr>
          <w:lang w:val="sl-SI" w:eastAsia="en-GB"/>
        </w:rPr>
        <w:t xml:space="preserve">ijo </w:t>
      </w:r>
      <w:r w:rsidRPr="00275FBD">
        <w:rPr>
          <w:lang w:val="sl-SI" w:eastAsia="en-GB"/>
        </w:rPr>
        <w:t xml:space="preserve">in oceno možnih </w:t>
      </w:r>
      <w:proofErr w:type="spellStart"/>
      <w:r w:rsidRPr="00275FBD">
        <w:rPr>
          <w:lang w:val="sl-SI" w:eastAsia="en-GB"/>
        </w:rPr>
        <w:t>sinergijskih</w:t>
      </w:r>
      <w:proofErr w:type="spellEnd"/>
      <w:r w:rsidRPr="00275FBD">
        <w:rPr>
          <w:lang w:val="sl-SI" w:eastAsia="en-GB"/>
        </w:rPr>
        <w:t xml:space="preserve"> vplivov najdb iz različnih varnostnih </w:t>
      </w:r>
      <w:r w:rsidR="00F61E58">
        <w:rPr>
          <w:lang w:val="sl-SI" w:eastAsia="en-GB"/>
        </w:rPr>
        <w:t>vsebin</w:t>
      </w:r>
      <w:r w:rsidR="00F61E58" w:rsidRPr="00275FBD">
        <w:rPr>
          <w:lang w:val="sl-SI" w:eastAsia="en-GB"/>
        </w:rPr>
        <w:t xml:space="preserve"> </w:t>
      </w:r>
      <w:r w:rsidRPr="00275FBD">
        <w:rPr>
          <w:lang w:val="sl-SI" w:eastAsia="en-GB"/>
        </w:rPr>
        <w:t xml:space="preserve">z ugotovljeno potencialno korelacijo. Postopek je v veliki meri vključeval strokovno inženirsko presojo, kar je olajšalo dejstvo, da so se izvajalci po potrebi posvetovali z različnimi strokovnjaki z izkušnjami, povezanimi z različnimi varnostnimi </w:t>
      </w:r>
      <w:r w:rsidR="00A91B38">
        <w:rPr>
          <w:lang w:val="sl-SI" w:eastAsia="en-GB"/>
        </w:rPr>
        <w:t>vsebinam</w:t>
      </w:r>
      <w:r w:rsidR="00A91B38" w:rsidRPr="00275FBD">
        <w:rPr>
          <w:lang w:val="sl-SI" w:eastAsia="en-GB"/>
        </w:rPr>
        <w:t>i</w:t>
      </w:r>
      <w:r w:rsidRPr="00275FBD">
        <w:rPr>
          <w:lang w:val="sl-SI" w:eastAsia="en-GB"/>
        </w:rPr>
        <w:t xml:space="preserve">, ki so </w:t>
      </w:r>
      <w:r w:rsidR="00A91B38" w:rsidRPr="00275FBD">
        <w:rPr>
          <w:lang w:val="sl-SI" w:eastAsia="en-GB"/>
        </w:rPr>
        <w:t>bil</w:t>
      </w:r>
      <w:r w:rsidR="00A91B38">
        <w:rPr>
          <w:lang w:val="sl-SI" w:eastAsia="en-GB"/>
        </w:rPr>
        <w:t>e</w:t>
      </w:r>
      <w:r w:rsidR="00A91B38" w:rsidRPr="00275FBD">
        <w:rPr>
          <w:lang w:val="sl-SI" w:eastAsia="en-GB"/>
        </w:rPr>
        <w:t xml:space="preserve"> </w:t>
      </w:r>
      <w:r w:rsidRPr="00275FBD">
        <w:rPr>
          <w:lang w:val="sl-SI" w:eastAsia="en-GB"/>
        </w:rPr>
        <w:t xml:space="preserve">predmet obravnave. Ocena je bila osredotočena na odgovor na vprašanje, ali lahko </w:t>
      </w:r>
      <w:r w:rsidR="00A91B38">
        <w:rPr>
          <w:lang w:val="sl-SI" w:eastAsia="en-GB"/>
        </w:rPr>
        <w:t>najdba</w:t>
      </w:r>
      <w:r w:rsidRPr="00275FBD">
        <w:rPr>
          <w:lang w:val="sl-SI" w:eastAsia="en-GB"/>
        </w:rPr>
        <w:t xml:space="preserve"> iz druge varnostne </w:t>
      </w:r>
      <w:r w:rsidR="00A91B38">
        <w:rPr>
          <w:lang w:val="sl-SI" w:eastAsia="en-GB"/>
        </w:rPr>
        <w:t>vsebine</w:t>
      </w:r>
      <w:r w:rsidR="00A91B38" w:rsidRPr="00275FBD">
        <w:rPr>
          <w:lang w:val="sl-SI" w:eastAsia="en-GB"/>
        </w:rPr>
        <w:t xml:space="preserve"> </w:t>
      </w:r>
      <w:r w:rsidRPr="00275FBD">
        <w:rPr>
          <w:lang w:val="sl-SI" w:eastAsia="en-GB"/>
        </w:rPr>
        <w:t xml:space="preserve">neposredno ali posredno spremeni </w:t>
      </w:r>
      <w:r w:rsidR="00A91B38">
        <w:rPr>
          <w:lang w:val="sl-SI" w:eastAsia="en-GB"/>
        </w:rPr>
        <w:t>razvrstitev</w:t>
      </w:r>
      <w:r w:rsidRPr="00275FBD">
        <w:rPr>
          <w:lang w:val="sl-SI" w:eastAsia="en-GB"/>
        </w:rPr>
        <w:t xml:space="preserve"> te določene najdbe v primerjavi s primerom, ko se </w:t>
      </w:r>
      <w:r w:rsidR="00A91B38">
        <w:rPr>
          <w:lang w:val="sl-SI" w:eastAsia="en-GB"/>
        </w:rPr>
        <w:t>najdba</w:t>
      </w:r>
      <w:r w:rsidR="00A91B38" w:rsidRPr="00275FBD">
        <w:rPr>
          <w:lang w:val="sl-SI" w:eastAsia="en-GB"/>
        </w:rPr>
        <w:t xml:space="preserve"> </w:t>
      </w:r>
      <w:r w:rsidRPr="00275FBD">
        <w:rPr>
          <w:lang w:val="sl-SI" w:eastAsia="en-GB"/>
        </w:rPr>
        <w:t xml:space="preserve">obravnava neodvisno. Končna podrobna uvrstitev tako odraža tudi možen vpliv </w:t>
      </w:r>
      <w:r w:rsidR="008335E8">
        <w:rPr>
          <w:lang w:val="sl-SI" w:eastAsia="en-GB"/>
        </w:rPr>
        <w:t>povezav</w:t>
      </w:r>
      <w:r w:rsidRPr="00275FBD">
        <w:rPr>
          <w:lang w:val="sl-SI" w:eastAsia="en-GB"/>
        </w:rPr>
        <w:t xml:space="preserve">. Vendar </w:t>
      </w:r>
      <w:r w:rsidR="00F61E58">
        <w:rPr>
          <w:lang w:val="sl-SI" w:eastAsia="en-GB"/>
        </w:rPr>
        <w:t>pa</w:t>
      </w:r>
      <w:r w:rsidRPr="00275FBD">
        <w:rPr>
          <w:lang w:val="sl-SI" w:eastAsia="en-GB"/>
        </w:rPr>
        <w:t xml:space="preserve"> ni bilo </w:t>
      </w:r>
      <w:r w:rsidR="00F61E58">
        <w:rPr>
          <w:lang w:val="sl-SI" w:eastAsia="en-GB"/>
        </w:rPr>
        <w:t>najd</w:t>
      </w:r>
      <w:r w:rsidR="00F61E58" w:rsidRPr="00275FBD">
        <w:rPr>
          <w:lang w:val="sl-SI" w:eastAsia="en-GB"/>
        </w:rPr>
        <w:t xml:space="preserve">enega </w:t>
      </w:r>
      <w:r w:rsidRPr="00275FBD">
        <w:rPr>
          <w:lang w:val="sl-SI" w:eastAsia="en-GB"/>
        </w:rPr>
        <w:lastRenderedPageBreak/>
        <w:t xml:space="preserve">nobenega posebej pomembnega primera, da bi </w:t>
      </w:r>
      <w:r w:rsidR="00222B18">
        <w:rPr>
          <w:lang w:val="sl-SI" w:eastAsia="en-GB"/>
        </w:rPr>
        <w:t>tako določe</w:t>
      </w:r>
      <w:r w:rsidR="00222B18" w:rsidRPr="00275FBD">
        <w:rPr>
          <w:lang w:val="sl-SI" w:eastAsia="en-GB"/>
        </w:rPr>
        <w:t>n</w:t>
      </w:r>
      <w:r w:rsidR="00AF0934">
        <w:rPr>
          <w:lang w:val="sl-SI" w:eastAsia="en-GB"/>
        </w:rPr>
        <w:t>e</w:t>
      </w:r>
      <w:r w:rsidR="00222B18" w:rsidRPr="00275FBD">
        <w:rPr>
          <w:lang w:val="sl-SI" w:eastAsia="en-GB"/>
        </w:rPr>
        <w:t xml:space="preserve"> </w:t>
      </w:r>
      <w:r w:rsidR="008335E8">
        <w:rPr>
          <w:lang w:val="sl-SI" w:eastAsia="en-GB"/>
        </w:rPr>
        <w:t>povezav</w:t>
      </w:r>
      <w:r w:rsidR="00AF0934">
        <w:rPr>
          <w:lang w:val="sl-SI" w:eastAsia="en-GB"/>
        </w:rPr>
        <w:t>e</w:t>
      </w:r>
      <w:r w:rsidRPr="00275FBD">
        <w:rPr>
          <w:lang w:val="sl-SI" w:eastAsia="en-GB"/>
        </w:rPr>
        <w:t xml:space="preserve"> bistveno spremenil</w:t>
      </w:r>
      <w:r w:rsidR="00AF67FD">
        <w:rPr>
          <w:lang w:val="sl-SI" w:eastAsia="en-GB"/>
        </w:rPr>
        <w:t>e</w:t>
      </w:r>
      <w:r w:rsidRPr="00275FBD">
        <w:rPr>
          <w:lang w:val="sl-SI" w:eastAsia="en-GB"/>
        </w:rPr>
        <w:t xml:space="preserve"> rang, ki bi bil dodeljen neodvisno.</w:t>
      </w:r>
    </w:p>
    <w:p w14:paraId="4C2C3C1F" w14:textId="77777777" w:rsidR="009202D5" w:rsidRPr="00275FBD" w:rsidRDefault="009202D5" w:rsidP="00F17B9C">
      <w:pPr>
        <w:rPr>
          <w:lang w:val="sl-SI"/>
        </w:rPr>
      </w:pPr>
    </w:p>
    <w:p w14:paraId="580B5B95" w14:textId="77777777" w:rsidR="00F17B9C" w:rsidRPr="00275FBD" w:rsidRDefault="00A855B6" w:rsidP="00A855B6">
      <w:pPr>
        <w:rPr>
          <w:sz w:val="2"/>
          <w:szCs w:val="2"/>
          <w:lang w:val="sl-SI"/>
        </w:rPr>
      </w:pPr>
      <w:r w:rsidRPr="00275FBD">
        <w:rPr>
          <w:lang w:val="sl-SI"/>
        </w:rPr>
        <w:br w:type="page"/>
      </w:r>
    </w:p>
    <w:p w14:paraId="46C559AA" w14:textId="020013CB" w:rsidR="00A855B6" w:rsidRPr="00776A62" w:rsidRDefault="009362E5" w:rsidP="00A855B6">
      <w:pPr>
        <w:pStyle w:val="Naslov1"/>
        <w:rPr>
          <w:lang w:val="sl-SI"/>
        </w:rPr>
      </w:pPr>
      <w:bookmarkStart w:id="56" w:name="_Toc371786476"/>
      <w:bookmarkStart w:id="57" w:name="_Ref374712705"/>
      <w:bookmarkStart w:id="58" w:name="_Ref138085731"/>
      <w:bookmarkStart w:id="59" w:name="_Ref138335786"/>
      <w:bookmarkStart w:id="60" w:name="_Toc163197427"/>
      <w:r w:rsidRPr="00776A62">
        <w:rPr>
          <w:lang w:val="sl-SI"/>
        </w:rPr>
        <w:lastRenderedPageBreak/>
        <w:t>Celovita</w:t>
      </w:r>
      <w:r w:rsidR="00A855B6" w:rsidRPr="00776A62">
        <w:rPr>
          <w:lang w:val="sl-SI"/>
        </w:rPr>
        <w:t xml:space="preserve"> </w:t>
      </w:r>
      <w:r w:rsidRPr="00776A62">
        <w:rPr>
          <w:lang w:val="sl-SI"/>
        </w:rPr>
        <w:t>ocena</w:t>
      </w:r>
      <w:r w:rsidR="00A855B6" w:rsidRPr="00776A62">
        <w:rPr>
          <w:lang w:val="sl-SI"/>
        </w:rPr>
        <w:t xml:space="preserve"> </w:t>
      </w:r>
      <w:bookmarkEnd w:id="56"/>
      <w:bookmarkEnd w:id="57"/>
      <w:bookmarkEnd w:id="58"/>
      <w:bookmarkEnd w:id="59"/>
      <w:r w:rsidR="007C67D8" w:rsidRPr="00776A62">
        <w:rPr>
          <w:lang w:val="sl-SI"/>
        </w:rPr>
        <w:t xml:space="preserve">VARNOSTI </w:t>
      </w:r>
      <w:r w:rsidRPr="00776A62">
        <w:rPr>
          <w:lang w:val="sl-SI"/>
        </w:rPr>
        <w:t>elektrarne</w:t>
      </w:r>
      <w:bookmarkEnd w:id="60"/>
    </w:p>
    <w:p w14:paraId="2222DBEC" w14:textId="28F36BBB" w:rsidR="009362E5" w:rsidRPr="00275FBD" w:rsidRDefault="004111F1" w:rsidP="009362E5">
      <w:pPr>
        <w:rPr>
          <w:lang w:val="sl-SI" w:eastAsia="en-GB"/>
        </w:rPr>
      </w:pPr>
      <w:r>
        <w:rPr>
          <w:lang w:val="sl-SI" w:eastAsia="en-GB"/>
        </w:rPr>
        <w:t>To poglavje</w:t>
      </w:r>
      <w:r w:rsidR="009362E5" w:rsidRPr="00275FBD">
        <w:rPr>
          <w:lang w:val="sl-SI" w:eastAsia="en-GB"/>
        </w:rPr>
        <w:t xml:space="preserve"> se začne z oceno stanja varnosti elektrarne pred PSR3, tj. referenčnega statusa varnosti elektrarne za PSR3. Stanje varnosti elektrarne je bilo ocenjeno z dvema različnima pristopoma:</w:t>
      </w:r>
    </w:p>
    <w:p w14:paraId="2E5BB351" w14:textId="4B34859D" w:rsidR="009362E5" w:rsidRPr="00275FBD" w:rsidRDefault="009362E5" w:rsidP="009362E5">
      <w:pPr>
        <w:pStyle w:val="Odstavekseznama"/>
        <w:numPr>
          <w:ilvl w:val="0"/>
          <w:numId w:val="29"/>
        </w:numPr>
        <w:ind w:left="714" w:hanging="357"/>
        <w:contextualSpacing w:val="0"/>
        <w:rPr>
          <w:lang w:val="sl-SI"/>
        </w:rPr>
      </w:pPr>
      <w:r w:rsidRPr="00275FBD">
        <w:rPr>
          <w:lang w:val="sl-SI"/>
        </w:rPr>
        <w:t xml:space="preserve">Ocena </w:t>
      </w:r>
      <w:r w:rsidR="004111F1">
        <w:rPr>
          <w:lang w:val="sl-SI"/>
        </w:rPr>
        <w:t xml:space="preserve">globine </w:t>
      </w:r>
      <w:bookmarkStart w:id="61" w:name="_Hlk143173092"/>
      <w:r w:rsidR="00DC7C1A" w:rsidRPr="00275FBD">
        <w:rPr>
          <w:lang w:val="sl-SI"/>
        </w:rPr>
        <w:t xml:space="preserve">obrambe </w:t>
      </w:r>
      <w:bookmarkEnd w:id="61"/>
      <w:r w:rsidRPr="00275FBD">
        <w:rPr>
          <w:lang w:val="sl-SI"/>
        </w:rPr>
        <w:t>(DOD); in</w:t>
      </w:r>
    </w:p>
    <w:p w14:paraId="0EFB0850" w14:textId="70DD39A7" w:rsidR="009362E5" w:rsidRPr="00275FBD" w:rsidRDefault="009362E5" w:rsidP="009362E5">
      <w:pPr>
        <w:pStyle w:val="Odstavekseznama"/>
        <w:numPr>
          <w:ilvl w:val="0"/>
          <w:numId w:val="29"/>
        </w:numPr>
        <w:ind w:left="714" w:hanging="357"/>
        <w:contextualSpacing w:val="0"/>
        <w:rPr>
          <w:lang w:val="sl-SI"/>
        </w:rPr>
      </w:pPr>
      <w:r w:rsidRPr="00275FBD">
        <w:rPr>
          <w:lang w:val="sl-SI"/>
        </w:rPr>
        <w:t xml:space="preserve">Ocena tveganja na podlagi razpoložljivih </w:t>
      </w:r>
      <w:r w:rsidR="004111F1">
        <w:rPr>
          <w:lang w:val="sl-SI"/>
        </w:rPr>
        <w:t>analiz</w:t>
      </w:r>
      <w:r w:rsidR="004111F1" w:rsidRPr="00275FBD">
        <w:rPr>
          <w:lang w:val="sl-SI"/>
        </w:rPr>
        <w:t xml:space="preserve"> </w:t>
      </w:r>
      <w:r w:rsidRPr="00275FBD">
        <w:rPr>
          <w:lang w:val="sl-SI"/>
        </w:rPr>
        <w:t xml:space="preserve">PSA, specifičnih za </w:t>
      </w:r>
      <w:r w:rsidR="00DC7C1A" w:rsidRPr="00275FBD">
        <w:rPr>
          <w:lang w:val="sl-SI"/>
        </w:rPr>
        <w:t>elektrarn</w:t>
      </w:r>
      <w:r w:rsidR="00E573CF">
        <w:rPr>
          <w:lang w:val="sl-SI"/>
        </w:rPr>
        <w:t>o</w:t>
      </w:r>
      <w:r w:rsidRPr="00275FBD">
        <w:rPr>
          <w:lang w:val="sl-SI"/>
        </w:rPr>
        <w:t>.</w:t>
      </w:r>
    </w:p>
    <w:p w14:paraId="4256760B" w14:textId="201D0E95" w:rsidR="009362E5" w:rsidRPr="00275FBD" w:rsidRDefault="009362E5" w:rsidP="009362E5">
      <w:pPr>
        <w:rPr>
          <w:lang w:val="sl-SI" w:eastAsia="en-GB"/>
        </w:rPr>
      </w:pPr>
      <w:r w:rsidRPr="00275FBD">
        <w:rPr>
          <w:lang w:val="sl-SI" w:eastAsia="en-GB"/>
        </w:rPr>
        <w:t xml:space="preserve">Ocena DOD je </w:t>
      </w:r>
      <w:r w:rsidR="004111F1">
        <w:rPr>
          <w:lang w:val="sl-SI" w:eastAsia="en-GB"/>
        </w:rPr>
        <w:t>opisana</w:t>
      </w:r>
      <w:r w:rsidR="004111F1" w:rsidRPr="00275FBD">
        <w:rPr>
          <w:lang w:val="sl-SI" w:eastAsia="en-GB"/>
        </w:rPr>
        <w:t xml:space="preserve"> </w:t>
      </w:r>
      <w:r w:rsidRPr="00275FBD">
        <w:rPr>
          <w:lang w:val="sl-SI" w:eastAsia="en-GB"/>
        </w:rPr>
        <w:t xml:space="preserve">v </w:t>
      </w:r>
      <w:r w:rsidR="003703C4" w:rsidRPr="00275FBD">
        <w:rPr>
          <w:lang w:val="sl-SI" w:eastAsia="en-GB"/>
        </w:rPr>
        <w:t xml:space="preserve">poglavju </w:t>
      </w:r>
      <w:r w:rsidRPr="00275FBD">
        <w:rPr>
          <w:lang w:val="sl-SI" w:eastAsia="en-GB"/>
        </w:rPr>
        <w:fldChar w:fldCharType="begin"/>
      </w:r>
      <w:r w:rsidRPr="00275FBD">
        <w:rPr>
          <w:lang w:val="sl-SI" w:eastAsia="en-GB"/>
        </w:rPr>
        <w:instrText xml:space="preserve"> REF _Ref132729208 \r \h </w:instrText>
      </w:r>
      <w:r w:rsidRPr="00275FBD">
        <w:rPr>
          <w:lang w:val="sl-SI" w:eastAsia="en-GB"/>
        </w:rPr>
      </w:r>
      <w:r w:rsidRPr="00275FBD">
        <w:rPr>
          <w:lang w:val="sl-SI" w:eastAsia="en-GB"/>
        </w:rPr>
        <w:fldChar w:fldCharType="separate"/>
      </w:r>
      <w:r w:rsidR="00BA25CD">
        <w:rPr>
          <w:lang w:val="sl-SI" w:eastAsia="en-GB"/>
        </w:rPr>
        <w:t>5.1</w:t>
      </w:r>
      <w:r w:rsidRPr="00275FBD">
        <w:rPr>
          <w:lang w:val="sl-SI" w:eastAsia="en-GB"/>
        </w:rPr>
        <w:fldChar w:fldCharType="end"/>
      </w:r>
      <w:r w:rsidRPr="00275FBD">
        <w:rPr>
          <w:lang w:val="sl-SI" w:eastAsia="en-GB"/>
        </w:rPr>
        <w:t xml:space="preserve">, ocena tveganja pa v </w:t>
      </w:r>
      <w:r w:rsidR="003703C4" w:rsidRPr="00275FBD">
        <w:rPr>
          <w:lang w:val="sl-SI" w:eastAsia="en-GB"/>
        </w:rPr>
        <w:t xml:space="preserve">poglavju </w:t>
      </w:r>
      <w:r w:rsidR="00B20165" w:rsidRPr="00275FBD">
        <w:rPr>
          <w:lang w:val="sl-SI" w:eastAsia="en-GB"/>
        </w:rPr>
        <w:fldChar w:fldCharType="begin"/>
      </w:r>
      <w:r w:rsidR="00B20165" w:rsidRPr="00275FBD">
        <w:rPr>
          <w:lang w:val="sl-SI" w:eastAsia="en-GB"/>
        </w:rPr>
        <w:instrText xml:space="preserve"> REF _Ref138424290 \r \h </w:instrText>
      </w:r>
      <w:r w:rsidR="00B20165" w:rsidRPr="00275FBD">
        <w:rPr>
          <w:lang w:val="sl-SI" w:eastAsia="en-GB"/>
        </w:rPr>
      </w:r>
      <w:r w:rsidR="00B20165" w:rsidRPr="00275FBD">
        <w:rPr>
          <w:lang w:val="sl-SI" w:eastAsia="en-GB"/>
        </w:rPr>
        <w:fldChar w:fldCharType="separate"/>
      </w:r>
      <w:r w:rsidR="00BA25CD">
        <w:rPr>
          <w:lang w:val="sl-SI" w:eastAsia="en-GB"/>
        </w:rPr>
        <w:t>5.2</w:t>
      </w:r>
      <w:r w:rsidR="00B20165" w:rsidRPr="00275FBD">
        <w:rPr>
          <w:lang w:val="sl-SI" w:eastAsia="en-GB"/>
        </w:rPr>
        <w:fldChar w:fldCharType="end"/>
      </w:r>
      <w:r w:rsidRPr="00275FBD">
        <w:rPr>
          <w:lang w:val="sl-SI" w:eastAsia="en-GB"/>
        </w:rPr>
        <w:t xml:space="preserve">. Sledi razprava o varnostnih </w:t>
      </w:r>
      <w:r w:rsidR="00EC5401" w:rsidRPr="00275FBD">
        <w:rPr>
          <w:lang w:val="sl-SI" w:eastAsia="en-GB"/>
        </w:rPr>
        <w:t>najdbah</w:t>
      </w:r>
      <w:r w:rsidRPr="00275FBD">
        <w:rPr>
          <w:lang w:val="sl-SI" w:eastAsia="en-GB"/>
        </w:rPr>
        <w:t xml:space="preserve">, </w:t>
      </w:r>
      <w:r w:rsidR="004111F1">
        <w:rPr>
          <w:lang w:val="sl-SI" w:eastAsia="en-GB"/>
        </w:rPr>
        <w:t>določenih v</w:t>
      </w:r>
      <w:r w:rsidRPr="00275FBD">
        <w:rPr>
          <w:lang w:val="sl-SI" w:eastAsia="en-GB"/>
        </w:rPr>
        <w:t xml:space="preserve"> PSR3</w:t>
      </w:r>
      <w:r w:rsidR="00035311">
        <w:rPr>
          <w:lang w:val="sl-SI" w:eastAsia="en-GB"/>
        </w:rPr>
        <w:t>,</w:t>
      </w:r>
      <w:r w:rsidRPr="00275FBD">
        <w:rPr>
          <w:lang w:val="sl-SI" w:eastAsia="en-GB"/>
        </w:rPr>
        <w:t xml:space="preserve"> in upoštevanje njihovega vpliva na stanje varnosti </w:t>
      </w:r>
      <w:r w:rsidR="003703C4" w:rsidRPr="00275FBD">
        <w:rPr>
          <w:lang w:val="sl-SI" w:eastAsia="en-GB"/>
        </w:rPr>
        <w:t xml:space="preserve">objekta </w:t>
      </w:r>
      <w:r w:rsidRPr="00275FBD">
        <w:rPr>
          <w:lang w:val="sl-SI" w:eastAsia="en-GB"/>
        </w:rPr>
        <w:t>(</w:t>
      </w:r>
      <w:r w:rsidR="003703C4" w:rsidRPr="00275FBD">
        <w:rPr>
          <w:lang w:val="sl-SI" w:eastAsia="en-GB"/>
        </w:rPr>
        <w:t xml:space="preserve">poglavje </w:t>
      </w:r>
      <w:r w:rsidRPr="00275FBD">
        <w:rPr>
          <w:lang w:val="sl-SI" w:eastAsia="en-GB"/>
        </w:rPr>
        <w:fldChar w:fldCharType="begin"/>
      </w:r>
      <w:r w:rsidRPr="00275FBD">
        <w:rPr>
          <w:lang w:val="sl-SI" w:eastAsia="en-GB"/>
        </w:rPr>
        <w:instrText xml:space="preserve"> REF _Ref138341590 \r \h </w:instrText>
      </w:r>
      <w:r w:rsidRPr="00275FBD">
        <w:rPr>
          <w:lang w:val="sl-SI" w:eastAsia="en-GB"/>
        </w:rPr>
      </w:r>
      <w:r w:rsidRPr="00275FBD">
        <w:rPr>
          <w:lang w:val="sl-SI" w:eastAsia="en-GB"/>
        </w:rPr>
        <w:fldChar w:fldCharType="separate"/>
      </w:r>
      <w:r w:rsidR="00BA25CD">
        <w:rPr>
          <w:lang w:val="sl-SI" w:eastAsia="en-GB"/>
        </w:rPr>
        <w:t>5.3</w:t>
      </w:r>
      <w:r w:rsidRPr="00275FBD">
        <w:rPr>
          <w:lang w:val="sl-SI" w:eastAsia="en-GB"/>
        </w:rPr>
        <w:fldChar w:fldCharType="end"/>
      </w:r>
      <w:r w:rsidRPr="00275FBD">
        <w:rPr>
          <w:lang w:val="sl-SI" w:eastAsia="en-GB"/>
        </w:rPr>
        <w:t>), razprava in upoštevanje predvidenih korektivnih ukrepov iz Načrta izvedbe ukrepov (</w:t>
      </w:r>
      <w:r w:rsidR="003703C4" w:rsidRPr="00275FBD">
        <w:rPr>
          <w:lang w:val="sl-SI" w:eastAsia="en-GB"/>
        </w:rPr>
        <w:t xml:space="preserve">poglavje </w:t>
      </w:r>
      <w:r w:rsidR="00B20165" w:rsidRPr="00275FBD">
        <w:rPr>
          <w:lang w:val="sl-SI" w:eastAsia="en-GB"/>
        </w:rPr>
        <w:fldChar w:fldCharType="begin"/>
      </w:r>
      <w:r w:rsidR="00B20165" w:rsidRPr="00275FBD">
        <w:rPr>
          <w:lang w:val="sl-SI" w:eastAsia="en-GB"/>
        </w:rPr>
        <w:instrText xml:space="preserve"> REF _Ref138605797 \r \h </w:instrText>
      </w:r>
      <w:r w:rsidR="00B20165" w:rsidRPr="00275FBD">
        <w:rPr>
          <w:lang w:val="sl-SI" w:eastAsia="en-GB"/>
        </w:rPr>
      </w:r>
      <w:r w:rsidR="00B20165" w:rsidRPr="00275FBD">
        <w:rPr>
          <w:lang w:val="sl-SI" w:eastAsia="en-GB"/>
        </w:rPr>
        <w:fldChar w:fldCharType="separate"/>
      </w:r>
      <w:r w:rsidR="00BA25CD">
        <w:rPr>
          <w:lang w:val="sl-SI" w:eastAsia="en-GB"/>
        </w:rPr>
        <w:t>5.4</w:t>
      </w:r>
      <w:r w:rsidR="00B20165" w:rsidRPr="00275FBD">
        <w:rPr>
          <w:lang w:val="sl-SI" w:eastAsia="en-GB"/>
        </w:rPr>
        <w:fldChar w:fldCharType="end"/>
      </w:r>
      <w:r w:rsidRPr="00275FBD">
        <w:rPr>
          <w:lang w:val="sl-SI" w:eastAsia="en-GB"/>
        </w:rPr>
        <w:t>) in na koncu zaključki glede varnostnega stanja elektrarne (</w:t>
      </w:r>
      <w:r w:rsidR="003703C4" w:rsidRPr="00275FBD">
        <w:rPr>
          <w:lang w:val="sl-SI" w:eastAsia="en-GB"/>
        </w:rPr>
        <w:t xml:space="preserve">poglavje </w:t>
      </w:r>
      <w:r w:rsidRPr="00275FBD">
        <w:rPr>
          <w:lang w:val="sl-SI" w:eastAsia="en-GB"/>
        </w:rPr>
        <w:fldChar w:fldCharType="begin"/>
      </w:r>
      <w:r w:rsidRPr="00275FBD">
        <w:rPr>
          <w:lang w:val="sl-SI" w:eastAsia="en-GB"/>
        </w:rPr>
        <w:instrText xml:space="preserve"> REF _Ref138335283 \r \h </w:instrText>
      </w:r>
      <w:r w:rsidRPr="00275FBD">
        <w:rPr>
          <w:lang w:val="sl-SI" w:eastAsia="en-GB"/>
        </w:rPr>
      </w:r>
      <w:r w:rsidRPr="00275FBD">
        <w:rPr>
          <w:lang w:val="sl-SI" w:eastAsia="en-GB"/>
        </w:rPr>
        <w:fldChar w:fldCharType="separate"/>
      </w:r>
      <w:r w:rsidR="00BA25CD">
        <w:rPr>
          <w:lang w:val="sl-SI" w:eastAsia="en-GB"/>
        </w:rPr>
        <w:t>5.5</w:t>
      </w:r>
      <w:r w:rsidRPr="00275FBD">
        <w:rPr>
          <w:lang w:val="sl-SI" w:eastAsia="en-GB"/>
        </w:rPr>
        <w:fldChar w:fldCharType="end"/>
      </w:r>
      <w:r w:rsidRPr="00275FBD">
        <w:rPr>
          <w:lang w:val="sl-SI" w:eastAsia="en-GB"/>
        </w:rPr>
        <w:t>).</w:t>
      </w:r>
    </w:p>
    <w:p w14:paraId="0A5197AB" w14:textId="77777777" w:rsidR="009362E5" w:rsidRPr="00275FBD" w:rsidRDefault="009362E5" w:rsidP="00ED1A59">
      <w:pPr>
        <w:rPr>
          <w:lang w:val="sl-SI" w:eastAsia="en-GB"/>
        </w:rPr>
      </w:pPr>
    </w:p>
    <w:p w14:paraId="4782F79F" w14:textId="11A1734D" w:rsidR="00ED1A59" w:rsidRPr="00275FBD" w:rsidRDefault="009362E5" w:rsidP="00ED1A59">
      <w:pPr>
        <w:pStyle w:val="Naslov2"/>
        <w:rPr>
          <w:lang w:val="sl-SI" w:eastAsia="en-GB"/>
        </w:rPr>
      </w:pPr>
      <w:bookmarkStart w:id="62" w:name="_Toc371786477"/>
      <w:bookmarkStart w:id="63" w:name="_Ref374711651"/>
      <w:bookmarkStart w:id="64" w:name="_Ref132729208"/>
      <w:bookmarkStart w:id="65" w:name="_Toc133264106"/>
      <w:bookmarkStart w:id="66" w:name="_Ref138424277"/>
      <w:bookmarkStart w:id="67" w:name="_Toc163197428"/>
      <w:r w:rsidRPr="00275FBD">
        <w:rPr>
          <w:lang w:val="sl-SI" w:eastAsia="en-GB"/>
        </w:rPr>
        <w:t>Ocena stanja elektrarne v času</w:t>
      </w:r>
      <w:r w:rsidR="00D054FA" w:rsidRPr="00275FBD">
        <w:rPr>
          <w:lang w:val="sl-SI" w:eastAsia="en-GB"/>
        </w:rPr>
        <w:t xml:space="preserve"> </w:t>
      </w:r>
      <w:r w:rsidR="00ED1A59" w:rsidRPr="00275FBD">
        <w:rPr>
          <w:lang w:val="sl-SI" w:eastAsia="en-GB"/>
        </w:rPr>
        <w:t>PSR</w:t>
      </w:r>
      <w:bookmarkEnd w:id="62"/>
      <w:bookmarkEnd w:id="63"/>
      <w:r w:rsidR="00ED1A59" w:rsidRPr="00275FBD">
        <w:rPr>
          <w:lang w:val="sl-SI" w:eastAsia="en-GB"/>
        </w:rPr>
        <w:t xml:space="preserve">3 </w:t>
      </w:r>
      <w:bookmarkEnd w:id="64"/>
      <w:bookmarkEnd w:id="65"/>
      <w:r w:rsidRPr="00275FBD">
        <w:rPr>
          <w:lang w:val="sl-SI" w:eastAsia="en-GB"/>
        </w:rPr>
        <w:t>glede na obramb</w:t>
      </w:r>
      <w:r w:rsidR="00E573CF">
        <w:rPr>
          <w:lang w:val="sl-SI" w:eastAsia="en-GB"/>
        </w:rPr>
        <w:t>o</w:t>
      </w:r>
      <w:bookmarkEnd w:id="66"/>
      <w:r w:rsidR="004654D4" w:rsidRPr="004654D4">
        <w:rPr>
          <w:lang w:val="sl-SI"/>
        </w:rPr>
        <w:t xml:space="preserve"> </w:t>
      </w:r>
      <w:r w:rsidR="004654D4" w:rsidRPr="00275FBD">
        <w:rPr>
          <w:lang w:val="sl-SI"/>
        </w:rPr>
        <w:t>v globino</w:t>
      </w:r>
      <w:bookmarkEnd w:id="67"/>
    </w:p>
    <w:p w14:paraId="30ED0EE3" w14:textId="49942C5F" w:rsidR="00806C95" w:rsidRPr="00275FBD" w:rsidRDefault="00806C95" w:rsidP="00806C95">
      <w:pPr>
        <w:rPr>
          <w:lang w:val="sl-SI"/>
        </w:rPr>
      </w:pPr>
      <w:r w:rsidRPr="00275FBD">
        <w:rPr>
          <w:lang w:val="sl-SI"/>
        </w:rPr>
        <w:t xml:space="preserve">Za prejšnji PSR2 je bila ocena statusa varnosti </w:t>
      </w:r>
      <w:r w:rsidR="003703C4" w:rsidRPr="00275FBD">
        <w:rPr>
          <w:lang w:val="sl-SI"/>
        </w:rPr>
        <w:t xml:space="preserve">objekta </w:t>
      </w:r>
      <w:r w:rsidRPr="00275FBD">
        <w:rPr>
          <w:lang w:val="sl-SI"/>
        </w:rPr>
        <w:t>s strani DOD izvedena na podlagi pristopa »štetja obrambnih linij« (»</w:t>
      </w:r>
      <w:proofErr w:type="spellStart"/>
      <w:r w:rsidRPr="00275FBD">
        <w:rPr>
          <w:lang w:val="sl-SI"/>
        </w:rPr>
        <w:t>Counting</w:t>
      </w:r>
      <w:proofErr w:type="spellEnd"/>
      <w:r w:rsidRPr="00275FBD">
        <w:rPr>
          <w:lang w:val="sl-SI"/>
        </w:rPr>
        <w:t xml:space="preserve"> </w:t>
      </w:r>
      <w:proofErr w:type="spellStart"/>
      <w:r w:rsidRPr="00275FBD">
        <w:rPr>
          <w:lang w:val="sl-SI"/>
        </w:rPr>
        <w:t>Lines</w:t>
      </w:r>
      <w:proofErr w:type="spellEnd"/>
      <w:r w:rsidRPr="00275FBD">
        <w:rPr>
          <w:lang w:val="sl-SI"/>
        </w:rPr>
        <w:t xml:space="preserve"> of </w:t>
      </w:r>
      <w:proofErr w:type="spellStart"/>
      <w:r w:rsidRPr="00275FBD">
        <w:rPr>
          <w:lang w:val="sl-SI"/>
        </w:rPr>
        <w:t>Defense</w:t>
      </w:r>
      <w:proofErr w:type="spellEnd"/>
      <w:r w:rsidRPr="00275FBD">
        <w:rPr>
          <w:lang w:val="sl-SI"/>
        </w:rPr>
        <w:t xml:space="preserve">«, CLOD). </w:t>
      </w:r>
      <w:r w:rsidR="004111F1" w:rsidRPr="00275FBD">
        <w:rPr>
          <w:lang w:val="sl-SI"/>
        </w:rPr>
        <w:t>Enak</w:t>
      </w:r>
      <w:r w:rsidR="004111F1">
        <w:rPr>
          <w:lang w:val="sl-SI"/>
        </w:rPr>
        <w:t>o</w:t>
      </w:r>
      <w:r w:rsidR="004111F1" w:rsidRPr="00275FBD">
        <w:rPr>
          <w:lang w:val="sl-SI"/>
        </w:rPr>
        <w:t xml:space="preserve"> </w:t>
      </w:r>
      <w:r w:rsidR="004111F1">
        <w:rPr>
          <w:lang w:val="sl-SI"/>
        </w:rPr>
        <w:t>metodologijo</w:t>
      </w:r>
      <w:r w:rsidR="004111F1" w:rsidRPr="00275FBD">
        <w:rPr>
          <w:lang w:val="sl-SI"/>
        </w:rPr>
        <w:t xml:space="preserve"> </w:t>
      </w:r>
      <w:r w:rsidR="004111F1">
        <w:rPr>
          <w:lang w:val="sl-SI"/>
        </w:rPr>
        <w:t>vsebuje</w:t>
      </w:r>
      <w:r w:rsidR="004111F1" w:rsidRPr="00275FBD">
        <w:rPr>
          <w:lang w:val="sl-SI"/>
        </w:rPr>
        <w:t xml:space="preserve"> </w:t>
      </w:r>
      <w:r w:rsidRPr="00275FBD">
        <w:rPr>
          <w:lang w:val="sl-SI"/>
        </w:rPr>
        <w:t xml:space="preserve">tudi program PSR3 </w:t>
      </w:r>
      <w:r w:rsidRPr="00275FBD">
        <w:rPr>
          <w:lang w:val="sl-SI"/>
        </w:rPr>
        <w:fldChar w:fldCharType="begin"/>
      </w:r>
      <w:r w:rsidRPr="00275FBD">
        <w:rPr>
          <w:lang w:val="sl-SI"/>
        </w:rPr>
        <w:instrText xml:space="preserve"> REF _Ref133222751 \r \h </w:instrText>
      </w:r>
      <w:r w:rsidRPr="00275FBD">
        <w:rPr>
          <w:lang w:val="sl-SI"/>
        </w:rPr>
      </w:r>
      <w:r w:rsidRPr="00275FBD">
        <w:rPr>
          <w:lang w:val="sl-SI"/>
        </w:rPr>
        <w:fldChar w:fldCharType="separate"/>
      </w:r>
      <w:r w:rsidR="00BA25CD">
        <w:rPr>
          <w:lang w:val="sl-SI"/>
        </w:rPr>
        <w:t>[1]</w:t>
      </w:r>
      <w:r w:rsidRPr="00275FBD">
        <w:rPr>
          <w:lang w:val="sl-SI"/>
        </w:rPr>
        <w:fldChar w:fldCharType="end"/>
      </w:r>
      <w:r w:rsidRPr="00275FBD">
        <w:rPr>
          <w:lang w:val="sl-SI"/>
        </w:rPr>
        <w:t xml:space="preserve">. </w:t>
      </w:r>
    </w:p>
    <w:p w14:paraId="4411C270" w14:textId="275C194C" w:rsidR="00251BE4" w:rsidRPr="00275FBD" w:rsidRDefault="00251BE4" w:rsidP="00251BE4">
      <w:pPr>
        <w:rPr>
          <w:lang w:val="sl-SI"/>
        </w:rPr>
      </w:pPr>
      <w:r w:rsidRPr="00275FBD">
        <w:rPr>
          <w:lang w:val="sl-SI"/>
        </w:rPr>
        <w:t xml:space="preserve">Pri tem pristopu se stanje varnosti elektrarne obravnava glede na število »obrambnih linij« (»Line of </w:t>
      </w:r>
      <w:proofErr w:type="spellStart"/>
      <w:r w:rsidRPr="00275FBD">
        <w:rPr>
          <w:lang w:val="sl-SI"/>
        </w:rPr>
        <w:t>Defense</w:t>
      </w:r>
      <w:proofErr w:type="spellEnd"/>
      <w:r w:rsidRPr="00275FBD">
        <w:rPr>
          <w:lang w:val="sl-SI"/>
        </w:rPr>
        <w:t xml:space="preserve">«, LOD), njihovo moč in posledice njihove </w:t>
      </w:r>
      <w:r w:rsidR="00B94E32">
        <w:rPr>
          <w:lang w:val="sl-SI"/>
        </w:rPr>
        <w:t>odpovedi</w:t>
      </w:r>
      <w:r w:rsidRPr="00275FBD">
        <w:rPr>
          <w:lang w:val="sl-SI"/>
        </w:rPr>
        <w:t xml:space="preserve">. Čeprav določanje </w:t>
      </w:r>
      <w:bookmarkStart w:id="68" w:name="_Hlk141423647"/>
      <w:r w:rsidR="00DC7C1A" w:rsidRPr="00275FBD">
        <w:rPr>
          <w:lang w:val="sl-SI"/>
        </w:rPr>
        <w:t xml:space="preserve">obrambe v globino </w:t>
      </w:r>
      <w:bookmarkEnd w:id="68"/>
      <w:r w:rsidRPr="00275FBD">
        <w:rPr>
          <w:lang w:val="sl-SI"/>
        </w:rPr>
        <w:t>(tj. štetje obrambnih linij) temelji na determinističnih načelih, je osnovni model, ki je bil uporabljen (prek nabora delovnih listov), odražal koncepte ocene tveganja in upošteval logiko odziva elektrarne, kot je vključena v NEK model PSA (tj. drevesa dogodkov).</w:t>
      </w:r>
    </w:p>
    <w:p w14:paraId="31DA82C3" w14:textId="0CCA1EB6" w:rsidR="00332F3E" w:rsidRPr="00275FBD" w:rsidRDefault="00806C95" w:rsidP="00806C95">
      <w:pPr>
        <w:rPr>
          <w:lang w:val="sl-SI"/>
        </w:rPr>
      </w:pPr>
      <w:r w:rsidRPr="00275FBD">
        <w:rPr>
          <w:lang w:val="sl-SI"/>
        </w:rPr>
        <w:t xml:space="preserve">Splošni koncept pristopa DOD/CLOD je, da se s preučevanjem vsakega zaporedja </w:t>
      </w:r>
      <w:r w:rsidR="00B94E32">
        <w:rPr>
          <w:lang w:val="sl-SI"/>
        </w:rPr>
        <w:t xml:space="preserve">pride do stanja </w:t>
      </w:r>
      <w:r w:rsidRPr="00275FBD">
        <w:rPr>
          <w:lang w:val="sl-SI"/>
        </w:rPr>
        <w:t>nesreč</w:t>
      </w:r>
      <w:r w:rsidR="00B94E32">
        <w:rPr>
          <w:lang w:val="sl-SI"/>
        </w:rPr>
        <w:t>e</w:t>
      </w:r>
      <w:r w:rsidRPr="00275FBD">
        <w:rPr>
          <w:lang w:val="sl-SI"/>
        </w:rPr>
        <w:t>, ki lahko vodi do radioloških posledic</w:t>
      </w:r>
      <w:r w:rsidR="00B94E32">
        <w:rPr>
          <w:lang w:val="sl-SI"/>
        </w:rPr>
        <w:t>.</w:t>
      </w:r>
      <w:r w:rsidR="00B94E32" w:rsidRPr="00275FBD">
        <w:rPr>
          <w:lang w:val="sl-SI"/>
        </w:rPr>
        <w:t xml:space="preserve"> </w:t>
      </w:r>
      <w:r w:rsidR="00B94E32">
        <w:rPr>
          <w:lang w:val="sl-SI"/>
        </w:rPr>
        <w:t>S</w:t>
      </w:r>
      <w:r w:rsidR="00B94E32" w:rsidRPr="00275FBD">
        <w:rPr>
          <w:lang w:val="sl-SI"/>
        </w:rPr>
        <w:t xml:space="preserve"> </w:t>
      </w:r>
      <w:r w:rsidRPr="00275FBD">
        <w:rPr>
          <w:lang w:val="sl-SI"/>
        </w:rPr>
        <w:t xml:space="preserve">prepoznavanjem in ocenjevanjem obrambe, ki mora odpovedati, da bi bile posledice dosežene v vsakem primeru, </w:t>
      </w:r>
      <w:r w:rsidR="00B94E32">
        <w:rPr>
          <w:lang w:val="sl-SI"/>
        </w:rPr>
        <w:t xml:space="preserve">se </w:t>
      </w:r>
      <w:r w:rsidR="00814342" w:rsidRPr="00275FBD">
        <w:rPr>
          <w:lang w:val="sl-SI"/>
        </w:rPr>
        <w:t xml:space="preserve">lahko določi </w:t>
      </w:r>
      <w:r w:rsidRPr="00275FBD">
        <w:rPr>
          <w:lang w:val="sl-SI"/>
        </w:rPr>
        <w:t xml:space="preserve">dejanska </w:t>
      </w:r>
      <w:r w:rsidR="00B94E32">
        <w:rPr>
          <w:lang w:val="sl-SI"/>
        </w:rPr>
        <w:t xml:space="preserve">globina </w:t>
      </w:r>
      <w:r w:rsidR="00DC7C1A" w:rsidRPr="00275FBD">
        <w:rPr>
          <w:lang w:val="sl-SI"/>
        </w:rPr>
        <w:t>obramb</w:t>
      </w:r>
      <w:r w:rsidR="00B94E32">
        <w:rPr>
          <w:lang w:val="sl-SI"/>
        </w:rPr>
        <w:t>e</w:t>
      </w:r>
      <w:r w:rsidR="00DC7C1A" w:rsidRPr="00275FBD">
        <w:rPr>
          <w:lang w:val="sl-SI"/>
        </w:rPr>
        <w:t xml:space="preserve"> </w:t>
      </w:r>
      <w:r w:rsidR="00814342" w:rsidRPr="00275FBD">
        <w:rPr>
          <w:lang w:val="sl-SI"/>
        </w:rPr>
        <w:t>(v smislu števila linij obrambe)</w:t>
      </w:r>
      <w:r w:rsidRPr="00275FBD">
        <w:rPr>
          <w:lang w:val="sl-SI"/>
        </w:rPr>
        <w:t xml:space="preserve"> za vsako nesrečo.</w:t>
      </w:r>
    </w:p>
    <w:p w14:paraId="66770BA7" w14:textId="7883474B" w:rsidR="000542CB" w:rsidRPr="00275FBD" w:rsidRDefault="000542CB" w:rsidP="00ED1A59">
      <w:pPr>
        <w:rPr>
          <w:lang w:val="sl-SI"/>
        </w:rPr>
      </w:pPr>
      <w:r w:rsidRPr="00275FBD">
        <w:rPr>
          <w:lang w:val="sl-SI"/>
        </w:rPr>
        <w:t xml:space="preserve">Dejanska </w:t>
      </w:r>
      <w:r w:rsidR="00B94E32">
        <w:rPr>
          <w:lang w:val="sl-SI"/>
        </w:rPr>
        <w:t xml:space="preserve">globina </w:t>
      </w:r>
      <w:r w:rsidR="00DC7C1A" w:rsidRPr="00275FBD">
        <w:rPr>
          <w:lang w:val="sl-SI"/>
        </w:rPr>
        <w:t>obramb</w:t>
      </w:r>
      <w:r w:rsidR="00B94E32">
        <w:rPr>
          <w:lang w:val="sl-SI"/>
        </w:rPr>
        <w:t>e</w:t>
      </w:r>
      <w:r w:rsidR="00DC7C1A" w:rsidRPr="00275FBD">
        <w:rPr>
          <w:lang w:val="sl-SI"/>
        </w:rPr>
        <w:t xml:space="preserve"> </w:t>
      </w:r>
      <w:r w:rsidRPr="00275FBD">
        <w:rPr>
          <w:lang w:val="sl-SI"/>
        </w:rPr>
        <w:t xml:space="preserve">za dani začetni dogodek je določena s številom LOD in njihovo močjo ("močne" (S) linije in "šibke" (W) linije). Pomen "močnih" in "šibkih" linij je opisan v referenčnem dokumentu </w:t>
      </w:r>
      <w:r w:rsidRPr="00275FBD">
        <w:rPr>
          <w:lang w:val="sl-SI"/>
        </w:rPr>
        <w:fldChar w:fldCharType="begin"/>
      </w:r>
      <w:r w:rsidRPr="00275FBD">
        <w:rPr>
          <w:lang w:val="sl-SI"/>
        </w:rPr>
        <w:instrText xml:space="preserve"> REF _Ref133229584 \r \h </w:instrText>
      </w:r>
      <w:r w:rsidRPr="00275FBD">
        <w:rPr>
          <w:lang w:val="sl-SI"/>
        </w:rPr>
      </w:r>
      <w:r w:rsidRPr="00275FBD">
        <w:rPr>
          <w:lang w:val="sl-SI"/>
        </w:rPr>
        <w:fldChar w:fldCharType="separate"/>
      </w:r>
      <w:r w:rsidR="00BA25CD">
        <w:rPr>
          <w:lang w:val="sl-SI"/>
        </w:rPr>
        <w:t>[4]</w:t>
      </w:r>
      <w:r w:rsidRPr="00275FBD">
        <w:rPr>
          <w:lang w:val="sl-SI"/>
        </w:rPr>
        <w:fldChar w:fldCharType="end"/>
      </w:r>
      <w:r w:rsidRPr="00275FBD">
        <w:rPr>
          <w:lang w:val="sl-SI"/>
        </w:rPr>
        <w:t>. Na splošno ni treba, da so "močni" LOD</w:t>
      </w:r>
      <w:r w:rsidR="00035311">
        <w:rPr>
          <w:lang w:val="sl-SI"/>
        </w:rPr>
        <w:t xml:space="preserve"> za</w:t>
      </w:r>
      <w:r w:rsidRPr="00275FBD">
        <w:rPr>
          <w:lang w:val="sl-SI"/>
        </w:rPr>
        <w:t xml:space="preserve"> aktivn</w:t>
      </w:r>
      <w:r w:rsidR="00035311">
        <w:rPr>
          <w:lang w:val="sl-SI"/>
        </w:rPr>
        <w:t>e</w:t>
      </w:r>
      <w:r w:rsidRPr="00275FBD">
        <w:rPr>
          <w:lang w:val="sl-SI"/>
        </w:rPr>
        <w:t xml:space="preserve"> sistem</w:t>
      </w:r>
      <w:r w:rsidR="00035311">
        <w:rPr>
          <w:lang w:val="sl-SI"/>
        </w:rPr>
        <w:t>e</w:t>
      </w:r>
      <w:r w:rsidRPr="00275FBD">
        <w:rPr>
          <w:lang w:val="sl-SI"/>
        </w:rPr>
        <w:t xml:space="preserve"> </w:t>
      </w:r>
      <w:r w:rsidR="00DC7C1A" w:rsidRPr="00275FBD">
        <w:rPr>
          <w:lang w:val="sl-SI"/>
        </w:rPr>
        <w:t xml:space="preserve">odporni </w:t>
      </w:r>
      <w:r w:rsidRPr="00275FBD">
        <w:rPr>
          <w:lang w:val="sl-SI"/>
        </w:rPr>
        <w:t>na vrsto okvare s skupnim vzrokom, kot jo običajno predstavlja analiza okvare s skupnim vzrokom (»</w:t>
      </w:r>
      <w:proofErr w:type="spellStart"/>
      <w:r w:rsidRPr="00275FBD">
        <w:rPr>
          <w:lang w:val="sl-SI"/>
        </w:rPr>
        <w:t>Common</w:t>
      </w:r>
      <w:proofErr w:type="spellEnd"/>
      <w:r w:rsidRPr="00275FBD">
        <w:rPr>
          <w:lang w:val="sl-SI"/>
        </w:rPr>
        <w:t xml:space="preserve"> </w:t>
      </w:r>
      <w:proofErr w:type="spellStart"/>
      <w:r w:rsidRPr="00275FBD">
        <w:rPr>
          <w:lang w:val="sl-SI"/>
        </w:rPr>
        <w:t>Cause</w:t>
      </w:r>
      <w:proofErr w:type="spellEnd"/>
      <w:r w:rsidRPr="00275FBD">
        <w:rPr>
          <w:lang w:val="sl-SI"/>
        </w:rPr>
        <w:t xml:space="preserve"> </w:t>
      </w:r>
      <w:proofErr w:type="spellStart"/>
      <w:r w:rsidRPr="00275FBD">
        <w:rPr>
          <w:lang w:val="sl-SI"/>
        </w:rPr>
        <w:t>Failure</w:t>
      </w:r>
      <w:proofErr w:type="spellEnd"/>
      <w:r w:rsidRPr="00275FBD">
        <w:rPr>
          <w:lang w:val="sl-SI"/>
        </w:rPr>
        <w:t>«, CCF) ali enakovredni pristop.</w:t>
      </w:r>
      <w:r w:rsidR="005E32E6" w:rsidRPr="00275FBD">
        <w:rPr>
          <w:lang w:val="sl-SI"/>
        </w:rPr>
        <w:t xml:space="preserve"> </w:t>
      </w:r>
      <w:r w:rsidRPr="00275FBD">
        <w:rPr>
          <w:lang w:val="sl-SI"/>
        </w:rPr>
        <w:t xml:space="preserve">Vendar pa morajo biti zasnovani tako, da funkcionalno </w:t>
      </w:r>
      <w:r w:rsidR="0071739C">
        <w:rPr>
          <w:lang w:val="sl-SI"/>
        </w:rPr>
        <w:t>zdrž</w:t>
      </w:r>
      <w:r w:rsidR="0071739C" w:rsidRPr="00275FBD">
        <w:rPr>
          <w:lang w:val="sl-SI"/>
        </w:rPr>
        <w:t>ijo eno</w:t>
      </w:r>
      <w:r w:rsidR="0071739C">
        <w:rPr>
          <w:lang w:val="sl-SI"/>
        </w:rPr>
        <w:t>j</w:t>
      </w:r>
      <w:r w:rsidR="0071739C" w:rsidRPr="00275FBD">
        <w:rPr>
          <w:lang w:val="sl-SI"/>
        </w:rPr>
        <w:t xml:space="preserve">no </w:t>
      </w:r>
      <w:r w:rsidRPr="00275FBD">
        <w:rPr>
          <w:lang w:val="sl-SI"/>
        </w:rPr>
        <w:t xml:space="preserve">okvaro v katerem koli aktivnem delu sistema ali povezanem sistemu (npr. </w:t>
      </w:r>
      <w:r w:rsidR="00B94E32" w:rsidRPr="00275FBD">
        <w:rPr>
          <w:lang w:val="sl-SI"/>
        </w:rPr>
        <w:t>električn</w:t>
      </w:r>
      <w:r w:rsidR="00B94E32">
        <w:rPr>
          <w:lang w:val="sl-SI"/>
        </w:rPr>
        <w:t>o</w:t>
      </w:r>
      <w:r w:rsidR="00B94E32" w:rsidRPr="00275FBD">
        <w:rPr>
          <w:lang w:val="sl-SI"/>
        </w:rPr>
        <w:t xml:space="preserve"> </w:t>
      </w:r>
      <w:r w:rsidR="00B94E32">
        <w:rPr>
          <w:lang w:val="sl-SI"/>
        </w:rPr>
        <w:t>napajanje</w:t>
      </w:r>
      <w:r w:rsidRPr="00275FBD">
        <w:rPr>
          <w:lang w:val="sl-SI"/>
        </w:rPr>
        <w:t>). Prav tako se lahko pasivni sistemi, ovire ali značilnosti štejejo za "močne" LOD na ravni preprečevanja (če so pravilno zasnovani in usposobljeni za ta namen). Primer "močnega" LOD je ECCS z dve</w:t>
      </w:r>
      <w:r w:rsidR="00B94E32">
        <w:rPr>
          <w:lang w:val="sl-SI"/>
        </w:rPr>
        <w:t>ma</w:t>
      </w:r>
      <w:r w:rsidRPr="00275FBD">
        <w:rPr>
          <w:lang w:val="sl-SI"/>
        </w:rPr>
        <w:t xml:space="preserve"> redundantni</w:t>
      </w:r>
      <w:r w:rsidR="00B94E32">
        <w:rPr>
          <w:lang w:val="sl-SI"/>
        </w:rPr>
        <w:t>ma</w:t>
      </w:r>
      <w:r w:rsidRPr="00275FBD">
        <w:rPr>
          <w:lang w:val="sl-SI"/>
        </w:rPr>
        <w:t xml:space="preserve"> </w:t>
      </w:r>
      <w:r w:rsidR="006D5D79" w:rsidRPr="00275FBD">
        <w:rPr>
          <w:lang w:val="sl-SI"/>
        </w:rPr>
        <w:t>prog</w:t>
      </w:r>
      <w:r w:rsidR="00B94E32">
        <w:rPr>
          <w:lang w:val="sl-SI"/>
        </w:rPr>
        <w:t>ama</w:t>
      </w:r>
      <w:r w:rsidRPr="00275FBD">
        <w:rPr>
          <w:lang w:val="sl-SI"/>
        </w:rPr>
        <w:t xml:space="preserve"> s črpalkami in ventili, ki se odzivajo na začetni dogodek </w:t>
      </w:r>
      <w:r w:rsidR="00997B22">
        <w:rPr>
          <w:lang w:val="sl-SI"/>
        </w:rPr>
        <w:t>vrste</w:t>
      </w:r>
      <w:r w:rsidR="00997B22" w:rsidRPr="00275FBD">
        <w:rPr>
          <w:lang w:val="sl-SI"/>
        </w:rPr>
        <w:t xml:space="preserve"> </w:t>
      </w:r>
      <w:r w:rsidRPr="00275FBD">
        <w:rPr>
          <w:lang w:val="sl-SI"/>
        </w:rPr>
        <w:t xml:space="preserve">LOCA znotraj projektne osnove. "Šibki" LOD v tej shemi štetja so vsi tisti sistemi, ki se ne morejo ujemati z definicijo "močnega" LOD, vendar se kljub temu pričakuje, da bodo znatno prispevali k </w:t>
      </w:r>
      <w:r w:rsidR="00DC7C1A" w:rsidRPr="00275FBD">
        <w:rPr>
          <w:lang w:val="sl-SI"/>
        </w:rPr>
        <w:t>obrambi v globino</w:t>
      </w:r>
      <w:r w:rsidRPr="00275FBD">
        <w:rPr>
          <w:lang w:val="sl-SI"/>
        </w:rPr>
        <w:t xml:space="preserve">. Dokazati je treba, da so učinkoviti, ni pa nujno, da so </w:t>
      </w:r>
      <w:r w:rsidR="00DC7C1A" w:rsidRPr="00275FBD">
        <w:rPr>
          <w:lang w:val="sl-SI"/>
        </w:rPr>
        <w:t xml:space="preserve">odporni </w:t>
      </w:r>
      <w:r w:rsidRPr="00275FBD">
        <w:rPr>
          <w:lang w:val="sl-SI"/>
        </w:rPr>
        <w:t xml:space="preserve">na </w:t>
      </w:r>
      <w:r w:rsidR="006D5D79" w:rsidRPr="00275FBD">
        <w:rPr>
          <w:lang w:val="sl-SI"/>
        </w:rPr>
        <w:t>enojno</w:t>
      </w:r>
      <w:r w:rsidRPr="00275FBD">
        <w:rPr>
          <w:lang w:val="sl-SI"/>
        </w:rPr>
        <w:t xml:space="preserve"> </w:t>
      </w:r>
      <w:r w:rsidR="006D5D79" w:rsidRPr="00275FBD">
        <w:rPr>
          <w:lang w:val="sl-SI"/>
        </w:rPr>
        <w:t>odpoved</w:t>
      </w:r>
      <w:r w:rsidRPr="00275FBD">
        <w:rPr>
          <w:lang w:val="sl-SI"/>
        </w:rPr>
        <w:t xml:space="preserve"> ali napako. Na primer: za namen ocene DOD v smislu štetja LOD se </w:t>
      </w:r>
      <w:r w:rsidR="006D5D79" w:rsidRPr="00275FBD">
        <w:rPr>
          <w:lang w:val="sl-SI"/>
        </w:rPr>
        <w:t>dve (redundantni)</w:t>
      </w:r>
      <w:r w:rsidRPr="00275FBD">
        <w:rPr>
          <w:lang w:val="sl-SI"/>
        </w:rPr>
        <w:t xml:space="preserve"> </w:t>
      </w:r>
      <w:r w:rsidR="006D5D79" w:rsidRPr="00275FBD">
        <w:rPr>
          <w:lang w:val="sl-SI"/>
        </w:rPr>
        <w:t>progi z</w:t>
      </w:r>
      <w:r w:rsidRPr="00275FBD">
        <w:rPr>
          <w:lang w:val="sl-SI"/>
        </w:rPr>
        <w:t xml:space="preserve"> </w:t>
      </w:r>
      <w:r w:rsidR="00747B55">
        <w:rPr>
          <w:lang w:val="sl-SI"/>
        </w:rPr>
        <w:t>motorno črpalko (</w:t>
      </w:r>
      <w:r w:rsidRPr="00275FBD">
        <w:rPr>
          <w:lang w:val="sl-SI"/>
        </w:rPr>
        <w:t>MDP</w:t>
      </w:r>
      <w:r w:rsidR="00747B55">
        <w:rPr>
          <w:lang w:val="sl-SI"/>
        </w:rPr>
        <w:t>)</w:t>
      </w:r>
      <w:r w:rsidRPr="00275FBD">
        <w:rPr>
          <w:lang w:val="sl-SI"/>
        </w:rPr>
        <w:t xml:space="preserve"> v sistemu </w:t>
      </w:r>
      <w:r w:rsidR="00747B55">
        <w:rPr>
          <w:lang w:val="sl-SI"/>
        </w:rPr>
        <w:t>pomožne napajalne vode (</w:t>
      </w:r>
      <w:r w:rsidRPr="00275FBD">
        <w:rPr>
          <w:lang w:val="sl-SI"/>
        </w:rPr>
        <w:t>AFW</w:t>
      </w:r>
      <w:r w:rsidR="00747B55">
        <w:rPr>
          <w:lang w:val="sl-SI"/>
        </w:rPr>
        <w:t>)</w:t>
      </w:r>
      <w:r w:rsidRPr="00275FBD">
        <w:rPr>
          <w:lang w:val="sl-SI"/>
        </w:rPr>
        <w:t xml:space="preserve"> skupaj štejeta za </w:t>
      </w:r>
      <w:r w:rsidR="006D5D79" w:rsidRPr="00275FBD">
        <w:rPr>
          <w:lang w:val="sl-SI"/>
        </w:rPr>
        <w:t xml:space="preserve">en </w:t>
      </w:r>
      <w:r w:rsidRPr="00275FBD">
        <w:rPr>
          <w:lang w:val="sl-SI"/>
        </w:rPr>
        <w:t xml:space="preserve">»močan« LOD, </w:t>
      </w:r>
      <w:r w:rsidR="006D5D79" w:rsidRPr="00275FBD">
        <w:rPr>
          <w:lang w:val="sl-SI"/>
        </w:rPr>
        <w:t xml:space="preserve">veja </w:t>
      </w:r>
      <w:r w:rsidR="00747B55">
        <w:rPr>
          <w:lang w:val="sl-SI"/>
        </w:rPr>
        <w:t>s</w:t>
      </w:r>
      <w:r w:rsidR="00747B55" w:rsidRPr="00275FBD">
        <w:rPr>
          <w:lang w:val="sl-SI"/>
        </w:rPr>
        <w:t xml:space="preserve"> </w:t>
      </w:r>
      <w:r w:rsidR="00747B55">
        <w:rPr>
          <w:lang w:val="sl-SI"/>
        </w:rPr>
        <w:t>turbinsko črpalko (</w:t>
      </w:r>
      <w:r w:rsidRPr="00275FBD">
        <w:rPr>
          <w:lang w:val="sl-SI"/>
        </w:rPr>
        <w:t>TDP</w:t>
      </w:r>
      <w:r w:rsidR="00747B55">
        <w:rPr>
          <w:lang w:val="sl-SI"/>
        </w:rPr>
        <w:t>)</w:t>
      </w:r>
      <w:r w:rsidRPr="00275FBD">
        <w:rPr>
          <w:lang w:val="sl-SI"/>
        </w:rPr>
        <w:t xml:space="preserve"> pa kot dodatni »šibek« LOD.</w:t>
      </w:r>
    </w:p>
    <w:p w14:paraId="63407F52" w14:textId="526A7AF4" w:rsidR="00D07BA5" w:rsidRPr="00275FBD" w:rsidRDefault="00D07BA5" w:rsidP="00D07BA5">
      <w:pPr>
        <w:rPr>
          <w:lang w:val="sl-SI"/>
        </w:rPr>
      </w:pPr>
      <w:r w:rsidRPr="00275FBD">
        <w:rPr>
          <w:lang w:val="sl-SI"/>
        </w:rPr>
        <w:t xml:space="preserve">Glavno načelo je, da mora obstajati zadostno število LOD, ko se seštejejo </w:t>
      </w:r>
      <w:r w:rsidR="00B94E32">
        <w:rPr>
          <w:lang w:val="sl-SI"/>
        </w:rPr>
        <w:t>linije</w:t>
      </w:r>
      <w:r w:rsidR="00B94E32" w:rsidRPr="00275FBD">
        <w:rPr>
          <w:lang w:val="sl-SI"/>
        </w:rPr>
        <w:t xml:space="preserve"> </w:t>
      </w:r>
      <w:r w:rsidRPr="00275FBD">
        <w:rPr>
          <w:lang w:val="sl-SI"/>
        </w:rPr>
        <w:t>obrambe za katerikoli scenarij nesreče. Zahtevano število obrambnih linij je odvisno od posledic njihove okvare. Hujše posledice zahtevajo močnejšo obrambo, da bi dosegli »sodoben standard« obrambe.</w:t>
      </w:r>
    </w:p>
    <w:p w14:paraId="3C6168A5" w14:textId="1A108DED" w:rsidR="00D07BA5" w:rsidRPr="00275FBD" w:rsidRDefault="00D07BA5" w:rsidP="00D07BA5">
      <w:pPr>
        <w:rPr>
          <w:lang w:val="sl-SI"/>
        </w:rPr>
      </w:pPr>
      <w:r w:rsidRPr="00275FBD">
        <w:rPr>
          <w:lang w:val="sl-SI"/>
        </w:rPr>
        <w:t xml:space="preserve">Izraz »obrambna linija« (LOD) je opredeljen kot sistem, pregrada ali človeško </w:t>
      </w:r>
      <w:r w:rsidR="00747B55" w:rsidRPr="00275FBD">
        <w:rPr>
          <w:lang w:val="sl-SI"/>
        </w:rPr>
        <w:t>de</w:t>
      </w:r>
      <w:r w:rsidR="00747B55">
        <w:rPr>
          <w:lang w:val="sl-SI"/>
        </w:rPr>
        <w:t>j</w:t>
      </w:r>
      <w:r w:rsidR="00747B55" w:rsidRPr="00275FBD">
        <w:rPr>
          <w:lang w:val="sl-SI"/>
        </w:rPr>
        <w:t xml:space="preserve">anje </w:t>
      </w:r>
      <w:r w:rsidRPr="00275FBD">
        <w:rPr>
          <w:lang w:val="sl-SI"/>
        </w:rPr>
        <w:t xml:space="preserve">(ali kombinacija le-teh), potrebno za zagotavljanje zaščite pred začetno napako (začetnim </w:t>
      </w:r>
      <w:r w:rsidRPr="00275FBD">
        <w:rPr>
          <w:lang w:val="sl-SI"/>
        </w:rPr>
        <w:lastRenderedPageBreak/>
        <w:t xml:space="preserve">dogodkom). LOD lahko obstajajo na katerikoli ali več različnih ravneh obrambe v globinski strukturi (tj. preprečevanje, nadzor, zaščita in obvladovanje / blažitev nesreč; zadnja raven, ukrepi zunaj lokacije, se v okviru tega pristopa ne upoštevajo </w:t>
      </w:r>
      <w:r w:rsidR="000F017F" w:rsidRPr="00275FBD">
        <w:rPr>
          <w:lang w:val="sl-SI"/>
        </w:rPr>
        <w:t>kot</w:t>
      </w:r>
      <w:r w:rsidRPr="00275FBD">
        <w:rPr>
          <w:lang w:val="sl-SI"/>
        </w:rPr>
        <w:t xml:space="preserve"> LOD).</w:t>
      </w:r>
    </w:p>
    <w:p w14:paraId="01DB7A2B" w14:textId="798D400B" w:rsidR="00D07BA5" w:rsidRPr="00275FBD" w:rsidRDefault="00D07BA5" w:rsidP="00D07BA5">
      <w:pPr>
        <w:rPr>
          <w:lang w:val="sl-SI"/>
        </w:rPr>
      </w:pPr>
      <w:r w:rsidRPr="00275FBD">
        <w:rPr>
          <w:lang w:val="sl-SI"/>
        </w:rPr>
        <w:t xml:space="preserve">Koncept za štetje LOD v NEK, kot je uporabljen v </w:t>
      </w:r>
      <w:r w:rsidR="000F017F" w:rsidRPr="00275FBD">
        <w:rPr>
          <w:lang w:val="sl-SI"/>
        </w:rPr>
        <w:fldChar w:fldCharType="begin"/>
      </w:r>
      <w:r w:rsidR="000F017F" w:rsidRPr="00275FBD">
        <w:rPr>
          <w:lang w:val="sl-SI"/>
        </w:rPr>
        <w:instrText xml:space="preserve"> REF _Ref133229584 \r \h </w:instrText>
      </w:r>
      <w:r w:rsidR="000F017F" w:rsidRPr="00275FBD">
        <w:rPr>
          <w:lang w:val="sl-SI"/>
        </w:rPr>
      </w:r>
      <w:r w:rsidR="000F017F" w:rsidRPr="00275FBD">
        <w:rPr>
          <w:lang w:val="sl-SI"/>
        </w:rPr>
        <w:fldChar w:fldCharType="separate"/>
      </w:r>
      <w:r w:rsidR="00BA25CD">
        <w:rPr>
          <w:lang w:val="sl-SI"/>
        </w:rPr>
        <w:t>[4]</w:t>
      </w:r>
      <w:r w:rsidR="000F017F" w:rsidRPr="00275FBD">
        <w:rPr>
          <w:lang w:val="sl-SI"/>
        </w:rPr>
        <w:fldChar w:fldCharType="end"/>
      </w:r>
      <w:r w:rsidRPr="00275FBD">
        <w:rPr>
          <w:lang w:val="sl-SI"/>
        </w:rPr>
        <w:t xml:space="preserve">, je prikazan na </w:t>
      </w:r>
      <w:r w:rsidR="000F017F" w:rsidRPr="00275FBD">
        <w:rPr>
          <w:lang w:val="sl-SI"/>
        </w:rPr>
        <w:fldChar w:fldCharType="begin"/>
      </w:r>
      <w:r w:rsidR="000F017F" w:rsidRPr="00275FBD">
        <w:rPr>
          <w:lang w:val="sl-SI"/>
        </w:rPr>
        <w:instrText xml:space="preserve"> REF _Ref138354514 \h </w:instrText>
      </w:r>
      <w:r w:rsidR="000F017F" w:rsidRPr="00275FBD">
        <w:rPr>
          <w:lang w:val="sl-SI"/>
        </w:rPr>
      </w:r>
      <w:r w:rsidR="000F017F" w:rsidRPr="00275FBD">
        <w:rPr>
          <w:lang w:val="sl-SI"/>
        </w:rPr>
        <w:fldChar w:fldCharType="separate"/>
      </w:r>
      <w:r w:rsidR="00BA25CD" w:rsidRPr="00275FBD">
        <w:rPr>
          <w:lang w:val="sl-SI"/>
        </w:rPr>
        <w:t xml:space="preserve">Slika </w:t>
      </w:r>
      <w:r w:rsidR="00BA25CD">
        <w:rPr>
          <w:noProof/>
          <w:lang w:val="sl-SI"/>
        </w:rPr>
        <w:t>5</w:t>
      </w:r>
      <w:r w:rsidR="00BA25CD" w:rsidRPr="00275FBD">
        <w:rPr>
          <w:lang w:val="sl-SI"/>
        </w:rPr>
        <w:noBreakHyphen/>
      </w:r>
      <w:r w:rsidR="00BA25CD">
        <w:rPr>
          <w:noProof/>
          <w:lang w:val="sl-SI"/>
        </w:rPr>
        <w:t>1</w:t>
      </w:r>
      <w:r w:rsidR="000F017F" w:rsidRPr="00275FBD">
        <w:rPr>
          <w:lang w:val="sl-SI"/>
        </w:rPr>
        <w:fldChar w:fldCharType="end"/>
      </w:r>
      <w:r w:rsidRPr="00275FBD">
        <w:rPr>
          <w:lang w:val="sl-SI"/>
        </w:rPr>
        <w:t xml:space="preserve">. Obstaja šest specifičnih točk v napredovanju nesreče "skozi" </w:t>
      </w:r>
      <w:r w:rsidR="000F017F" w:rsidRPr="00275FBD">
        <w:rPr>
          <w:lang w:val="sl-SI"/>
        </w:rPr>
        <w:t>obrambne linije</w:t>
      </w:r>
      <w:r w:rsidRPr="00275FBD">
        <w:rPr>
          <w:lang w:val="sl-SI"/>
        </w:rPr>
        <w:t xml:space="preserve">, ki so prikazane na </w:t>
      </w:r>
      <w:r w:rsidR="000F017F" w:rsidRPr="00275FBD">
        <w:rPr>
          <w:lang w:val="sl-SI"/>
        </w:rPr>
        <w:t xml:space="preserve">omenjeni </w:t>
      </w:r>
      <w:r w:rsidRPr="00275FBD">
        <w:rPr>
          <w:lang w:val="sl-SI"/>
        </w:rPr>
        <w:t>sliki:</w:t>
      </w:r>
    </w:p>
    <w:p w14:paraId="529BBB45" w14:textId="0CAEA1D2" w:rsidR="00B853FC" w:rsidRPr="00275FBD" w:rsidRDefault="00B853FC" w:rsidP="00B853FC">
      <w:pPr>
        <w:numPr>
          <w:ilvl w:val="0"/>
          <w:numId w:val="15"/>
        </w:numPr>
        <w:rPr>
          <w:iCs/>
          <w:lang w:val="sl-SI"/>
        </w:rPr>
      </w:pPr>
      <w:r w:rsidRPr="00275FBD">
        <w:rPr>
          <w:i/>
          <w:lang w:val="sl-SI"/>
        </w:rPr>
        <w:t>Točka 1</w:t>
      </w:r>
      <w:r w:rsidRPr="00275FBD">
        <w:rPr>
          <w:iCs/>
          <w:lang w:val="sl-SI"/>
        </w:rPr>
        <w:t xml:space="preserve">: Pojav začetnega dogodka. Pri nekaterih </w:t>
      </w:r>
      <w:r w:rsidR="009B3344" w:rsidRPr="00275FBD">
        <w:rPr>
          <w:iCs/>
          <w:lang w:val="sl-SI"/>
        </w:rPr>
        <w:t>začetn</w:t>
      </w:r>
      <w:r w:rsidR="009B3344">
        <w:rPr>
          <w:iCs/>
          <w:lang w:val="sl-SI"/>
        </w:rPr>
        <w:t>ih</w:t>
      </w:r>
      <w:r w:rsidR="009B3344" w:rsidRPr="00275FBD">
        <w:rPr>
          <w:iCs/>
          <w:lang w:val="sl-SI"/>
        </w:rPr>
        <w:t xml:space="preserve"> dogodk</w:t>
      </w:r>
      <w:r w:rsidR="009B3344">
        <w:rPr>
          <w:iCs/>
          <w:lang w:val="sl-SI"/>
        </w:rPr>
        <w:t>ih</w:t>
      </w:r>
      <w:r w:rsidR="009B3344" w:rsidRPr="00275FBD" w:rsidDel="009B3344">
        <w:rPr>
          <w:iCs/>
          <w:lang w:val="sl-SI"/>
        </w:rPr>
        <w:t xml:space="preserve"> </w:t>
      </w:r>
      <w:r w:rsidRPr="00275FBD">
        <w:rPr>
          <w:iCs/>
          <w:lang w:val="sl-SI"/>
        </w:rPr>
        <w:t xml:space="preserve">(pravzaprav pri večini) je </w:t>
      </w:r>
      <w:r w:rsidR="002F5B0F" w:rsidRPr="00275FBD">
        <w:rPr>
          <w:iCs/>
          <w:lang w:val="sl-SI"/>
        </w:rPr>
        <w:t>po</w:t>
      </w:r>
      <w:r w:rsidRPr="00275FBD">
        <w:rPr>
          <w:iCs/>
          <w:lang w:val="sl-SI"/>
        </w:rPr>
        <w:t>treb</w:t>
      </w:r>
      <w:r w:rsidR="002F5B0F" w:rsidRPr="00275FBD">
        <w:rPr>
          <w:iCs/>
          <w:lang w:val="sl-SI"/>
        </w:rPr>
        <w:t>no</w:t>
      </w:r>
      <w:r w:rsidRPr="00275FBD">
        <w:rPr>
          <w:iCs/>
          <w:lang w:val="sl-SI"/>
        </w:rPr>
        <w:t xml:space="preserve"> enega ali več LOD zlomiti, da se pojavi </w:t>
      </w:r>
      <w:r w:rsidR="009B3344" w:rsidRPr="00275FBD">
        <w:rPr>
          <w:iCs/>
          <w:lang w:val="sl-SI"/>
        </w:rPr>
        <w:t>začetn</w:t>
      </w:r>
      <w:r w:rsidR="009B3344">
        <w:rPr>
          <w:iCs/>
          <w:lang w:val="sl-SI"/>
        </w:rPr>
        <w:t>i</w:t>
      </w:r>
      <w:r w:rsidR="009B3344" w:rsidRPr="00275FBD">
        <w:rPr>
          <w:iCs/>
          <w:lang w:val="sl-SI"/>
        </w:rPr>
        <w:t xml:space="preserve"> dogod</w:t>
      </w:r>
      <w:r w:rsidR="009B3344">
        <w:rPr>
          <w:iCs/>
          <w:lang w:val="sl-SI"/>
        </w:rPr>
        <w:t>e</w:t>
      </w:r>
      <w:r w:rsidR="009B3344" w:rsidRPr="00275FBD">
        <w:rPr>
          <w:iCs/>
          <w:lang w:val="sl-SI"/>
        </w:rPr>
        <w:t>k</w:t>
      </w:r>
      <w:r w:rsidRPr="00275FBD">
        <w:rPr>
          <w:iCs/>
          <w:lang w:val="sl-SI"/>
        </w:rPr>
        <w:t>.</w:t>
      </w:r>
    </w:p>
    <w:p w14:paraId="3B6C175D" w14:textId="111E67B6" w:rsidR="00B853FC" w:rsidRPr="00275FBD" w:rsidRDefault="00B853FC" w:rsidP="00251CDD">
      <w:pPr>
        <w:numPr>
          <w:ilvl w:val="0"/>
          <w:numId w:val="15"/>
        </w:numPr>
        <w:rPr>
          <w:iCs/>
          <w:lang w:val="sl-SI"/>
        </w:rPr>
      </w:pPr>
      <w:r w:rsidRPr="00275FBD">
        <w:rPr>
          <w:i/>
          <w:lang w:val="sl-SI"/>
        </w:rPr>
        <w:t>Točka 2</w:t>
      </w:r>
      <w:r w:rsidRPr="00275FBD">
        <w:rPr>
          <w:iCs/>
          <w:lang w:val="sl-SI"/>
        </w:rPr>
        <w:t xml:space="preserve">: Pogoj, v katerem </w:t>
      </w:r>
      <w:r w:rsidR="002F5B0F" w:rsidRPr="00275FBD">
        <w:rPr>
          <w:iCs/>
          <w:lang w:val="sl-SI"/>
        </w:rPr>
        <w:t xml:space="preserve">so </w:t>
      </w:r>
      <w:r w:rsidRPr="00275FBD">
        <w:rPr>
          <w:iCs/>
          <w:lang w:val="sl-SI"/>
        </w:rPr>
        <w:t xml:space="preserve">po začetnem dogodku odpovedali vsi LOD, razen enega. Primer je lahko dogodek </w:t>
      </w:r>
      <w:r w:rsidR="007C52EE">
        <w:rPr>
          <w:iCs/>
          <w:lang w:val="sl-SI"/>
        </w:rPr>
        <w:t>zaustavitve</w:t>
      </w:r>
      <w:r w:rsidR="007C52EE" w:rsidRPr="00275FBD">
        <w:rPr>
          <w:iCs/>
          <w:lang w:val="sl-SI"/>
        </w:rPr>
        <w:t xml:space="preserve"> </w:t>
      </w:r>
      <w:r w:rsidRPr="00275FBD">
        <w:rPr>
          <w:iCs/>
          <w:lang w:val="sl-SI"/>
        </w:rPr>
        <w:t xml:space="preserve">turbine, ki mu sledi okvara obeh AFW MDP. Zadnji preostali LOD </w:t>
      </w:r>
      <w:r w:rsidR="00747B55">
        <w:rPr>
          <w:lang w:val="sl-SI"/>
        </w:rPr>
        <w:t>z</w:t>
      </w:r>
      <w:r w:rsidR="00747B55" w:rsidRPr="00275FBD">
        <w:rPr>
          <w:lang w:val="sl-SI"/>
        </w:rPr>
        <w:t xml:space="preserve">notraj </w:t>
      </w:r>
      <w:r w:rsidRPr="00275FBD">
        <w:rPr>
          <w:lang w:val="sl-SI"/>
        </w:rPr>
        <w:t xml:space="preserve">projektne osnove (»Design Basis«, DB) </w:t>
      </w:r>
      <w:r w:rsidRPr="00275FBD">
        <w:rPr>
          <w:iCs/>
          <w:lang w:val="sl-SI"/>
        </w:rPr>
        <w:t xml:space="preserve">je AFW TDP. Dokler uspešno obratuje, je sredica reaktorja </w:t>
      </w:r>
      <w:r w:rsidR="00747B55">
        <w:rPr>
          <w:iCs/>
          <w:lang w:val="sl-SI"/>
        </w:rPr>
        <w:t>hlajena</w:t>
      </w:r>
      <w:r w:rsidRPr="00275FBD">
        <w:rPr>
          <w:iCs/>
          <w:lang w:val="sl-SI"/>
        </w:rPr>
        <w:t xml:space="preserve"> kot opisano v ustreznem poglavju NEK USAR. (Opomba: Ta primer je prevzet iz </w:t>
      </w:r>
      <w:r w:rsidRPr="00275FBD">
        <w:rPr>
          <w:iCs/>
          <w:lang w:val="sl-SI"/>
        </w:rPr>
        <w:fldChar w:fldCharType="begin"/>
      </w:r>
      <w:r w:rsidRPr="00275FBD">
        <w:rPr>
          <w:iCs/>
          <w:lang w:val="sl-SI"/>
        </w:rPr>
        <w:instrText xml:space="preserve"> REF _Ref133229584 \r \h </w:instrText>
      </w:r>
      <w:r w:rsidRPr="00275FBD">
        <w:rPr>
          <w:iCs/>
          <w:lang w:val="sl-SI"/>
        </w:rPr>
      </w:r>
      <w:r w:rsidRPr="00275FBD">
        <w:rPr>
          <w:iCs/>
          <w:lang w:val="sl-SI"/>
        </w:rPr>
        <w:fldChar w:fldCharType="separate"/>
      </w:r>
      <w:r w:rsidR="00BA25CD">
        <w:rPr>
          <w:iCs/>
          <w:lang w:val="sl-SI"/>
        </w:rPr>
        <w:t>[4]</w:t>
      </w:r>
      <w:r w:rsidRPr="00275FBD">
        <w:rPr>
          <w:iCs/>
          <w:lang w:val="sl-SI"/>
        </w:rPr>
        <w:fldChar w:fldCharType="end"/>
      </w:r>
      <w:r w:rsidRPr="00275FBD">
        <w:rPr>
          <w:iCs/>
          <w:lang w:val="sl-SI"/>
        </w:rPr>
        <w:t xml:space="preserve"> in ne upošteva alternativnega sistema AFW. </w:t>
      </w:r>
      <w:r w:rsidR="00747B55">
        <w:rPr>
          <w:iCs/>
          <w:lang w:val="sl-SI"/>
        </w:rPr>
        <w:t>Vendar pa so</w:t>
      </w:r>
      <w:r w:rsidR="00567F03" w:rsidRPr="00275FBD">
        <w:rPr>
          <w:iCs/>
          <w:lang w:val="sl-SI"/>
        </w:rPr>
        <w:t xml:space="preserve"> a</w:t>
      </w:r>
      <w:r w:rsidRPr="00275FBD">
        <w:rPr>
          <w:iCs/>
          <w:lang w:val="sl-SI"/>
        </w:rPr>
        <w:t xml:space="preserve">lternativni sistemi </w:t>
      </w:r>
      <w:r w:rsidR="00567F03" w:rsidRPr="00275FBD">
        <w:rPr>
          <w:iCs/>
          <w:lang w:val="sl-SI"/>
        </w:rPr>
        <w:t xml:space="preserve">dejansko bili </w:t>
      </w:r>
      <w:r w:rsidRPr="00275FBD">
        <w:rPr>
          <w:iCs/>
          <w:lang w:val="sl-SI"/>
        </w:rPr>
        <w:t xml:space="preserve">upoštevani pri </w:t>
      </w:r>
      <w:r w:rsidR="00567F03" w:rsidRPr="00275FBD">
        <w:rPr>
          <w:iCs/>
          <w:lang w:val="sl-SI"/>
        </w:rPr>
        <w:t xml:space="preserve">celoviti oceni </w:t>
      </w:r>
      <w:r w:rsidR="007240A7">
        <w:rPr>
          <w:iCs/>
          <w:lang w:val="sl-SI"/>
        </w:rPr>
        <w:t>varnosti</w:t>
      </w:r>
      <w:r w:rsidR="007240A7" w:rsidRPr="00275FBD">
        <w:rPr>
          <w:iCs/>
          <w:lang w:val="sl-SI"/>
        </w:rPr>
        <w:t xml:space="preserve"> </w:t>
      </w:r>
      <w:r w:rsidR="00567F03" w:rsidRPr="00275FBD">
        <w:rPr>
          <w:iCs/>
          <w:lang w:val="sl-SI"/>
        </w:rPr>
        <w:t>PSR3</w:t>
      </w:r>
      <w:r w:rsidRPr="00275FBD">
        <w:rPr>
          <w:iCs/>
          <w:lang w:val="sl-SI"/>
        </w:rPr>
        <w:t>.)</w:t>
      </w:r>
    </w:p>
    <w:p w14:paraId="3F94A710" w14:textId="270124EE" w:rsidR="0068615F" w:rsidRPr="00275FBD" w:rsidRDefault="0068615F" w:rsidP="0013348E">
      <w:pPr>
        <w:numPr>
          <w:ilvl w:val="0"/>
          <w:numId w:val="15"/>
        </w:numPr>
        <w:rPr>
          <w:lang w:val="sl-SI"/>
        </w:rPr>
      </w:pPr>
      <w:r w:rsidRPr="00275FBD">
        <w:rPr>
          <w:i/>
          <w:iCs/>
          <w:lang w:val="sl-SI"/>
        </w:rPr>
        <w:t>Točka 3</w:t>
      </w:r>
      <w:r w:rsidRPr="00275FBD">
        <w:rPr>
          <w:lang w:val="sl-SI"/>
        </w:rPr>
        <w:t xml:space="preserve">: Pogoj, v katerem so po </w:t>
      </w:r>
      <w:r w:rsidR="009B3344" w:rsidRPr="00275FBD">
        <w:rPr>
          <w:iCs/>
          <w:lang w:val="sl-SI"/>
        </w:rPr>
        <w:t>začetne</w:t>
      </w:r>
      <w:r w:rsidR="009B3344">
        <w:rPr>
          <w:iCs/>
          <w:lang w:val="sl-SI"/>
        </w:rPr>
        <w:t>m</w:t>
      </w:r>
      <w:r w:rsidR="009B3344" w:rsidRPr="00275FBD">
        <w:rPr>
          <w:iCs/>
          <w:lang w:val="sl-SI"/>
        </w:rPr>
        <w:t xml:space="preserve"> dogodk</w:t>
      </w:r>
      <w:r w:rsidR="009B3344">
        <w:rPr>
          <w:iCs/>
          <w:lang w:val="sl-SI"/>
        </w:rPr>
        <w:t>u</w:t>
      </w:r>
      <w:r w:rsidR="009B3344" w:rsidRPr="00275FBD" w:rsidDel="009B3344">
        <w:rPr>
          <w:lang w:val="sl-SI"/>
        </w:rPr>
        <w:t xml:space="preserve"> </w:t>
      </w:r>
      <w:r w:rsidR="004E0430" w:rsidRPr="00275FBD">
        <w:rPr>
          <w:lang w:val="sl-SI"/>
        </w:rPr>
        <w:t>odpovedali</w:t>
      </w:r>
      <w:r w:rsidRPr="00275FBD">
        <w:rPr>
          <w:lang w:val="sl-SI"/>
        </w:rPr>
        <w:t xml:space="preserve"> vsi LOD </w:t>
      </w:r>
      <w:r w:rsidR="004E0430" w:rsidRPr="00275FBD">
        <w:rPr>
          <w:lang w:val="sl-SI"/>
        </w:rPr>
        <w:t>znotraj projektne osnove (DB)</w:t>
      </w:r>
      <w:r w:rsidRPr="00275FBD">
        <w:rPr>
          <w:lang w:val="sl-SI"/>
        </w:rPr>
        <w:t xml:space="preserve">. To še ne pomeni, da bi nujno prišlo do poškodb reaktorske sredice. Za nekatere </w:t>
      </w:r>
      <w:r w:rsidR="009B3344" w:rsidRPr="00275FBD">
        <w:rPr>
          <w:iCs/>
          <w:lang w:val="sl-SI"/>
        </w:rPr>
        <w:t>začetne dogodk</w:t>
      </w:r>
      <w:r w:rsidR="009B3344">
        <w:rPr>
          <w:iCs/>
          <w:lang w:val="sl-SI"/>
        </w:rPr>
        <w:t>e</w:t>
      </w:r>
      <w:r w:rsidR="009B3344" w:rsidRPr="00275FBD" w:rsidDel="009B3344">
        <w:rPr>
          <w:lang w:val="sl-SI"/>
        </w:rPr>
        <w:t xml:space="preserve"> </w:t>
      </w:r>
      <w:r w:rsidRPr="00275FBD">
        <w:rPr>
          <w:lang w:val="sl-SI"/>
        </w:rPr>
        <w:t>/</w:t>
      </w:r>
      <w:r w:rsidR="004E0430" w:rsidRPr="00275FBD">
        <w:rPr>
          <w:lang w:val="sl-SI"/>
        </w:rPr>
        <w:t xml:space="preserve"> </w:t>
      </w:r>
      <w:r w:rsidRPr="00275FBD">
        <w:rPr>
          <w:lang w:val="sl-SI"/>
        </w:rPr>
        <w:t xml:space="preserve">zaporedja </w:t>
      </w:r>
      <w:r w:rsidR="004E0430" w:rsidRPr="00275FBD">
        <w:rPr>
          <w:lang w:val="sl-SI"/>
        </w:rPr>
        <w:t>dogodkov</w:t>
      </w:r>
      <w:r w:rsidRPr="00275FBD">
        <w:rPr>
          <w:lang w:val="sl-SI"/>
        </w:rPr>
        <w:t xml:space="preserve"> obstajajo </w:t>
      </w:r>
      <w:r w:rsidR="007C52EE">
        <w:rPr>
          <w:lang w:val="sl-SI"/>
        </w:rPr>
        <w:t>ukrepi</w:t>
      </w:r>
      <w:r w:rsidR="007C52EE" w:rsidRPr="00275FBD">
        <w:rPr>
          <w:lang w:val="sl-SI"/>
        </w:rPr>
        <w:t xml:space="preserve"> </w:t>
      </w:r>
      <w:r w:rsidRPr="00275FBD">
        <w:rPr>
          <w:lang w:val="sl-SI"/>
        </w:rPr>
        <w:t xml:space="preserve">v </w:t>
      </w:r>
      <w:r w:rsidR="004E0430" w:rsidRPr="00275FBD">
        <w:rPr>
          <w:lang w:val="sl-SI"/>
        </w:rPr>
        <w:t xml:space="preserve">NEK </w:t>
      </w:r>
      <w:r w:rsidRPr="00275FBD">
        <w:rPr>
          <w:lang w:val="sl-SI"/>
        </w:rPr>
        <w:t xml:space="preserve">operativnih postopkih za </w:t>
      </w:r>
      <w:r w:rsidR="00776A62">
        <w:rPr>
          <w:lang w:val="sl-SI"/>
        </w:rPr>
        <w:t>ravnanje ob nezgodi</w:t>
      </w:r>
      <w:r w:rsidRPr="00275FBD">
        <w:rPr>
          <w:lang w:val="sl-SI"/>
        </w:rPr>
        <w:t xml:space="preserve"> (</w:t>
      </w:r>
      <w:r w:rsidR="004E0430" w:rsidRPr="00275FBD">
        <w:rPr>
          <w:lang w:val="sl-SI"/>
        </w:rPr>
        <w:t xml:space="preserve">»Emergency Operating </w:t>
      </w:r>
      <w:proofErr w:type="spellStart"/>
      <w:r w:rsidR="004E0430" w:rsidRPr="00275FBD">
        <w:rPr>
          <w:lang w:val="sl-SI"/>
        </w:rPr>
        <w:t>Procedures</w:t>
      </w:r>
      <w:proofErr w:type="spellEnd"/>
      <w:r w:rsidR="004E0430" w:rsidRPr="00275FBD">
        <w:rPr>
          <w:lang w:val="sl-SI"/>
        </w:rPr>
        <w:t xml:space="preserve">«, </w:t>
      </w:r>
      <w:r w:rsidRPr="00275FBD">
        <w:rPr>
          <w:lang w:val="sl-SI"/>
        </w:rPr>
        <w:t>EOP</w:t>
      </w:r>
      <w:r w:rsidR="007C52EE" w:rsidRPr="00275FBD">
        <w:rPr>
          <w:lang w:val="sl-SI"/>
        </w:rPr>
        <w:t>)</w:t>
      </w:r>
      <w:r w:rsidR="007C52EE">
        <w:rPr>
          <w:lang w:val="sl-SI"/>
        </w:rPr>
        <w:t>.</w:t>
      </w:r>
      <w:r w:rsidR="007C52EE" w:rsidRPr="00275FBD">
        <w:rPr>
          <w:lang w:val="sl-SI"/>
        </w:rPr>
        <w:t xml:space="preserve"> </w:t>
      </w:r>
      <w:r w:rsidR="007C52EE">
        <w:rPr>
          <w:lang w:val="sl-SI"/>
        </w:rPr>
        <w:t>Č</w:t>
      </w:r>
      <w:r w:rsidRPr="00275FBD">
        <w:rPr>
          <w:lang w:val="sl-SI"/>
        </w:rPr>
        <w:t xml:space="preserve">eprav niso del </w:t>
      </w:r>
      <w:r w:rsidR="004E0430" w:rsidRPr="00275FBD">
        <w:rPr>
          <w:lang w:val="sl-SI"/>
        </w:rPr>
        <w:t>projektne osnove</w:t>
      </w:r>
      <w:r w:rsidRPr="00275FBD">
        <w:rPr>
          <w:lang w:val="sl-SI"/>
        </w:rPr>
        <w:t xml:space="preserve">, predstavljajo veljavne dodatne LOD. Primeri vključujejo zagotavljanje </w:t>
      </w:r>
      <w:r w:rsidR="004E0430" w:rsidRPr="00275FBD">
        <w:rPr>
          <w:lang w:val="sl-SI"/>
        </w:rPr>
        <w:t>napajanja</w:t>
      </w:r>
      <w:r w:rsidRPr="00275FBD">
        <w:rPr>
          <w:lang w:val="sl-SI"/>
        </w:rPr>
        <w:t xml:space="preserve"> SG s ponovno vzpostavitvijo </w:t>
      </w:r>
      <w:r w:rsidR="007C52EE">
        <w:rPr>
          <w:lang w:val="sl-SI"/>
        </w:rPr>
        <w:t>sistema glavne napajalne vode (</w:t>
      </w:r>
      <w:r w:rsidRPr="00275FBD">
        <w:rPr>
          <w:lang w:val="sl-SI"/>
        </w:rPr>
        <w:t>MFW</w:t>
      </w:r>
      <w:r w:rsidR="007C52EE">
        <w:rPr>
          <w:lang w:val="sl-SI"/>
        </w:rPr>
        <w:t>)</w:t>
      </w:r>
      <w:r w:rsidRPr="00275FBD">
        <w:rPr>
          <w:lang w:val="sl-SI"/>
        </w:rPr>
        <w:t xml:space="preserve"> ali uvedbo primarnega </w:t>
      </w:r>
      <w:r w:rsidR="004E0430" w:rsidRPr="00275FBD">
        <w:rPr>
          <w:lang w:val="sl-SI"/>
        </w:rPr>
        <w:t>napajanja</w:t>
      </w:r>
      <w:r w:rsidRPr="00275FBD">
        <w:rPr>
          <w:lang w:val="sl-SI"/>
        </w:rPr>
        <w:t xml:space="preserve"> in odvajanja (</w:t>
      </w:r>
      <w:r w:rsidR="004E0430" w:rsidRPr="00275FBD">
        <w:rPr>
          <w:lang w:val="sl-SI"/>
        </w:rPr>
        <w:t>»</w:t>
      </w:r>
      <w:proofErr w:type="spellStart"/>
      <w:r w:rsidR="004E0430" w:rsidRPr="00275FBD">
        <w:rPr>
          <w:lang w:val="sl-SI"/>
        </w:rPr>
        <w:t>Feed</w:t>
      </w:r>
      <w:proofErr w:type="spellEnd"/>
      <w:r w:rsidR="004E0430" w:rsidRPr="00275FBD">
        <w:rPr>
          <w:lang w:val="sl-SI"/>
        </w:rPr>
        <w:t xml:space="preserve"> and </w:t>
      </w:r>
      <w:proofErr w:type="spellStart"/>
      <w:r w:rsidR="004E0430" w:rsidRPr="00275FBD">
        <w:rPr>
          <w:lang w:val="sl-SI"/>
        </w:rPr>
        <w:t>Bleed</w:t>
      </w:r>
      <w:proofErr w:type="spellEnd"/>
      <w:r w:rsidR="004E0430" w:rsidRPr="00275FBD">
        <w:rPr>
          <w:lang w:val="sl-SI"/>
        </w:rPr>
        <w:t xml:space="preserve">«, </w:t>
      </w:r>
      <w:r w:rsidRPr="00275FBD">
        <w:rPr>
          <w:lang w:val="sl-SI"/>
        </w:rPr>
        <w:t>FB) po popolni odpovedi AFW. (Primeri bi seveda vključevali alternativne ali DEC</w:t>
      </w:r>
      <w:r w:rsidR="007C52EE">
        <w:rPr>
          <w:lang w:val="sl-SI"/>
        </w:rPr>
        <w:t xml:space="preserve"> </w:t>
      </w:r>
      <w:r w:rsidRPr="00275FBD">
        <w:rPr>
          <w:lang w:val="sl-SI"/>
        </w:rPr>
        <w:t xml:space="preserve">sisteme, </w:t>
      </w:r>
      <w:r w:rsidR="004E0430" w:rsidRPr="00275FBD">
        <w:rPr>
          <w:lang w:val="sl-SI"/>
        </w:rPr>
        <w:t>vzpostavljene</w:t>
      </w:r>
      <w:r w:rsidRPr="00275FBD">
        <w:rPr>
          <w:lang w:val="sl-SI"/>
        </w:rPr>
        <w:t xml:space="preserve"> v okviru programa nadgradnje varnosti (SUP). Vendar, kot je navedeno pod točko 2 zgoraj, ocena v </w:t>
      </w:r>
      <w:r w:rsidR="004E0430" w:rsidRPr="00275FBD">
        <w:rPr>
          <w:lang w:val="sl-SI"/>
        </w:rPr>
        <w:t xml:space="preserve">referenci </w:t>
      </w:r>
      <w:r w:rsidR="004E0430" w:rsidRPr="00275FBD">
        <w:rPr>
          <w:lang w:val="sl-SI"/>
        </w:rPr>
        <w:fldChar w:fldCharType="begin"/>
      </w:r>
      <w:r w:rsidR="004E0430" w:rsidRPr="00275FBD">
        <w:rPr>
          <w:lang w:val="sl-SI"/>
        </w:rPr>
        <w:instrText xml:space="preserve"> REF _Ref133229584 \r \h </w:instrText>
      </w:r>
      <w:r w:rsidR="004E0430" w:rsidRPr="00275FBD">
        <w:rPr>
          <w:lang w:val="sl-SI"/>
        </w:rPr>
      </w:r>
      <w:r w:rsidR="004E0430" w:rsidRPr="00275FBD">
        <w:rPr>
          <w:lang w:val="sl-SI"/>
        </w:rPr>
        <w:fldChar w:fldCharType="separate"/>
      </w:r>
      <w:r w:rsidR="00BA25CD">
        <w:rPr>
          <w:lang w:val="sl-SI"/>
        </w:rPr>
        <w:t>[4]</w:t>
      </w:r>
      <w:r w:rsidR="004E0430" w:rsidRPr="00275FBD">
        <w:rPr>
          <w:lang w:val="sl-SI"/>
        </w:rPr>
        <w:fldChar w:fldCharType="end"/>
      </w:r>
      <w:r w:rsidRPr="00275FBD">
        <w:rPr>
          <w:lang w:val="sl-SI"/>
        </w:rPr>
        <w:t xml:space="preserve"> teh ni mogla upoštevati. Upoštevani so </w:t>
      </w:r>
      <w:r w:rsidR="004E0430" w:rsidRPr="00275FBD">
        <w:rPr>
          <w:lang w:val="sl-SI"/>
        </w:rPr>
        <w:t>pa bili v re-evalvaciji narejeni pri PSR3</w:t>
      </w:r>
      <w:r w:rsidRPr="00275FBD">
        <w:rPr>
          <w:lang w:val="sl-SI"/>
        </w:rPr>
        <w:t>.) Dokler kater</w:t>
      </w:r>
      <w:r w:rsidR="004E0430" w:rsidRPr="00275FBD">
        <w:rPr>
          <w:lang w:val="sl-SI"/>
        </w:rPr>
        <w:t>i</w:t>
      </w:r>
      <w:r w:rsidRPr="00275FBD">
        <w:rPr>
          <w:lang w:val="sl-SI"/>
        </w:rPr>
        <w:t xml:space="preserve">koli od teh dodatnih LOD uspešno deluje, je sredica reaktorja varna, kot dokazujejo tehnične podlage za </w:t>
      </w:r>
      <w:r w:rsidR="004E0430" w:rsidRPr="00275FBD">
        <w:rPr>
          <w:lang w:val="sl-SI"/>
        </w:rPr>
        <w:t xml:space="preserve">NEK </w:t>
      </w:r>
      <w:r w:rsidRPr="00275FBD">
        <w:rPr>
          <w:lang w:val="sl-SI"/>
        </w:rPr>
        <w:t>EOP (</w:t>
      </w:r>
      <w:r w:rsidR="004E0430" w:rsidRPr="00275FBD">
        <w:rPr>
          <w:lang w:val="sl-SI"/>
        </w:rPr>
        <w:t>oziroma</w:t>
      </w:r>
      <w:r w:rsidRPr="00275FBD">
        <w:rPr>
          <w:lang w:val="sl-SI"/>
        </w:rPr>
        <w:t xml:space="preserve"> analize DEC, izvedene v podporo SUP).</w:t>
      </w:r>
    </w:p>
    <w:p w14:paraId="46E7B819" w14:textId="412AF052" w:rsidR="008479AA" w:rsidRPr="00B607C0" w:rsidRDefault="008479AA" w:rsidP="008479AA">
      <w:pPr>
        <w:numPr>
          <w:ilvl w:val="0"/>
          <w:numId w:val="15"/>
        </w:numPr>
        <w:rPr>
          <w:lang w:val="sl-SI"/>
        </w:rPr>
      </w:pPr>
      <w:r w:rsidRPr="00275FBD">
        <w:rPr>
          <w:i/>
          <w:iCs/>
          <w:lang w:val="sl-SI"/>
        </w:rPr>
        <w:t>Točka 4</w:t>
      </w:r>
      <w:r w:rsidRPr="00275FBD">
        <w:rPr>
          <w:lang w:val="sl-SI"/>
        </w:rPr>
        <w:t xml:space="preserve">: Stanje, v katerem so po </w:t>
      </w:r>
      <w:r w:rsidR="009B3344" w:rsidRPr="00275FBD">
        <w:rPr>
          <w:iCs/>
          <w:lang w:val="sl-SI"/>
        </w:rPr>
        <w:t>začetne</w:t>
      </w:r>
      <w:r w:rsidR="009B3344">
        <w:rPr>
          <w:iCs/>
          <w:lang w:val="sl-SI"/>
        </w:rPr>
        <w:t>m</w:t>
      </w:r>
      <w:r w:rsidR="009B3344" w:rsidRPr="00275FBD">
        <w:rPr>
          <w:iCs/>
          <w:lang w:val="sl-SI"/>
        </w:rPr>
        <w:t xml:space="preserve"> dogodk</w:t>
      </w:r>
      <w:r w:rsidR="009B3344">
        <w:rPr>
          <w:iCs/>
          <w:lang w:val="sl-SI"/>
        </w:rPr>
        <w:t>u</w:t>
      </w:r>
      <w:r w:rsidR="009B3344" w:rsidRPr="00275FBD" w:rsidDel="009B3344">
        <w:rPr>
          <w:lang w:val="sl-SI"/>
        </w:rPr>
        <w:t xml:space="preserve"> </w:t>
      </w:r>
      <w:r w:rsidRPr="00275FBD">
        <w:rPr>
          <w:lang w:val="sl-SI"/>
        </w:rPr>
        <w:t xml:space="preserve">vsi LOD znotraj projektne osnove in vsi dodatni LOD odpovedali. Ta pogoj povzroči poškodbo sredice </w:t>
      </w:r>
      <w:r w:rsidRPr="00B607C0">
        <w:rPr>
          <w:lang w:val="sl-SI"/>
        </w:rPr>
        <w:t>reaktorja.</w:t>
      </w:r>
    </w:p>
    <w:p w14:paraId="0E77A9EB" w14:textId="02EAB3BB" w:rsidR="008479AA" w:rsidRPr="00B607C0" w:rsidRDefault="008479AA" w:rsidP="008479AA">
      <w:pPr>
        <w:numPr>
          <w:ilvl w:val="0"/>
          <w:numId w:val="15"/>
        </w:numPr>
        <w:rPr>
          <w:lang w:val="sl-SI"/>
        </w:rPr>
      </w:pPr>
      <w:r w:rsidRPr="00B607C0">
        <w:rPr>
          <w:i/>
          <w:iCs/>
          <w:lang w:val="sl-SI"/>
        </w:rPr>
        <w:t>Točki 5 in 6</w:t>
      </w:r>
      <w:r w:rsidRPr="00B607C0">
        <w:rPr>
          <w:lang w:val="sl-SI"/>
        </w:rPr>
        <w:t xml:space="preserve">: Stanje, ko se je poškodba reaktorske sredice razvila v dogodek z zgodnjim oziroma poznim izpustom radioaktivnosti. Ta dva pogoja se štejeta za medsebojno izključujoča, kar je tudi prikazano na </w:t>
      </w:r>
      <w:r w:rsidR="006C056E" w:rsidRPr="00B607C0">
        <w:rPr>
          <w:lang w:val="sl-SI"/>
        </w:rPr>
        <w:t xml:space="preserve">spodnji </w:t>
      </w:r>
      <w:r w:rsidRPr="00B607C0">
        <w:rPr>
          <w:lang w:val="sl-SI"/>
        </w:rPr>
        <w:t xml:space="preserve">sliki </w:t>
      </w:r>
      <w:r w:rsidR="006C056E" w:rsidRPr="00B607C0">
        <w:rPr>
          <w:lang w:val="sl-SI"/>
        </w:rPr>
        <w:t>(</w:t>
      </w:r>
      <w:r w:rsidR="006C056E" w:rsidRPr="00B607C0">
        <w:rPr>
          <w:lang w:val="sl-SI"/>
        </w:rPr>
        <w:fldChar w:fldCharType="begin"/>
      </w:r>
      <w:r w:rsidR="006C056E" w:rsidRPr="00B607C0">
        <w:rPr>
          <w:lang w:val="sl-SI"/>
        </w:rPr>
        <w:instrText xml:space="preserve"> REF _Ref138354514 \h </w:instrText>
      </w:r>
      <w:r w:rsidR="00B607C0">
        <w:rPr>
          <w:lang w:val="sl-SI"/>
        </w:rPr>
        <w:instrText xml:space="preserve"> \* MERGEFORMAT </w:instrText>
      </w:r>
      <w:r w:rsidR="006C056E" w:rsidRPr="00B607C0">
        <w:rPr>
          <w:lang w:val="sl-SI"/>
        </w:rPr>
      </w:r>
      <w:r w:rsidR="006C056E" w:rsidRPr="00B607C0">
        <w:rPr>
          <w:lang w:val="sl-SI"/>
        </w:rPr>
        <w:fldChar w:fldCharType="separate"/>
      </w:r>
      <w:r w:rsidR="00BA25CD" w:rsidRPr="00275FBD">
        <w:rPr>
          <w:lang w:val="sl-SI"/>
        </w:rPr>
        <w:t xml:space="preserve">Slika </w:t>
      </w:r>
      <w:r w:rsidR="00BA25CD">
        <w:rPr>
          <w:lang w:val="sl-SI"/>
        </w:rPr>
        <w:t>5</w:t>
      </w:r>
      <w:r w:rsidR="00BA25CD" w:rsidRPr="00275FBD">
        <w:rPr>
          <w:lang w:val="sl-SI"/>
        </w:rPr>
        <w:noBreakHyphen/>
      </w:r>
      <w:r w:rsidR="00BA25CD">
        <w:rPr>
          <w:lang w:val="sl-SI"/>
        </w:rPr>
        <w:t>1</w:t>
      </w:r>
      <w:r w:rsidR="006C056E" w:rsidRPr="00B607C0">
        <w:rPr>
          <w:lang w:val="sl-SI"/>
        </w:rPr>
        <w:fldChar w:fldCharType="end"/>
      </w:r>
      <w:r w:rsidR="006C056E" w:rsidRPr="00B607C0">
        <w:rPr>
          <w:lang w:val="sl-SI"/>
        </w:rPr>
        <w:t>)</w:t>
      </w:r>
      <w:r w:rsidRPr="00B607C0">
        <w:rPr>
          <w:lang w:val="sl-SI"/>
        </w:rPr>
        <w:t xml:space="preserve">: če je prišlo do </w:t>
      </w:r>
      <w:r w:rsidR="006C056E" w:rsidRPr="00B607C0">
        <w:rPr>
          <w:lang w:val="sl-SI"/>
        </w:rPr>
        <w:t>zgodnje</w:t>
      </w:r>
      <w:r w:rsidR="00776A62" w:rsidRPr="00B607C0">
        <w:rPr>
          <w:lang w:val="sl-SI"/>
        </w:rPr>
        <w:t>ga</w:t>
      </w:r>
      <w:r w:rsidRPr="00B607C0">
        <w:rPr>
          <w:lang w:val="sl-SI"/>
        </w:rPr>
        <w:t xml:space="preserve"> </w:t>
      </w:r>
      <w:r w:rsidR="00776A62" w:rsidRPr="00B607C0">
        <w:rPr>
          <w:lang w:val="sl-SI"/>
        </w:rPr>
        <w:t>izpusta</w:t>
      </w:r>
      <w:r w:rsidRPr="00B607C0">
        <w:rPr>
          <w:lang w:val="sl-SI"/>
        </w:rPr>
        <w:t>, potem morebit</w:t>
      </w:r>
      <w:r w:rsidR="00776A62" w:rsidRPr="00B607C0">
        <w:rPr>
          <w:lang w:val="sl-SI"/>
        </w:rPr>
        <w:t>en</w:t>
      </w:r>
      <w:r w:rsidRPr="00B607C0">
        <w:rPr>
          <w:lang w:val="sl-SI"/>
        </w:rPr>
        <w:t xml:space="preserve"> poz</w:t>
      </w:r>
      <w:r w:rsidR="00776A62" w:rsidRPr="00B607C0">
        <w:rPr>
          <w:lang w:val="sl-SI"/>
        </w:rPr>
        <w:t>en</w:t>
      </w:r>
      <w:r w:rsidRPr="00B607C0">
        <w:rPr>
          <w:lang w:val="sl-SI"/>
        </w:rPr>
        <w:t xml:space="preserve"> </w:t>
      </w:r>
      <w:r w:rsidR="00776A62" w:rsidRPr="00B607C0">
        <w:rPr>
          <w:lang w:val="sl-SI"/>
        </w:rPr>
        <w:t xml:space="preserve">izpust </w:t>
      </w:r>
      <w:r w:rsidRPr="00B607C0">
        <w:rPr>
          <w:lang w:val="sl-SI"/>
        </w:rPr>
        <w:t>ni več pomemb</w:t>
      </w:r>
      <w:r w:rsidR="00776A62" w:rsidRPr="00B607C0">
        <w:rPr>
          <w:lang w:val="sl-SI"/>
        </w:rPr>
        <w:t>en</w:t>
      </w:r>
      <w:r w:rsidRPr="00B607C0">
        <w:rPr>
          <w:lang w:val="sl-SI"/>
        </w:rPr>
        <w:t>; če je po drugi strani izpust</w:t>
      </w:r>
      <w:r w:rsidR="00776A62" w:rsidRPr="00B607C0">
        <w:rPr>
          <w:lang w:val="sl-SI"/>
        </w:rPr>
        <w:t xml:space="preserve"> bil</w:t>
      </w:r>
      <w:r w:rsidRPr="00B607C0">
        <w:rPr>
          <w:lang w:val="sl-SI"/>
        </w:rPr>
        <w:t xml:space="preserve"> poz</w:t>
      </w:r>
      <w:r w:rsidR="00776A62" w:rsidRPr="00B607C0">
        <w:rPr>
          <w:lang w:val="sl-SI"/>
        </w:rPr>
        <w:t>en</w:t>
      </w:r>
      <w:r w:rsidRPr="00B607C0">
        <w:rPr>
          <w:lang w:val="sl-SI"/>
        </w:rPr>
        <w:t xml:space="preserve">, potem </w:t>
      </w:r>
      <w:r w:rsidR="006C056E" w:rsidRPr="00B607C0">
        <w:rPr>
          <w:lang w:val="sl-SI"/>
        </w:rPr>
        <w:t xml:space="preserve">pa </w:t>
      </w:r>
      <w:r w:rsidRPr="00B607C0">
        <w:rPr>
          <w:lang w:val="sl-SI"/>
        </w:rPr>
        <w:t xml:space="preserve">po definiciji </w:t>
      </w:r>
      <w:r w:rsidR="00776A62" w:rsidRPr="00B607C0">
        <w:rPr>
          <w:lang w:val="sl-SI"/>
        </w:rPr>
        <w:t xml:space="preserve">pred tem ni </w:t>
      </w:r>
      <w:r w:rsidRPr="00B607C0">
        <w:rPr>
          <w:lang w:val="sl-SI"/>
        </w:rPr>
        <w:t xml:space="preserve">prišlo do </w:t>
      </w:r>
      <w:r w:rsidR="006C056E" w:rsidRPr="00B607C0">
        <w:rPr>
          <w:lang w:val="sl-SI"/>
        </w:rPr>
        <w:t>zgodnje</w:t>
      </w:r>
      <w:r w:rsidR="00776A62" w:rsidRPr="00B607C0">
        <w:rPr>
          <w:lang w:val="sl-SI"/>
        </w:rPr>
        <w:t>ga</w:t>
      </w:r>
      <w:r w:rsidRPr="00B607C0">
        <w:rPr>
          <w:lang w:val="sl-SI"/>
        </w:rPr>
        <w:t xml:space="preserve"> izpust</w:t>
      </w:r>
      <w:r w:rsidR="00776A62" w:rsidRPr="00B607C0">
        <w:rPr>
          <w:lang w:val="sl-SI"/>
        </w:rPr>
        <w:t>a</w:t>
      </w:r>
      <w:r w:rsidRPr="00B607C0">
        <w:rPr>
          <w:lang w:val="sl-SI"/>
        </w:rPr>
        <w:t>.</w:t>
      </w:r>
    </w:p>
    <w:p w14:paraId="10302A2F" w14:textId="77777777" w:rsidR="00B853FC" w:rsidRPr="00275FBD" w:rsidRDefault="00B853FC" w:rsidP="00ED1A59">
      <w:pPr>
        <w:rPr>
          <w:lang w:val="sl-SI"/>
        </w:rPr>
      </w:pPr>
    </w:p>
    <w:p w14:paraId="7CB6B0AE" w14:textId="211635F8" w:rsidR="00364E55" w:rsidRPr="00275FBD" w:rsidRDefault="00364E55" w:rsidP="00364E55">
      <w:pPr>
        <w:rPr>
          <w:lang w:val="sl-SI"/>
        </w:rPr>
      </w:pPr>
      <w:r w:rsidRPr="00275FBD">
        <w:rPr>
          <w:lang w:val="sl-SI"/>
        </w:rPr>
        <w:t xml:space="preserve">Na podlagi načel iz </w:t>
      </w:r>
      <w:r w:rsidRPr="00275FBD">
        <w:rPr>
          <w:lang w:val="sl-SI"/>
        </w:rPr>
        <w:fldChar w:fldCharType="begin"/>
      </w:r>
      <w:r w:rsidRPr="00275FBD">
        <w:rPr>
          <w:lang w:val="sl-SI"/>
        </w:rPr>
        <w:instrText xml:space="preserve"> REF _Ref133222751 \r \h </w:instrText>
      </w:r>
      <w:r w:rsidRPr="00275FBD">
        <w:rPr>
          <w:lang w:val="sl-SI"/>
        </w:rPr>
      </w:r>
      <w:r w:rsidRPr="00275FBD">
        <w:rPr>
          <w:lang w:val="sl-SI"/>
        </w:rPr>
        <w:fldChar w:fldCharType="separate"/>
      </w:r>
      <w:r w:rsidR="00BA25CD">
        <w:rPr>
          <w:lang w:val="sl-SI"/>
        </w:rPr>
        <w:t>[1]</w:t>
      </w:r>
      <w:r w:rsidRPr="00275FBD">
        <w:rPr>
          <w:lang w:val="sl-SI"/>
        </w:rPr>
        <w:fldChar w:fldCharType="end"/>
      </w:r>
      <w:r w:rsidRPr="00275FBD">
        <w:rPr>
          <w:lang w:val="sl-SI"/>
        </w:rPr>
        <w:t xml:space="preserve"> in ob upoštevanju zgornje razprave so bile opredeljene štiri </w:t>
      </w:r>
      <w:r w:rsidR="00776A62">
        <w:rPr>
          <w:lang w:val="sl-SI"/>
        </w:rPr>
        <w:t xml:space="preserve">vrste </w:t>
      </w:r>
      <w:r w:rsidRPr="00275FBD">
        <w:rPr>
          <w:lang w:val="sl-SI"/>
        </w:rPr>
        <w:t>posledic, glede na katere je bilo izvedeno štetje LOD za oceno stanja varnosti elektrarne. To so:</w:t>
      </w:r>
    </w:p>
    <w:p w14:paraId="07A51134" w14:textId="7A0BFB18" w:rsidR="00364E55" w:rsidRPr="00275FBD" w:rsidRDefault="00364E55" w:rsidP="00364E55">
      <w:pPr>
        <w:ind w:left="709" w:hanging="709"/>
        <w:rPr>
          <w:lang w:val="sl-SI"/>
        </w:rPr>
      </w:pPr>
      <w:r w:rsidRPr="00275FBD">
        <w:rPr>
          <w:lang w:val="sl-SI"/>
        </w:rPr>
        <w:t>1.</w:t>
      </w:r>
      <w:r w:rsidRPr="00275FBD">
        <w:rPr>
          <w:lang w:val="sl-SI"/>
        </w:rPr>
        <w:tab/>
        <w:t xml:space="preserve">Pogoj, ko so po </w:t>
      </w:r>
      <w:r w:rsidR="009B3344" w:rsidRPr="00275FBD">
        <w:rPr>
          <w:iCs/>
          <w:lang w:val="sl-SI"/>
        </w:rPr>
        <w:t>začetne</w:t>
      </w:r>
      <w:r w:rsidR="009B3344">
        <w:rPr>
          <w:iCs/>
          <w:lang w:val="sl-SI"/>
        </w:rPr>
        <w:t>m</w:t>
      </w:r>
      <w:r w:rsidR="009B3344" w:rsidRPr="00275FBD">
        <w:rPr>
          <w:iCs/>
          <w:lang w:val="sl-SI"/>
        </w:rPr>
        <w:t xml:space="preserve"> dogodk</w:t>
      </w:r>
      <w:r w:rsidR="009B3344">
        <w:rPr>
          <w:iCs/>
          <w:lang w:val="sl-SI"/>
        </w:rPr>
        <w:t>u</w:t>
      </w:r>
      <w:r w:rsidR="009B3344" w:rsidRPr="00275FBD" w:rsidDel="009B3344">
        <w:rPr>
          <w:lang w:val="sl-SI"/>
        </w:rPr>
        <w:t xml:space="preserve"> </w:t>
      </w:r>
      <w:r w:rsidRPr="00275FBD">
        <w:rPr>
          <w:lang w:val="sl-SI"/>
        </w:rPr>
        <w:t xml:space="preserve">odpovedali vsi LOD, razen zadnjega. Ta pogoj </w:t>
      </w:r>
      <w:r w:rsidR="00776A62">
        <w:rPr>
          <w:lang w:val="sl-SI"/>
        </w:rPr>
        <w:t>poimenujemo</w:t>
      </w:r>
      <w:r w:rsidRPr="00275FBD">
        <w:rPr>
          <w:lang w:val="sl-SI"/>
        </w:rPr>
        <w:t xml:space="preserve"> "ostane le ena obrambna linija".</w:t>
      </w:r>
    </w:p>
    <w:p w14:paraId="6291B375" w14:textId="651EFB34" w:rsidR="00364E55" w:rsidRPr="00275FBD" w:rsidRDefault="00364E55" w:rsidP="00364E55">
      <w:pPr>
        <w:ind w:left="709" w:hanging="709"/>
        <w:rPr>
          <w:lang w:val="sl-SI"/>
        </w:rPr>
      </w:pPr>
      <w:r w:rsidRPr="00275FBD">
        <w:rPr>
          <w:lang w:val="sl-SI"/>
        </w:rPr>
        <w:t>2.</w:t>
      </w:r>
      <w:r w:rsidRPr="00275FBD">
        <w:rPr>
          <w:lang w:val="sl-SI"/>
        </w:rPr>
        <w:tab/>
        <w:t>Stanje poškodbe sredice. Ustreza točki 4 na spodnji sliki (</w:t>
      </w:r>
      <w:r w:rsidRPr="00275FBD">
        <w:rPr>
          <w:lang w:val="sl-SI"/>
        </w:rPr>
        <w:fldChar w:fldCharType="begin"/>
      </w:r>
      <w:r w:rsidRPr="00275FBD">
        <w:rPr>
          <w:lang w:val="sl-SI"/>
        </w:rPr>
        <w:instrText xml:space="preserve"> REF _Ref138354514 \h </w:instrText>
      </w:r>
      <w:r w:rsidRPr="00275FBD">
        <w:rPr>
          <w:lang w:val="sl-SI"/>
        </w:rPr>
      </w:r>
      <w:r w:rsidRPr="00275FBD">
        <w:rPr>
          <w:lang w:val="sl-SI"/>
        </w:rPr>
        <w:fldChar w:fldCharType="separate"/>
      </w:r>
      <w:r w:rsidR="00BA25CD" w:rsidRPr="00275FBD">
        <w:rPr>
          <w:lang w:val="sl-SI"/>
        </w:rPr>
        <w:t xml:space="preserve">Slika </w:t>
      </w:r>
      <w:r w:rsidR="00BA25CD">
        <w:rPr>
          <w:noProof/>
          <w:lang w:val="sl-SI"/>
        </w:rPr>
        <w:t>5</w:t>
      </w:r>
      <w:r w:rsidR="00BA25CD" w:rsidRPr="00275FBD">
        <w:rPr>
          <w:lang w:val="sl-SI"/>
        </w:rPr>
        <w:noBreakHyphen/>
      </w:r>
      <w:r w:rsidR="00BA25CD">
        <w:rPr>
          <w:noProof/>
          <w:lang w:val="sl-SI"/>
        </w:rPr>
        <w:t>1</w:t>
      </w:r>
      <w:r w:rsidRPr="00275FBD">
        <w:rPr>
          <w:lang w:val="sl-SI"/>
        </w:rPr>
        <w:fldChar w:fldCharType="end"/>
      </w:r>
      <w:r w:rsidRPr="00275FBD">
        <w:rPr>
          <w:lang w:val="sl-SI"/>
        </w:rPr>
        <w:t>).</w:t>
      </w:r>
    </w:p>
    <w:p w14:paraId="0A9E78DB" w14:textId="36A6CE1E" w:rsidR="00364E55" w:rsidRPr="00275FBD" w:rsidRDefault="00364E55" w:rsidP="00364E55">
      <w:pPr>
        <w:ind w:left="709" w:hanging="709"/>
        <w:rPr>
          <w:lang w:val="sl-SI"/>
        </w:rPr>
      </w:pPr>
      <w:r w:rsidRPr="00275FBD">
        <w:rPr>
          <w:lang w:val="sl-SI"/>
        </w:rPr>
        <w:t>3.</w:t>
      </w:r>
      <w:r w:rsidRPr="00275FBD">
        <w:rPr>
          <w:lang w:val="sl-SI"/>
        </w:rPr>
        <w:tab/>
        <w:t>Stanje poškodb sredice s pozno odpovedjo zadrževalnega hrama. Ustreza točki 6 na spodnji sliki (</w:t>
      </w:r>
      <w:r w:rsidRPr="00275FBD">
        <w:rPr>
          <w:lang w:val="sl-SI"/>
        </w:rPr>
        <w:fldChar w:fldCharType="begin"/>
      </w:r>
      <w:r w:rsidRPr="00275FBD">
        <w:rPr>
          <w:lang w:val="sl-SI"/>
        </w:rPr>
        <w:instrText xml:space="preserve"> REF _Ref138354514 \h </w:instrText>
      </w:r>
      <w:r w:rsidRPr="00275FBD">
        <w:rPr>
          <w:lang w:val="sl-SI"/>
        </w:rPr>
      </w:r>
      <w:r w:rsidRPr="00275FBD">
        <w:rPr>
          <w:lang w:val="sl-SI"/>
        </w:rPr>
        <w:fldChar w:fldCharType="separate"/>
      </w:r>
      <w:r w:rsidR="00BA25CD" w:rsidRPr="00275FBD">
        <w:rPr>
          <w:lang w:val="sl-SI"/>
        </w:rPr>
        <w:t xml:space="preserve">Slika </w:t>
      </w:r>
      <w:r w:rsidR="00BA25CD">
        <w:rPr>
          <w:noProof/>
          <w:lang w:val="sl-SI"/>
        </w:rPr>
        <w:t>5</w:t>
      </w:r>
      <w:r w:rsidR="00BA25CD" w:rsidRPr="00275FBD">
        <w:rPr>
          <w:lang w:val="sl-SI"/>
        </w:rPr>
        <w:noBreakHyphen/>
      </w:r>
      <w:r w:rsidR="00BA25CD">
        <w:rPr>
          <w:noProof/>
          <w:lang w:val="sl-SI"/>
        </w:rPr>
        <w:t>1</w:t>
      </w:r>
      <w:r w:rsidRPr="00275FBD">
        <w:rPr>
          <w:lang w:val="sl-SI"/>
        </w:rPr>
        <w:fldChar w:fldCharType="end"/>
      </w:r>
      <w:r w:rsidRPr="00275FBD">
        <w:rPr>
          <w:lang w:val="sl-SI"/>
        </w:rPr>
        <w:t>) (pozni izpust).</w:t>
      </w:r>
    </w:p>
    <w:p w14:paraId="7C8F2BDE" w14:textId="567046A3" w:rsidR="00364E55" w:rsidRPr="00275FBD" w:rsidRDefault="00364E55" w:rsidP="00364E55">
      <w:pPr>
        <w:ind w:left="709"/>
        <w:rPr>
          <w:lang w:val="sl-SI"/>
        </w:rPr>
      </w:pPr>
      <w:r w:rsidRPr="00275FBD">
        <w:rPr>
          <w:lang w:val="sl-SI"/>
        </w:rPr>
        <w:t xml:space="preserve">Opomba: ta posledica v kontekstu PSR3 v bistvu pomeni "poškodbo sredice s filtriranim izpustom" (zaradi vgradnje PCFV in PAR). Izraz "pozna odpoved zadrževalnega hrama" (čeprav v bistvu pomeni "filtriran izpust") je bil ohranjen </w:t>
      </w:r>
      <w:r w:rsidRPr="00275FBD">
        <w:rPr>
          <w:lang w:val="sl-SI"/>
        </w:rPr>
        <w:lastRenderedPageBreak/>
        <w:t>zaradi primerjave s PSR2. Upoštevati je treba, da "filtriran izpust" v primerjavi s "pozno odpovedjo zadrževalnega hrama" (v kontekstu PSR2) pomeni veliko manjše izpuste radioaktivnosti v okolje.</w:t>
      </w:r>
    </w:p>
    <w:p w14:paraId="5DACC062" w14:textId="41AD047C" w:rsidR="00ED1A59" w:rsidRPr="00275FBD" w:rsidRDefault="00364E55" w:rsidP="009D74A0">
      <w:pPr>
        <w:ind w:left="709" w:hanging="709"/>
        <w:rPr>
          <w:lang w:val="sl-SI"/>
        </w:rPr>
      </w:pPr>
      <w:r w:rsidRPr="00275FBD">
        <w:rPr>
          <w:lang w:val="sl-SI"/>
        </w:rPr>
        <w:t>4.</w:t>
      </w:r>
      <w:r w:rsidR="009D74A0" w:rsidRPr="00275FBD">
        <w:rPr>
          <w:lang w:val="sl-SI"/>
        </w:rPr>
        <w:tab/>
      </w:r>
      <w:r w:rsidRPr="00275FBD">
        <w:rPr>
          <w:lang w:val="sl-SI"/>
        </w:rPr>
        <w:t>Stanje poškodb</w:t>
      </w:r>
      <w:r w:rsidR="009D74A0" w:rsidRPr="00275FBD">
        <w:rPr>
          <w:lang w:val="sl-SI"/>
        </w:rPr>
        <w:t>e</w:t>
      </w:r>
      <w:r w:rsidRPr="00275FBD">
        <w:rPr>
          <w:lang w:val="sl-SI"/>
        </w:rPr>
        <w:t xml:space="preserve"> sredice z zgodnjo odpovedjo zadrževalnega hrama (ali </w:t>
      </w:r>
      <w:r w:rsidR="00EE579D">
        <w:rPr>
          <w:lang w:val="sl-SI"/>
        </w:rPr>
        <w:t>z</w:t>
      </w:r>
      <w:r w:rsidR="00EE579D" w:rsidRPr="00275FBD">
        <w:rPr>
          <w:lang w:val="sl-SI"/>
        </w:rPr>
        <w:t xml:space="preserve"> </w:t>
      </w:r>
      <w:r w:rsidRPr="00275FBD">
        <w:rPr>
          <w:lang w:val="sl-SI"/>
        </w:rPr>
        <w:t>obvod</w:t>
      </w:r>
      <w:r w:rsidR="00EE579D">
        <w:rPr>
          <w:lang w:val="sl-SI"/>
        </w:rPr>
        <w:t xml:space="preserve">om </w:t>
      </w:r>
      <w:r w:rsidR="00EE579D" w:rsidRPr="00275FBD">
        <w:rPr>
          <w:lang w:val="sl-SI"/>
        </w:rPr>
        <w:t>zadrževalnega hrama</w:t>
      </w:r>
      <w:r w:rsidRPr="00275FBD">
        <w:rPr>
          <w:lang w:val="sl-SI"/>
        </w:rPr>
        <w:t xml:space="preserve">). Ustreza točki 5 na </w:t>
      </w:r>
      <w:r w:rsidR="009D74A0" w:rsidRPr="00275FBD">
        <w:rPr>
          <w:lang w:val="sl-SI"/>
        </w:rPr>
        <w:t xml:space="preserve">spodnji </w:t>
      </w:r>
      <w:r w:rsidRPr="00275FBD">
        <w:rPr>
          <w:lang w:val="sl-SI"/>
        </w:rPr>
        <w:t xml:space="preserve">sliki </w:t>
      </w:r>
      <w:r w:rsidR="009D74A0" w:rsidRPr="00275FBD">
        <w:rPr>
          <w:lang w:val="sl-SI"/>
        </w:rPr>
        <w:t>(</w:t>
      </w:r>
      <w:r w:rsidR="009D74A0" w:rsidRPr="00275FBD">
        <w:rPr>
          <w:lang w:val="sl-SI"/>
        </w:rPr>
        <w:fldChar w:fldCharType="begin"/>
      </w:r>
      <w:r w:rsidR="009D74A0" w:rsidRPr="00275FBD">
        <w:rPr>
          <w:lang w:val="sl-SI"/>
        </w:rPr>
        <w:instrText xml:space="preserve"> REF _Ref138354514 \h </w:instrText>
      </w:r>
      <w:r w:rsidR="009D74A0" w:rsidRPr="00275FBD">
        <w:rPr>
          <w:lang w:val="sl-SI"/>
        </w:rPr>
      </w:r>
      <w:r w:rsidR="009D74A0" w:rsidRPr="00275FBD">
        <w:rPr>
          <w:lang w:val="sl-SI"/>
        </w:rPr>
        <w:fldChar w:fldCharType="separate"/>
      </w:r>
      <w:r w:rsidR="00BA25CD" w:rsidRPr="00275FBD">
        <w:rPr>
          <w:lang w:val="sl-SI"/>
        </w:rPr>
        <w:t xml:space="preserve">Slika </w:t>
      </w:r>
      <w:r w:rsidR="00BA25CD">
        <w:rPr>
          <w:noProof/>
          <w:lang w:val="sl-SI"/>
        </w:rPr>
        <w:t>5</w:t>
      </w:r>
      <w:r w:rsidR="00BA25CD" w:rsidRPr="00275FBD">
        <w:rPr>
          <w:lang w:val="sl-SI"/>
        </w:rPr>
        <w:noBreakHyphen/>
      </w:r>
      <w:r w:rsidR="00BA25CD">
        <w:rPr>
          <w:noProof/>
          <w:lang w:val="sl-SI"/>
        </w:rPr>
        <w:t>1</w:t>
      </w:r>
      <w:r w:rsidR="009D74A0" w:rsidRPr="00275FBD">
        <w:rPr>
          <w:lang w:val="sl-SI"/>
        </w:rPr>
        <w:fldChar w:fldCharType="end"/>
      </w:r>
      <w:r w:rsidR="009D74A0" w:rsidRPr="00275FBD">
        <w:rPr>
          <w:lang w:val="sl-SI"/>
        </w:rPr>
        <w:t>)</w:t>
      </w:r>
      <w:r w:rsidRPr="00275FBD">
        <w:rPr>
          <w:lang w:val="sl-SI"/>
        </w:rPr>
        <w:t>.</w:t>
      </w:r>
    </w:p>
    <w:p w14:paraId="77F4C81C" w14:textId="77777777" w:rsidR="00364E55" w:rsidRDefault="00364E55" w:rsidP="00ED1A59">
      <w:pPr>
        <w:rPr>
          <w:lang w:val="sl-SI"/>
        </w:rPr>
      </w:pPr>
    </w:p>
    <w:p w14:paraId="3779CA0F" w14:textId="0D85626B" w:rsidR="005A5117" w:rsidRDefault="005A5117" w:rsidP="00ED1A59">
      <w:pPr>
        <w:rPr>
          <w:lang w:val="sl-SI"/>
        </w:rPr>
      </w:pPr>
      <w:r w:rsidRPr="006348C7">
        <w:rPr>
          <w:noProof/>
        </w:rPr>
        <w:drawing>
          <wp:inline distT="0" distB="0" distL="0" distR="0" wp14:anchorId="511D6BA0" wp14:editId="284DD6A3">
            <wp:extent cx="5760720" cy="5555615"/>
            <wp:effectExtent l="0" t="0" r="0" b="6985"/>
            <wp:docPr id="91669857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698570" name="Picture 2">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720" cy="5555615"/>
                    </a:xfrm>
                    <a:prstGeom prst="rect">
                      <a:avLst/>
                    </a:prstGeom>
                    <a:noFill/>
                    <a:ln>
                      <a:noFill/>
                    </a:ln>
                  </pic:spPr>
                </pic:pic>
              </a:graphicData>
            </a:graphic>
          </wp:inline>
        </w:drawing>
      </w:r>
    </w:p>
    <w:p w14:paraId="2785CE6E" w14:textId="77777777" w:rsidR="005A5117" w:rsidRPr="00275FBD" w:rsidRDefault="005A5117" w:rsidP="00ED1A59">
      <w:pPr>
        <w:rPr>
          <w:lang w:val="sl-SI"/>
        </w:rPr>
      </w:pPr>
    </w:p>
    <w:p w14:paraId="7064DD84" w14:textId="2EEFE988" w:rsidR="00992149" w:rsidRPr="00275FBD" w:rsidRDefault="00992149" w:rsidP="00992149">
      <w:pPr>
        <w:pStyle w:val="Napis"/>
        <w:rPr>
          <w:lang w:val="sl-SI"/>
        </w:rPr>
      </w:pPr>
      <w:bookmarkStart w:id="69" w:name="_Ref138354514"/>
      <w:bookmarkStart w:id="70" w:name="_Toc163197454"/>
      <w:r w:rsidRPr="00275FBD">
        <w:rPr>
          <w:lang w:val="sl-SI"/>
        </w:rPr>
        <w:t xml:space="preserve">Slika </w:t>
      </w:r>
      <w:r w:rsidR="000A2C1E" w:rsidRPr="00275FBD">
        <w:rPr>
          <w:lang w:val="sl-SI"/>
        </w:rPr>
        <w:fldChar w:fldCharType="begin"/>
      </w:r>
      <w:r w:rsidR="000A2C1E" w:rsidRPr="00275FBD">
        <w:rPr>
          <w:lang w:val="sl-SI"/>
        </w:rPr>
        <w:instrText xml:space="preserve"> STYLEREF 1 \s </w:instrText>
      </w:r>
      <w:r w:rsidR="000A2C1E" w:rsidRPr="00275FBD">
        <w:rPr>
          <w:lang w:val="sl-SI"/>
        </w:rPr>
        <w:fldChar w:fldCharType="separate"/>
      </w:r>
      <w:r w:rsidR="00BA25CD">
        <w:rPr>
          <w:noProof/>
          <w:lang w:val="sl-SI"/>
        </w:rPr>
        <w:t>5</w:t>
      </w:r>
      <w:r w:rsidR="000A2C1E" w:rsidRPr="00275FBD">
        <w:rPr>
          <w:lang w:val="sl-SI"/>
        </w:rPr>
        <w:fldChar w:fldCharType="end"/>
      </w:r>
      <w:r w:rsidR="000A2C1E" w:rsidRPr="00275FBD">
        <w:rPr>
          <w:lang w:val="sl-SI"/>
        </w:rPr>
        <w:noBreakHyphen/>
      </w:r>
      <w:r w:rsidR="000A2C1E" w:rsidRPr="00275FBD">
        <w:rPr>
          <w:lang w:val="sl-SI"/>
        </w:rPr>
        <w:fldChar w:fldCharType="begin"/>
      </w:r>
      <w:r w:rsidR="000A2C1E" w:rsidRPr="00275FBD">
        <w:rPr>
          <w:lang w:val="sl-SI"/>
        </w:rPr>
        <w:instrText xml:space="preserve"> SEQ Slika \* ARABIC \s 1 </w:instrText>
      </w:r>
      <w:r w:rsidR="000A2C1E" w:rsidRPr="00275FBD">
        <w:rPr>
          <w:lang w:val="sl-SI"/>
        </w:rPr>
        <w:fldChar w:fldCharType="separate"/>
      </w:r>
      <w:r w:rsidR="00BA25CD">
        <w:rPr>
          <w:noProof/>
          <w:lang w:val="sl-SI"/>
        </w:rPr>
        <w:t>1</w:t>
      </w:r>
      <w:r w:rsidR="000A2C1E" w:rsidRPr="00275FBD">
        <w:rPr>
          <w:lang w:val="sl-SI"/>
        </w:rPr>
        <w:fldChar w:fldCharType="end"/>
      </w:r>
      <w:bookmarkEnd w:id="69"/>
      <w:r w:rsidRPr="00275FBD">
        <w:rPr>
          <w:lang w:val="sl-SI"/>
        </w:rPr>
        <w:t>: Koncept štetja obrambnih linij</w:t>
      </w:r>
      <w:bookmarkEnd w:id="70"/>
    </w:p>
    <w:p w14:paraId="2D4B7D20" w14:textId="43E050D5" w:rsidR="00ED1A59" w:rsidRPr="00275FBD" w:rsidRDefault="00ED1A59" w:rsidP="00ED1A59">
      <w:pPr>
        <w:rPr>
          <w:lang w:val="sl-SI"/>
        </w:rPr>
      </w:pPr>
    </w:p>
    <w:p w14:paraId="4D8033BF" w14:textId="51970ED0" w:rsidR="00A07AEF" w:rsidRPr="00275FBD" w:rsidRDefault="00A07AEF" w:rsidP="00A07AEF">
      <w:pPr>
        <w:rPr>
          <w:lang w:val="sl-SI"/>
        </w:rPr>
      </w:pPr>
      <w:r w:rsidRPr="00275FBD">
        <w:rPr>
          <w:lang w:val="sl-SI"/>
        </w:rPr>
        <w:t xml:space="preserve">Referenčni LOD status elektrarne je bil za zgornje štiri </w:t>
      </w:r>
      <w:r w:rsidR="00EE579D">
        <w:rPr>
          <w:lang w:val="sl-SI"/>
        </w:rPr>
        <w:t xml:space="preserve">vrste </w:t>
      </w:r>
      <w:r w:rsidRPr="00275FBD">
        <w:rPr>
          <w:lang w:val="sl-SI"/>
        </w:rPr>
        <w:t xml:space="preserve">posledic ocenjen ob upoštevanju naslednjih treh </w:t>
      </w:r>
      <w:r w:rsidR="00FD0D14" w:rsidRPr="00275FBD">
        <w:rPr>
          <w:lang w:val="sl-SI"/>
        </w:rPr>
        <w:t xml:space="preserve">glavnih </w:t>
      </w:r>
      <w:r w:rsidRPr="00275FBD">
        <w:rPr>
          <w:lang w:val="sl-SI"/>
        </w:rPr>
        <w:t>kategorij začetnih dogodkov:</w:t>
      </w:r>
    </w:p>
    <w:p w14:paraId="4A4DF955" w14:textId="025F955A" w:rsidR="00A07AEF" w:rsidRPr="00275FBD" w:rsidRDefault="00A07AEF" w:rsidP="00A07AEF">
      <w:pPr>
        <w:numPr>
          <w:ilvl w:val="0"/>
          <w:numId w:val="16"/>
        </w:numPr>
        <w:rPr>
          <w:lang w:val="sl-SI"/>
        </w:rPr>
      </w:pPr>
      <w:r w:rsidRPr="00275FBD">
        <w:rPr>
          <w:lang w:val="sl-SI"/>
        </w:rPr>
        <w:t>Notranji začetni dogodki (na moči);</w:t>
      </w:r>
    </w:p>
    <w:p w14:paraId="2C630EA4" w14:textId="2FC74BBB" w:rsidR="00A07AEF" w:rsidRPr="00275FBD" w:rsidRDefault="00A07AEF" w:rsidP="00A07AEF">
      <w:pPr>
        <w:numPr>
          <w:ilvl w:val="0"/>
          <w:numId w:val="16"/>
        </w:numPr>
        <w:rPr>
          <w:lang w:val="sl-SI"/>
        </w:rPr>
      </w:pPr>
      <w:r w:rsidRPr="00275FBD">
        <w:rPr>
          <w:lang w:val="sl-SI"/>
        </w:rPr>
        <w:t>Potresni dogodki (na moči);</w:t>
      </w:r>
    </w:p>
    <w:p w14:paraId="6F357E78" w14:textId="06885E9F" w:rsidR="00A07AEF" w:rsidRPr="00275FBD" w:rsidRDefault="00A07AEF" w:rsidP="00A07AEF">
      <w:pPr>
        <w:numPr>
          <w:ilvl w:val="0"/>
          <w:numId w:val="16"/>
        </w:numPr>
        <w:rPr>
          <w:lang w:val="sl-SI"/>
        </w:rPr>
      </w:pPr>
      <w:r w:rsidRPr="00275FBD">
        <w:rPr>
          <w:lang w:val="sl-SI"/>
        </w:rPr>
        <w:t>Dogodki pri zaustavitvi (notranji začetni dogodki).</w:t>
      </w:r>
    </w:p>
    <w:p w14:paraId="7241BA13" w14:textId="360983FD" w:rsidR="00A07AEF" w:rsidRPr="00275FBD" w:rsidRDefault="00A07AEF" w:rsidP="00A07AEF">
      <w:pPr>
        <w:rPr>
          <w:lang w:val="sl-SI"/>
        </w:rPr>
      </w:pPr>
      <w:r w:rsidRPr="00275FBD">
        <w:rPr>
          <w:lang w:val="sl-SI"/>
        </w:rPr>
        <w:lastRenderedPageBreak/>
        <w:t>"Referenčni" ali "nominalni" status elektrarne ni bil opredeljen v smislu LOD za druge vrste začetnih dogodkov ali nevarnosti. Vse druge kategorije začetnih dogodkov / nevarnosti pa so bile vključene v dopolnilno oceno tveganja.</w:t>
      </w:r>
    </w:p>
    <w:p w14:paraId="5E8C6E1A" w14:textId="261940AD" w:rsidR="00A07AEF" w:rsidRPr="00275FBD" w:rsidRDefault="00A07AEF" w:rsidP="00A07AEF">
      <w:pPr>
        <w:rPr>
          <w:lang w:val="sl-SI"/>
        </w:rPr>
      </w:pPr>
      <w:r w:rsidRPr="00275FBD">
        <w:rPr>
          <w:lang w:val="sl-SI"/>
        </w:rPr>
        <w:t>Pri oceni obrambe</w:t>
      </w:r>
      <w:r w:rsidR="00DE4437">
        <w:rPr>
          <w:lang w:val="sl-SI"/>
        </w:rPr>
        <w:t xml:space="preserve"> v globino</w:t>
      </w:r>
      <w:r w:rsidRPr="00275FBD">
        <w:rPr>
          <w:lang w:val="sl-SI"/>
        </w:rPr>
        <w:t xml:space="preserve"> za PSR3 so bile upoštevane izboljšave varnosti elektrarne in varnostne ocene, izvedene </w:t>
      </w:r>
      <w:r w:rsidR="004E5047">
        <w:rPr>
          <w:lang w:val="sl-SI"/>
        </w:rPr>
        <w:t xml:space="preserve">v času </w:t>
      </w:r>
      <w:r w:rsidRPr="00275FBD">
        <w:rPr>
          <w:lang w:val="sl-SI"/>
        </w:rPr>
        <w:t>med zaključkom PSR2 in začetkom PSR3.</w:t>
      </w:r>
    </w:p>
    <w:p w14:paraId="23ADC798" w14:textId="6E1A193D" w:rsidR="00A07AEF" w:rsidRPr="00275FBD" w:rsidRDefault="00A07AEF" w:rsidP="00A07AEF">
      <w:pPr>
        <w:rPr>
          <w:lang w:val="sl-SI"/>
        </w:rPr>
      </w:pPr>
      <w:r w:rsidRPr="00275FBD">
        <w:rPr>
          <w:lang w:val="sl-SI"/>
        </w:rPr>
        <w:t>Dopolnilna ocena tveganja odraža stanje elektrarne v času PSR3</w:t>
      </w:r>
      <w:r w:rsidR="004E5047">
        <w:rPr>
          <w:lang w:val="sl-SI"/>
        </w:rPr>
        <w:t xml:space="preserve"> in</w:t>
      </w:r>
      <w:r w:rsidRPr="00275FBD">
        <w:rPr>
          <w:lang w:val="sl-SI"/>
        </w:rPr>
        <w:t xml:space="preserve"> vključuje vse notranje in zunanje kategorije nevarnosti, obravnavane v NEK PSA, </w:t>
      </w:r>
      <w:r w:rsidR="00EE579D">
        <w:rPr>
          <w:lang w:val="sl-SI"/>
        </w:rPr>
        <w:t xml:space="preserve">ter </w:t>
      </w:r>
      <w:r w:rsidRPr="00275FBD">
        <w:rPr>
          <w:lang w:val="sl-SI"/>
        </w:rPr>
        <w:t xml:space="preserve">je povzeta v </w:t>
      </w:r>
      <w:r w:rsidR="008131A3" w:rsidRPr="00275FBD">
        <w:rPr>
          <w:lang w:val="sl-SI"/>
        </w:rPr>
        <w:t xml:space="preserve">poglavju </w:t>
      </w:r>
      <w:r w:rsidR="00B20165" w:rsidRPr="00275FBD">
        <w:rPr>
          <w:lang w:val="sl-SI"/>
        </w:rPr>
        <w:fldChar w:fldCharType="begin"/>
      </w:r>
      <w:r w:rsidR="00B20165" w:rsidRPr="00275FBD">
        <w:rPr>
          <w:lang w:val="sl-SI"/>
        </w:rPr>
        <w:instrText xml:space="preserve"> REF _Ref138424290 \r \h </w:instrText>
      </w:r>
      <w:r w:rsidR="00B20165" w:rsidRPr="00275FBD">
        <w:rPr>
          <w:lang w:val="sl-SI"/>
        </w:rPr>
      </w:r>
      <w:r w:rsidR="00B20165" w:rsidRPr="00275FBD">
        <w:rPr>
          <w:lang w:val="sl-SI"/>
        </w:rPr>
        <w:fldChar w:fldCharType="separate"/>
      </w:r>
      <w:r w:rsidR="00BA25CD">
        <w:rPr>
          <w:lang w:val="sl-SI"/>
        </w:rPr>
        <w:t>5.2</w:t>
      </w:r>
      <w:r w:rsidR="00B20165" w:rsidRPr="00275FBD">
        <w:rPr>
          <w:lang w:val="sl-SI"/>
        </w:rPr>
        <w:fldChar w:fldCharType="end"/>
      </w:r>
      <w:r w:rsidRPr="00275FBD">
        <w:rPr>
          <w:lang w:val="sl-SI"/>
        </w:rPr>
        <w:t>.</w:t>
      </w:r>
    </w:p>
    <w:p w14:paraId="3B85B4FA" w14:textId="63B6CDEA" w:rsidR="00A07AEF" w:rsidRPr="00275FBD" w:rsidRDefault="00A07AEF" w:rsidP="00A07AEF">
      <w:pPr>
        <w:rPr>
          <w:lang w:val="sl-SI"/>
        </w:rPr>
      </w:pPr>
      <w:r w:rsidRPr="00275FBD">
        <w:rPr>
          <w:lang w:val="sl-SI"/>
        </w:rPr>
        <w:t>Stanje obrambe</w:t>
      </w:r>
      <w:r w:rsidR="00DE4437">
        <w:rPr>
          <w:lang w:val="sl-SI"/>
        </w:rPr>
        <w:t xml:space="preserve"> v globino</w:t>
      </w:r>
      <w:r w:rsidRPr="00275FBD">
        <w:rPr>
          <w:lang w:val="sl-SI"/>
        </w:rPr>
        <w:t xml:space="preserve"> elektrarne se je v primerjavi </w:t>
      </w:r>
      <w:r w:rsidR="00EE579D">
        <w:rPr>
          <w:lang w:val="sl-SI"/>
        </w:rPr>
        <w:t>z obdobjem</w:t>
      </w:r>
      <w:r w:rsidRPr="00275FBD">
        <w:rPr>
          <w:lang w:val="sl-SI"/>
        </w:rPr>
        <w:t xml:space="preserve"> PSR2 zna</w:t>
      </w:r>
      <w:r w:rsidR="00C40E90" w:rsidRPr="00275FBD">
        <w:rPr>
          <w:lang w:val="sl-SI"/>
        </w:rPr>
        <w:t>t</w:t>
      </w:r>
      <w:r w:rsidRPr="00275FBD">
        <w:rPr>
          <w:lang w:val="sl-SI"/>
        </w:rPr>
        <w:t>no izboljšalo zaradi varnostnih nadgradenj in izboljšav NEK, izvedenih v zadnjem desetletju, ki vključujejo</w:t>
      </w:r>
      <w:r w:rsidR="004E5047">
        <w:rPr>
          <w:lang w:val="sl-SI"/>
        </w:rPr>
        <w:t xml:space="preserve"> npr.</w:t>
      </w:r>
      <w:r w:rsidRPr="00275FBD">
        <w:rPr>
          <w:lang w:val="sl-SI"/>
        </w:rPr>
        <w:t>:</w:t>
      </w:r>
    </w:p>
    <w:p w14:paraId="137CAE12" w14:textId="172B80BA" w:rsidR="00A07AEF" w:rsidRPr="00275FBD" w:rsidRDefault="00076E21" w:rsidP="00A07AEF">
      <w:pPr>
        <w:pStyle w:val="Odstavekseznama"/>
        <w:numPr>
          <w:ilvl w:val="0"/>
          <w:numId w:val="48"/>
        </w:numPr>
        <w:ind w:left="714" w:hanging="357"/>
        <w:contextualSpacing w:val="0"/>
        <w:rPr>
          <w:lang w:val="sl-SI"/>
        </w:rPr>
      </w:pPr>
      <w:r>
        <w:rPr>
          <w:lang w:val="sl-SI"/>
        </w:rPr>
        <w:t>A</w:t>
      </w:r>
      <w:r w:rsidRPr="00275FBD">
        <w:rPr>
          <w:lang w:val="sl-SI"/>
        </w:rPr>
        <w:t>lternativn</w:t>
      </w:r>
      <w:r>
        <w:rPr>
          <w:lang w:val="sl-SI"/>
        </w:rPr>
        <w:t>i</w:t>
      </w:r>
      <w:r w:rsidRPr="00275FBD">
        <w:rPr>
          <w:lang w:val="sl-SI"/>
        </w:rPr>
        <w:t xml:space="preserve"> </w:t>
      </w:r>
      <w:r>
        <w:rPr>
          <w:lang w:val="sl-SI"/>
        </w:rPr>
        <w:t xml:space="preserve">sistem visokotlačnega </w:t>
      </w:r>
      <w:r w:rsidR="00A07AEF" w:rsidRPr="00275FBD">
        <w:rPr>
          <w:lang w:val="sl-SI"/>
        </w:rPr>
        <w:t>varnostn</w:t>
      </w:r>
      <w:r>
        <w:rPr>
          <w:lang w:val="sl-SI"/>
        </w:rPr>
        <w:t>ega</w:t>
      </w:r>
      <w:r w:rsidR="00A07AEF" w:rsidRPr="00275FBD">
        <w:rPr>
          <w:lang w:val="sl-SI"/>
        </w:rPr>
        <w:t xml:space="preserve"> vbrizgavanj</w:t>
      </w:r>
      <w:r>
        <w:rPr>
          <w:lang w:val="sl-SI"/>
        </w:rPr>
        <w:t>a</w:t>
      </w:r>
      <w:r w:rsidR="00A07AEF" w:rsidRPr="00275FBD">
        <w:rPr>
          <w:lang w:val="sl-SI"/>
        </w:rPr>
        <w:t>;</w:t>
      </w:r>
    </w:p>
    <w:p w14:paraId="312E9473" w14:textId="16A0B74F" w:rsidR="00A07AEF" w:rsidRPr="00275FBD" w:rsidRDefault="00076E21" w:rsidP="00A07AEF">
      <w:pPr>
        <w:pStyle w:val="Odstavekseznama"/>
        <w:numPr>
          <w:ilvl w:val="0"/>
          <w:numId w:val="48"/>
        </w:numPr>
        <w:ind w:left="714" w:hanging="357"/>
        <w:contextualSpacing w:val="0"/>
        <w:rPr>
          <w:lang w:val="sl-SI"/>
        </w:rPr>
      </w:pPr>
      <w:r>
        <w:rPr>
          <w:lang w:val="sl-SI"/>
        </w:rPr>
        <w:t>A</w:t>
      </w:r>
      <w:r w:rsidRPr="00275FBD">
        <w:rPr>
          <w:lang w:val="sl-SI"/>
        </w:rPr>
        <w:t>lternativn</w:t>
      </w:r>
      <w:r>
        <w:rPr>
          <w:lang w:val="sl-SI"/>
        </w:rPr>
        <w:t>i</w:t>
      </w:r>
      <w:r w:rsidRPr="00275FBD">
        <w:rPr>
          <w:lang w:val="sl-SI"/>
        </w:rPr>
        <w:t xml:space="preserve"> </w:t>
      </w:r>
      <w:r>
        <w:rPr>
          <w:lang w:val="sl-SI"/>
        </w:rPr>
        <w:t xml:space="preserve">sistem </w:t>
      </w:r>
      <w:r w:rsidR="00A07AEF" w:rsidRPr="00275FBD">
        <w:rPr>
          <w:lang w:val="sl-SI"/>
        </w:rPr>
        <w:t>pomožn</w:t>
      </w:r>
      <w:r>
        <w:rPr>
          <w:lang w:val="sl-SI"/>
        </w:rPr>
        <w:t>e</w:t>
      </w:r>
      <w:r w:rsidR="00A07AEF" w:rsidRPr="00275FBD">
        <w:rPr>
          <w:lang w:val="sl-SI"/>
        </w:rPr>
        <w:t xml:space="preserve"> napajaln</w:t>
      </w:r>
      <w:r>
        <w:rPr>
          <w:lang w:val="sl-SI"/>
        </w:rPr>
        <w:t>e</w:t>
      </w:r>
      <w:r w:rsidR="00A07AEF" w:rsidRPr="00275FBD">
        <w:rPr>
          <w:lang w:val="sl-SI"/>
        </w:rPr>
        <w:t xml:space="preserve"> vod</w:t>
      </w:r>
      <w:r>
        <w:rPr>
          <w:lang w:val="sl-SI"/>
        </w:rPr>
        <w:t>e</w:t>
      </w:r>
      <w:r w:rsidR="00A07AEF" w:rsidRPr="00275FBD">
        <w:rPr>
          <w:lang w:val="sl-SI"/>
        </w:rPr>
        <w:t>;</w:t>
      </w:r>
    </w:p>
    <w:p w14:paraId="6301C42F" w14:textId="7CC05B86" w:rsidR="00A07AEF" w:rsidRPr="00275FBD" w:rsidRDefault="00076E21" w:rsidP="00A07AEF">
      <w:pPr>
        <w:pStyle w:val="Odstavekseznama"/>
        <w:numPr>
          <w:ilvl w:val="0"/>
          <w:numId w:val="48"/>
        </w:numPr>
        <w:ind w:left="714" w:hanging="357"/>
        <w:contextualSpacing w:val="0"/>
        <w:rPr>
          <w:lang w:val="sl-SI"/>
        </w:rPr>
      </w:pPr>
      <w:r>
        <w:rPr>
          <w:lang w:val="sl-SI"/>
        </w:rPr>
        <w:t>Alternativni sistem za odvajanje zakasnele toplote</w:t>
      </w:r>
      <w:r w:rsidR="00A07AEF" w:rsidRPr="00275FBD">
        <w:rPr>
          <w:lang w:val="sl-SI"/>
        </w:rPr>
        <w:t>;</w:t>
      </w:r>
    </w:p>
    <w:p w14:paraId="55D0390E" w14:textId="7A841258" w:rsidR="00A07AEF" w:rsidRPr="00275FBD" w:rsidRDefault="00076E21" w:rsidP="00A07AEF">
      <w:pPr>
        <w:pStyle w:val="Odstavekseznama"/>
        <w:numPr>
          <w:ilvl w:val="0"/>
          <w:numId w:val="48"/>
        </w:numPr>
        <w:ind w:left="714" w:hanging="357"/>
        <w:contextualSpacing w:val="0"/>
        <w:rPr>
          <w:lang w:val="sl-SI"/>
        </w:rPr>
      </w:pPr>
      <w:r>
        <w:rPr>
          <w:lang w:val="sl-SI"/>
        </w:rPr>
        <w:t>S</w:t>
      </w:r>
      <w:r w:rsidR="00A07AEF" w:rsidRPr="00275FBD">
        <w:rPr>
          <w:lang w:val="sl-SI"/>
        </w:rPr>
        <w:t xml:space="preserve">istem obvoda </w:t>
      </w:r>
      <w:r w:rsidR="00814729" w:rsidRPr="00275FBD">
        <w:rPr>
          <w:lang w:val="sl-SI"/>
        </w:rPr>
        <w:t>razbremenilnih ventilov tlačnika;</w:t>
      </w:r>
    </w:p>
    <w:p w14:paraId="3029C333" w14:textId="7956A8D9" w:rsidR="00A07AEF" w:rsidRPr="00275FBD" w:rsidRDefault="00FD0D14" w:rsidP="00A07AEF">
      <w:pPr>
        <w:pStyle w:val="Odstavekseznama"/>
        <w:numPr>
          <w:ilvl w:val="0"/>
          <w:numId w:val="48"/>
        </w:numPr>
        <w:ind w:left="714" w:hanging="357"/>
        <w:contextualSpacing w:val="0"/>
        <w:rPr>
          <w:lang w:val="sl-SI"/>
        </w:rPr>
      </w:pPr>
      <w:r w:rsidRPr="00275FBD">
        <w:rPr>
          <w:lang w:val="sl-SI"/>
        </w:rPr>
        <w:t>o</w:t>
      </w:r>
      <w:r w:rsidR="00814729" w:rsidRPr="00275FBD">
        <w:rPr>
          <w:lang w:val="sl-SI"/>
        </w:rPr>
        <w:t>stale</w:t>
      </w:r>
      <w:r w:rsidR="00A07AEF" w:rsidRPr="00275FBD">
        <w:rPr>
          <w:lang w:val="sl-SI"/>
        </w:rPr>
        <w:t xml:space="preserve"> varnostne izboljšave v zvezi z varnostjo reaktorja (npr. </w:t>
      </w:r>
      <w:r w:rsidR="00076E21">
        <w:rPr>
          <w:lang w:val="sl-SI"/>
        </w:rPr>
        <w:t>pomožna komandna soba</w:t>
      </w:r>
      <w:r w:rsidR="00076E21" w:rsidRPr="00275FBD">
        <w:rPr>
          <w:lang w:val="sl-SI"/>
        </w:rPr>
        <w:t xml:space="preserve"> </w:t>
      </w:r>
      <w:r w:rsidR="00814729" w:rsidRPr="00275FBD">
        <w:rPr>
          <w:lang w:val="sl-SI"/>
        </w:rPr>
        <w:t>in druge</w:t>
      </w:r>
      <w:r w:rsidR="00A07AEF" w:rsidRPr="00275FBD">
        <w:rPr>
          <w:lang w:val="sl-SI"/>
        </w:rPr>
        <w:t>)</w:t>
      </w:r>
      <w:r w:rsidR="00814729" w:rsidRPr="00275FBD">
        <w:rPr>
          <w:lang w:val="sl-SI"/>
        </w:rPr>
        <w:t>;</w:t>
      </w:r>
    </w:p>
    <w:p w14:paraId="4D3251B2" w14:textId="554A6585" w:rsidR="00A07AEF" w:rsidRPr="00275FBD" w:rsidRDefault="00FD0D14" w:rsidP="00A07AEF">
      <w:pPr>
        <w:pStyle w:val="Odstavekseznama"/>
        <w:numPr>
          <w:ilvl w:val="0"/>
          <w:numId w:val="48"/>
        </w:numPr>
        <w:ind w:left="714" w:hanging="357"/>
        <w:contextualSpacing w:val="0"/>
        <w:rPr>
          <w:lang w:val="sl-SI"/>
        </w:rPr>
      </w:pPr>
      <w:r w:rsidRPr="00275FBD">
        <w:rPr>
          <w:lang w:val="sl-SI"/>
        </w:rPr>
        <w:t>v</w:t>
      </w:r>
      <w:r w:rsidR="00A07AEF" w:rsidRPr="00275FBD">
        <w:rPr>
          <w:lang w:val="sl-SI"/>
        </w:rPr>
        <w:t>arnostne izboljšave v zvezi z zadrževalnim hramom:</w:t>
      </w:r>
    </w:p>
    <w:p w14:paraId="1E74EF29" w14:textId="507365F4" w:rsidR="00A07AEF" w:rsidRPr="00275FBD" w:rsidRDefault="00FD0D14" w:rsidP="00814729">
      <w:pPr>
        <w:pStyle w:val="Odstavekseznama"/>
        <w:numPr>
          <w:ilvl w:val="1"/>
          <w:numId w:val="48"/>
        </w:numPr>
        <w:contextualSpacing w:val="0"/>
        <w:rPr>
          <w:lang w:val="sl-SI"/>
        </w:rPr>
      </w:pPr>
      <w:r w:rsidRPr="00275FBD">
        <w:rPr>
          <w:lang w:val="sl-SI"/>
        </w:rPr>
        <w:t>p</w:t>
      </w:r>
      <w:r w:rsidR="00A07AEF" w:rsidRPr="00275FBD">
        <w:rPr>
          <w:lang w:val="sl-SI"/>
        </w:rPr>
        <w:t xml:space="preserve">asivni </w:t>
      </w:r>
      <w:proofErr w:type="spellStart"/>
      <w:r w:rsidR="00076E21" w:rsidRPr="00076E21">
        <w:rPr>
          <w:lang w:val="sl-SI"/>
        </w:rPr>
        <w:t>avtokatalitični</w:t>
      </w:r>
      <w:proofErr w:type="spellEnd"/>
      <w:r w:rsidR="00076E21" w:rsidRPr="00076E21">
        <w:rPr>
          <w:lang w:val="sl-SI"/>
        </w:rPr>
        <w:t xml:space="preserve"> sistem za vezavo vodika </w:t>
      </w:r>
      <w:r w:rsidR="00A07AEF" w:rsidRPr="00275FBD">
        <w:rPr>
          <w:lang w:val="sl-SI"/>
        </w:rPr>
        <w:t>(PAR)</w:t>
      </w:r>
      <w:r w:rsidR="00814729" w:rsidRPr="00275FBD">
        <w:rPr>
          <w:lang w:val="sl-SI"/>
        </w:rPr>
        <w:t>;</w:t>
      </w:r>
    </w:p>
    <w:p w14:paraId="0707B50A" w14:textId="7800D012" w:rsidR="00A07AEF" w:rsidRPr="00275FBD" w:rsidRDefault="00FD0D14" w:rsidP="00814729">
      <w:pPr>
        <w:pStyle w:val="Odstavekseznama"/>
        <w:numPr>
          <w:ilvl w:val="1"/>
          <w:numId w:val="48"/>
        </w:numPr>
        <w:contextualSpacing w:val="0"/>
        <w:rPr>
          <w:lang w:val="sl-SI"/>
        </w:rPr>
      </w:pPr>
      <w:r w:rsidRPr="00275FBD">
        <w:rPr>
          <w:lang w:val="sl-SI"/>
        </w:rPr>
        <w:t>p</w:t>
      </w:r>
      <w:r w:rsidR="00A07AEF" w:rsidRPr="00275FBD">
        <w:rPr>
          <w:lang w:val="sl-SI"/>
        </w:rPr>
        <w:t xml:space="preserve">asivni </w:t>
      </w:r>
      <w:r w:rsidR="004E5047" w:rsidRPr="004E5047">
        <w:rPr>
          <w:lang w:val="sl-SI"/>
        </w:rPr>
        <w:t xml:space="preserve">filtrski ventilacijski sistem </w:t>
      </w:r>
      <w:r w:rsidR="00814729" w:rsidRPr="00275FBD">
        <w:rPr>
          <w:lang w:val="sl-SI"/>
        </w:rPr>
        <w:t>zadrževalnega hrama</w:t>
      </w:r>
      <w:r w:rsidR="00A07AEF" w:rsidRPr="00275FBD">
        <w:rPr>
          <w:lang w:val="sl-SI"/>
        </w:rPr>
        <w:t xml:space="preserve"> (PCFV)</w:t>
      </w:r>
      <w:r w:rsidR="00814729" w:rsidRPr="00275FBD">
        <w:rPr>
          <w:lang w:val="sl-SI"/>
        </w:rPr>
        <w:t>;</w:t>
      </w:r>
    </w:p>
    <w:p w14:paraId="4DB8FC80" w14:textId="14DACFB8" w:rsidR="00A07AEF" w:rsidRPr="00275FBD" w:rsidRDefault="00FD0D14" w:rsidP="00814729">
      <w:pPr>
        <w:pStyle w:val="Odstavekseznama"/>
        <w:numPr>
          <w:ilvl w:val="0"/>
          <w:numId w:val="48"/>
        </w:numPr>
        <w:contextualSpacing w:val="0"/>
        <w:rPr>
          <w:lang w:val="sl-SI"/>
        </w:rPr>
      </w:pPr>
      <w:r w:rsidRPr="00275FBD">
        <w:rPr>
          <w:lang w:val="sl-SI"/>
        </w:rPr>
        <w:t>v</w:t>
      </w:r>
      <w:r w:rsidR="00A07AEF" w:rsidRPr="00275FBD">
        <w:rPr>
          <w:lang w:val="sl-SI"/>
        </w:rPr>
        <w:t>arnostne izboljšave v zvezi z varnostjo goriva v bazenu za izrabljeno gorivo</w:t>
      </w:r>
      <w:r w:rsidR="00814729" w:rsidRPr="00275FBD">
        <w:rPr>
          <w:lang w:val="sl-SI"/>
        </w:rPr>
        <w:t>:</w:t>
      </w:r>
    </w:p>
    <w:p w14:paraId="4CBB995C" w14:textId="523B45D0" w:rsidR="00A07AEF" w:rsidRPr="00275FBD" w:rsidRDefault="00FD0D14" w:rsidP="00814729">
      <w:pPr>
        <w:pStyle w:val="Odstavekseznama"/>
        <w:numPr>
          <w:ilvl w:val="1"/>
          <w:numId w:val="48"/>
        </w:numPr>
        <w:contextualSpacing w:val="0"/>
        <w:rPr>
          <w:lang w:val="sl-SI"/>
        </w:rPr>
      </w:pPr>
      <w:r w:rsidRPr="00275FBD">
        <w:rPr>
          <w:lang w:val="sl-SI"/>
        </w:rPr>
        <w:t>a</w:t>
      </w:r>
      <w:r w:rsidR="00A07AEF" w:rsidRPr="00275FBD">
        <w:rPr>
          <w:lang w:val="sl-SI"/>
        </w:rPr>
        <w:t xml:space="preserve">lternativno hlajenje </w:t>
      </w:r>
      <w:r w:rsidR="00076E21">
        <w:rPr>
          <w:lang w:val="sl-SI"/>
        </w:rPr>
        <w:t>bazena za izrabljeno gorivo</w:t>
      </w:r>
      <w:r w:rsidR="00814729" w:rsidRPr="00275FBD">
        <w:rPr>
          <w:lang w:val="sl-SI"/>
        </w:rPr>
        <w:t>;</w:t>
      </w:r>
    </w:p>
    <w:p w14:paraId="1C6B0FFC" w14:textId="7BC77806" w:rsidR="00A07AEF" w:rsidRPr="00275FBD" w:rsidRDefault="00FD0D14" w:rsidP="00814729">
      <w:pPr>
        <w:pStyle w:val="Odstavekseznama"/>
        <w:numPr>
          <w:ilvl w:val="1"/>
          <w:numId w:val="48"/>
        </w:numPr>
        <w:contextualSpacing w:val="0"/>
        <w:rPr>
          <w:lang w:val="sl-SI"/>
        </w:rPr>
      </w:pPr>
      <w:r w:rsidRPr="00275FBD">
        <w:rPr>
          <w:lang w:val="sl-SI"/>
        </w:rPr>
        <w:t>a</w:t>
      </w:r>
      <w:r w:rsidR="00A07AEF" w:rsidRPr="00275FBD">
        <w:rPr>
          <w:lang w:val="sl-SI"/>
        </w:rPr>
        <w:t>lternativn</w:t>
      </w:r>
      <w:r w:rsidR="00814729" w:rsidRPr="00275FBD">
        <w:rPr>
          <w:lang w:val="sl-SI"/>
        </w:rPr>
        <w:t>i sistemi za dodajanje / prhanje vode.</w:t>
      </w:r>
    </w:p>
    <w:p w14:paraId="166916E3" w14:textId="77777777" w:rsidR="00A07AEF" w:rsidRPr="00275FBD" w:rsidRDefault="00A07AEF" w:rsidP="00BD122C">
      <w:pPr>
        <w:rPr>
          <w:lang w:val="sl-SI"/>
        </w:rPr>
      </w:pPr>
    </w:p>
    <w:p w14:paraId="4D137999" w14:textId="77777777" w:rsidR="00BA25CD" w:rsidRDefault="00441DB6" w:rsidP="005A5117">
      <w:pPr>
        <w:rPr>
          <w:lang w:val="sl-SI"/>
        </w:rPr>
      </w:pPr>
      <w:r>
        <w:rPr>
          <w:lang w:val="sl-SI"/>
        </w:rPr>
        <w:t>O</w:t>
      </w:r>
      <w:r w:rsidR="00FD0D14" w:rsidRPr="00275FBD">
        <w:rPr>
          <w:lang w:val="sl-SI"/>
        </w:rPr>
        <w:t xml:space="preserve">cena za vsako posamezno od treh glavnih kategorij dogodkov </w:t>
      </w:r>
      <w:r w:rsidRPr="00275FBD">
        <w:rPr>
          <w:lang w:val="sl-SI"/>
        </w:rPr>
        <w:t xml:space="preserve">je bila </w:t>
      </w:r>
      <w:r w:rsidR="00FD0D14" w:rsidRPr="00275FBD">
        <w:rPr>
          <w:lang w:val="sl-SI"/>
        </w:rPr>
        <w:t xml:space="preserve">izvedena glede na štiri posledice oziroma pogoje: "ostane le ena obrambna linija", "poškodba sredice", "poškodba sredice s pozno odpovedjo zadrževalnega hrama" in "poškodba sredice z zgodnjo odpovedjo zadrževalnega hrama". Te ocene se uporabljajo za povzetek splošnega stanja </w:t>
      </w:r>
      <w:r w:rsidR="003D5CCD" w:rsidRPr="00275FBD">
        <w:rPr>
          <w:lang w:val="sl-SI"/>
        </w:rPr>
        <w:t>elektrarne</w:t>
      </w:r>
      <w:r w:rsidR="00FD0D14" w:rsidRPr="00275FBD">
        <w:rPr>
          <w:lang w:val="sl-SI"/>
        </w:rPr>
        <w:t xml:space="preserve"> v smislu števila LOD, referenčnih za PSR3. Povzetek je predstavljen na sliki spodaj</w:t>
      </w:r>
      <w:r w:rsidR="003D5CCD" w:rsidRPr="00275FBD">
        <w:rPr>
          <w:lang w:val="sl-SI"/>
        </w:rPr>
        <w:t xml:space="preserve"> (</w:t>
      </w:r>
      <w:r w:rsidR="003D5CCD" w:rsidRPr="00275FBD">
        <w:rPr>
          <w:lang w:val="sl-SI"/>
        </w:rPr>
        <w:fldChar w:fldCharType="begin"/>
      </w:r>
      <w:r w:rsidR="003D5CCD" w:rsidRPr="00275FBD">
        <w:rPr>
          <w:lang w:val="sl-SI"/>
        </w:rPr>
        <w:instrText xml:space="preserve"> REF _Ref138407877 \h </w:instrText>
      </w:r>
      <w:r w:rsidR="003D5CCD" w:rsidRPr="00275FBD">
        <w:rPr>
          <w:lang w:val="sl-SI"/>
        </w:rPr>
      </w:r>
      <w:r w:rsidR="003D5CCD" w:rsidRPr="00275FBD">
        <w:rPr>
          <w:lang w:val="sl-SI"/>
        </w:rPr>
        <w:fldChar w:fldCharType="separate"/>
      </w:r>
    </w:p>
    <w:p w14:paraId="7F2CBCB8" w14:textId="77777777" w:rsidR="00BA25CD" w:rsidRDefault="00BA25CD" w:rsidP="005A5117">
      <w:pPr>
        <w:rPr>
          <w:lang w:val="sl-SI"/>
        </w:rPr>
      </w:pPr>
    </w:p>
    <w:p w14:paraId="2BEA9677" w14:textId="20BDE163" w:rsidR="00FD0D14" w:rsidRPr="00275FBD" w:rsidRDefault="00BA25CD" w:rsidP="00FD0D14">
      <w:pPr>
        <w:rPr>
          <w:lang w:val="sl-SI"/>
        </w:rPr>
      </w:pPr>
      <w:r w:rsidRPr="00275FBD">
        <w:rPr>
          <w:lang w:val="sl-SI"/>
        </w:rPr>
        <w:t xml:space="preserve">Slika </w:t>
      </w:r>
      <w:r>
        <w:rPr>
          <w:noProof/>
          <w:lang w:val="sl-SI"/>
        </w:rPr>
        <w:t>5</w:t>
      </w:r>
      <w:r w:rsidRPr="00275FBD">
        <w:rPr>
          <w:lang w:val="sl-SI"/>
        </w:rPr>
        <w:noBreakHyphen/>
      </w:r>
      <w:r>
        <w:rPr>
          <w:noProof/>
          <w:lang w:val="sl-SI"/>
        </w:rPr>
        <w:t>2</w:t>
      </w:r>
      <w:r w:rsidR="003D5CCD" w:rsidRPr="00275FBD">
        <w:rPr>
          <w:lang w:val="sl-SI"/>
        </w:rPr>
        <w:fldChar w:fldCharType="end"/>
      </w:r>
      <w:r w:rsidR="003D5CCD" w:rsidRPr="00275FBD">
        <w:rPr>
          <w:lang w:val="sl-SI"/>
        </w:rPr>
        <w:t>)</w:t>
      </w:r>
      <w:r w:rsidR="00FD0D14" w:rsidRPr="00275FBD">
        <w:rPr>
          <w:lang w:val="sl-SI"/>
        </w:rPr>
        <w:t>. Število LOD, predstavljeno za vsako od štirih posledic z oznako "NEK", je bilo vzeto kot minimum štetja (najslabši primer) za omenjene tri kategorije dogodkov.</w:t>
      </w:r>
    </w:p>
    <w:p w14:paraId="56DC459A" w14:textId="3C909434" w:rsidR="00BD122C" w:rsidRPr="00275FBD" w:rsidRDefault="00FD0D14" w:rsidP="00FD0D14">
      <w:pPr>
        <w:rPr>
          <w:lang w:val="sl-SI"/>
        </w:rPr>
      </w:pPr>
      <w:r w:rsidRPr="00275FBD">
        <w:rPr>
          <w:lang w:val="sl-SI"/>
        </w:rPr>
        <w:t>Slika prikazuje tudi primerjavo s stanjem pri PSR2 (kot je označeno z oznako "PSR2"</w:t>
      </w:r>
      <w:r w:rsidR="00DE4437">
        <w:rPr>
          <w:lang w:val="sl-SI"/>
        </w:rPr>
        <w:t>)</w:t>
      </w:r>
      <w:r w:rsidRPr="00275FBD">
        <w:rPr>
          <w:lang w:val="sl-SI"/>
        </w:rPr>
        <w:t>.</w:t>
      </w:r>
    </w:p>
    <w:p w14:paraId="7D151AD8" w14:textId="0F81CEAA" w:rsidR="00363766" w:rsidRDefault="005A5117" w:rsidP="005A5117">
      <w:pPr>
        <w:rPr>
          <w:lang w:val="sl-SI"/>
        </w:rPr>
      </w:pPr>
      <w:r w:rsidRPr="00BB551E">
        <w:rPr>
          <w:noProof/>
        </w:rPr>
        <w:lastRenderedPageBreak/>
        <w:drawing>
          <wp:inline distT="0" distB="0" distL="0" distR="0" wp14:anchorId="18B7B3B8" wp14:editId="4D2FFE03">
            <wp:extent cx="5227320" cy="4853940"/>
            <wp:effectExtent l="0" t="0" r="0" b="3810"/>
            <wp:docPr id="1055897236" name="Picture 3">
              <a:extLst xmlns:a="http://schemas.openxmlformats.org/drawingml/2006/main">
                <a:ext uri="{FF2B5EF4-FFF2-40B4-BE49-F238E27FC236}">
                  <a16:creationId xmlns:a16="http://schemas.microsoft.com/office/drawing/2014/main" id="{32DA7AB7-7C71-679C-FECC-538318558BF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97236" name="Picture 3">
                      <a:extLst>
                        <a:ext uri="{FF2B5EF4-FFF2-40B4-BE49-F238E27FC236}">
                          <a16:creationId xmlns:a16="http://schemas.microsoft.com/office/drawing/2014/main" id="{32DA7AB7-7C71-679C-FECC-538318558BF8}"/>
                        </a:ext>
                        <a:ext uri="{C183D7F6-B498-43B3-948B-1728B52AA6E4}">
                          <adec:decorative xmlns:adec="http://schemas.microsoft.com/office/drawing/2017/decorative" val="1"/>
                        </a:ext>
                      </a:extLst>
                    </pic:cNvPr>
                    <pic:cNvPicPr>
                      <a:picLocks noChangeAspect="1"/>
                    </pic:cNvPicPr>
                  </pic:nvPicPr>
                  <pic:blipFill>
                    <a:blip r:embed="rId41"/>
                    <a:stretch>
                      <a:fillRect/>
                    </a:stretch>
                  </pic:blipFill>
                  <pic:spPr>
                    <a:xfrm>
                      <a:off x="0" y="0"/>
                      <a:ext cx="5227320" cy="4853940"/>
                    </a:xfrm>
                    <a:prstGeom prst="rect">
                      <a:avLst/>
                    </a:prstGeom>
                  </pic:spPr>
                </pic:pic>
              </a:graphicData>
            </a:graphic>
          </wp:inline>
        </w:drawing>
      </w:r>
      <w:bookmarkStart w:id="71" w:name="_Ref138407877"/>
    </w:p>
    <w:p w14:paraId="41FF56EC" w14:textId="77777777" w:rsidR="005A5117" w:rsidRDefault="005A5117" w:rsidP="005A5117">
      <w:pPr>
        <w:rPr>
          <w:lang w:val="sl-SI"/>
        </w:rPr>
      </w:pPr>
    </w:p>
    <w:p w14:paraId="1B935064" w14:textId="1828BAE6" w:rsidR="00597193" w:rsidRPr="00275FBD" w:rsidRDefault="00597193" w:rsidP="00EA1B9F">
      <w:pPr>
        <w:pStyle w:val="Napis"/>
        <w:jc w:val="center"/>
        <w:rPr>
          <w:lang w:val="sl-SI"/>
        </w:rPr>
      </w:pPr>
      <w:bookmarkStart w:id="72" w:name="_Toc163197455"/>
      <w:r w:rsidRPr="00275FBD">
        <w:rPr>
          <w:lang w:val="sl-SI"/>
        </w:rPr>
        <w:t xml:space="preserve">Slika </w:t>
      </w:r>
      <w:r w:rsidR="000A2C1E" w:rsidRPr="00275FBD">
        <w:rPr>
          <w:lang w:val="sl-SI"/>
        </w:rPr>
        <w:fldChar w:fldCharType="begin"/>
      </w:r>
      <w:r w:rsidR="000A2C1E" w:rsidRPr="00275FBD">
        <w:rPr>
          <w:lang w:val="sl-SI"/>
        </w:rPr>
        <w:instrText xml:space="preserve"> STYLEREF 1 \s </w:instrText>
      </w:r>
      <w:r w:rsidR="000A2C1E" w:rsidRPr="00275FBD">
        <w:rPr>
          <w:lang w:val="sl-SI"/>
        </w:rPr>
        <w:fldChar w:fldCharType="separate"/>
      </w:r>
      <w:r w:rsidR="00BA25CD">
        <w:rPr>
          <w:noProof/>
          <w:lang w:val="sl-SI"/>
        </w:rPr>
        <w:t>5</w:t>
      </w:r>
      <w:r w:rsidR="000A2C1E" w:rsidRPr="00275FBD">
        <w:rPr>
          <w:lang w:val="sl-SI"/>
        </w:rPr>
        <w:fldChar w:fldCharType="end"/>
      </w:r>
      <w:r w:rsidR="000A2C1E" w:rsidRPr="00275FBD">
        <w:rPr>
          <w:lang w:val="sl-SI"/>
        </w:rPr>
        <w:noBreakHyphen/>
      </w:r>
      <w:r w:rsidR="000A2C1E" w:rsidRPr="00275FBD">
        <w:rPr>
          <w:lang w:val="sl-SI"/>
        </w:rPr>
        <w:fldChar w:fldCharType="begin"/>
      </w:r>
      <w:r w:rsidR="000A2C1E" w:rsidRPr="00275FBD">
        <w:rPr>
          <w:lang w:val="sl-SI"/>
        </w:rPr>
        <w:instrText xml:space="preserve"> SEQ Slika \* ARABIC \s 1 </w:instrText>
      </w:r>
      <w:r w:rsidR="000A2C1E" w:rsidRPr="00275FBD">
        <w:rPr>
          <w:lang w:val="sl-SI"/>
        </w:rPr>
        <w:fldChar w:fldCharType="separate"/>
      </w:r>
      <w:r w:rsidR="00BA25CD">
        <w:rPr>
          <w:noProof/>
          <w:lang w:val="sl-SI"/>
        </w:rPr>
        <w:t>2</w:t>
      </w:r>
      <w:r w:rsidR="000A2C1E" w:rsidRPr="00275FBD">
        <w:rPr>
          <w:lang w:val="sl-SI"/>
        </w:rPr>
        <w:fldChar w:fldCharType="end"/>
      </w:r>
      <w:bookmarkEnd w:id="71"/>
      <w:r w:rsidRPr="00275FBD">
        <w:rPr>
          <w:lang w:val="sl-SI"/>
        </w:rPr>
        <w:t>: Skupno nominalno stanje globine obrambe</w:t>
      </w:r>
      <w:bookmarkEnd w:id="72"/>
    </w:p>
    <w:p w14:paraId="53BEE76B" w14:textId="77777777" w:rsidR="007D7BA9" w:rsidRPr="00275FBD" w:rsidRDefault="007D7BA9" w:rsidP="00ED1A59">
      <w:pPr>
        <w:rPr>
          <w:lang w:val="sl-SI"/>
        </w:rPr>
      </w:pPr>
    </w:p>
    <w:p w14:paraId="59533EFD" w14:textId="31752415" w:rsidR="00EE5FDF" w:rsidRPr="00275FBD" w:rsidRDefault="007268E9" w:rsidP="00EE5FDF">
      <w:pPr>
        <w:rPr>
          <w:lang w:val="sl-SI"/>
        </w:rPr>
      </w:pPr>
      <w:r w:rsidRPr="00A740A6">
        <w:rPr>
          <w:lang w:val="sl-SI"/>
        </w:rPr>
        <w:t>P</w:t>
      </w:r>
      <w:r w:rsidR="00EE5FDF" w:rsidRPr="00A740A6">
        <w:rPr>
          <w:lang w:val="sl-SI"/>
        </w:rPr>
        <w:t>osledica, ki je tukaj opredeljena kot "zgodnj</w:t>
      </w:r>
      <w:r w:rsidR="00776A62" w:rsidRPr="00A740A6">
        <w:rPr>
          <w:lang w:val="sl-SI"/>
        </w:rPr>
        <w:t>i</w:t>
      </w:r>
      <w:r w:rsidR="00EE5FDF" w:rsidRPr="00A740A6">
        <w:rPr>
          <w:lang w:val="sl-SI"/>
        </w:rPr>
        <w:t xml:space="preserve"> izpust zaradi </w:t>
      </w:r>
      <w:r w:rsidRPr="00A740A6">
        <w:rPr>
          <w:lang w:val="sl-SI"/>
        </w:rPr>
        <w:t>odpovedi zadrževalnega</w:t>
      </w:r>
      <w:r w:rsidRPr="00275FBD">
        <w:rPr>
          <w:lang w:val="sl-SI"/>
        </w:rPr>
        <w:t xml:space="preserve"> hrama</w:t>
      </w:r>
      <w:r w:rsidR="00EE5FDF" w:rsidRPr="00275FBD">
        <w:rPr>
          <w:lang w:val="sl-SI"/>
        </w:rPr>
        <w:t>", običajno izhaja iz zaporedij, v katerih več ovir (LOD) ne deluje zaradi določenega osnovnega vzroka. Primeri so LOCA-dogodek skozi vmesne sisteme (</w:t>
      </w:r>
      <w:r w:rsidR="009B3344" w:rsidRPr="00275FBD">
        <w:rPr>
          <w:iCs/>
          <w:lang w:val="sl-SI"/>
        </w:rPr>
        <w:t>začetn</w:t>
      </w:r>
      <w:r w:rsidR="009B3344">
        <w:rPr>
          <w:iCs/>
          <w:lang w:val="sl-SI"/>
        </w:rPr>
        <w:t>i</w:t>
      </w:r>
      <w:r w:rsidR="009B3344" w:rsidRPr="00275FBD">
        <w:rPr>
          <w:iCs/>
          <w:lang w:val="sl-SI"/>
        </w:rPr>
        <w:t xml:space="preserve"> dogod</w:t>
      </w:r>
      <w:r w:rsidR="009B3344">
        <w:rPr>
          <w:iCs/>
          <w:lang w:val="sl-SI"/>
        </w:rPr>
        <w:t>e</w:t>
      </w:r>
      <w:r w:rsidR="009B3344" w:rsidRPr="00275FBD">
        <w:rPr>
          <w:iCs/>
          <w:lang w:val="sl-SI"/>
        </w:rPr>
        <w:t>k</w:t>
      </w:r>
      <w:r w:rsidR="00EE5FDF" w:rsidRPr="00275FBD">
        <w:rPr>
          <w:lang w:val="sl-SI"/>
        </w:rPr>
        <w:t xml:space="preserve">, ki hkrati </w:t>
      </w:r>
      <w:r w:rsidR="00AE2A7F">
        <w:rPr>
          <w:lang w:val="sl-SI"/>
        </w:rPr>
        <w:t>u</w:t>
      </w:r>
      <w:r w:rsidR="00EE5FDF" w:rsidRPr="00275FBD">
        <w:rPr>
          <w:lang w:val="sl-SI"/>
        </w:rPr>
        <w:t xml:space="preserve">niči zmožnost blaženja) ali zelo močni potresi. </w:t>
      </w:r>
      <w:r>
        <w:rPr>
          <w:lang w:val="sl-SI"/>
        </w:rPr>
        <w:t>Za t</w:t>
      </w:r>
      <w:r w:rsidR="00EE5FDF" w:rsidRPr="00275FBD">
        <w:rPr>
          <w:lang w:val="sl-SI"/>
        </w:rPr>
        <w:t xml:space="preserve">akšna zaporedja so </w:t>
      </w:r>
      <w:r w:rsidRPr="00275FBD">
        <w:rPr>
          <w:lang w:val="sl-SI"/>
        </w:rPr>
        <w:t xml:space="preserve">verjetnosti </w:t>
      </w:r>
      <w:r w:rsidR="00EE5FDF" w:rsidRPr="00275FBD">
        <w:rPr>
          <w:lang w:val="sl-SI"/>
        </w:rPr>
        <w:t xml:space="preserve">zelo nizke in predstavljajo preostalo tveganje. Prikaz nizkega tveganja, povezanega </w:t>
      </w:r>
      <w:r w:rsidR="00AE2A7F">
        <w:rPr>
          <w:lang w:val="sl-SI"/>
        </w:rPr>
        <w:t>z</w:t>
      </w:r>
      <w:r w:rsidR="00EE5FDF" w:rsidRPr="00275FBD">
        <w:rPr>
          <w:lang w:val="sl-SI"/>
        </w:rPr>
        <w:t xml:space="preserve"> »zgodnjimi izpusti« (kot tudi druge obravnavane posledice), je </w:t>
      </w:r>
      <w:r>
        <w:rPr>
          <w:lang w:val="sl-SI"/>
        </w:rPr>
        <w:t>določ</w:t>
      </w:r>
      <w:r w:rsidRPr="00275FBD">
        <w:rPr>
          <w:lang w:val="sl-SI"/>
        </w:rPr>
        <w:t xml:space="preserve">en </w:t>
      </w:r>
      <w:r w:rsidR="00EE5FDF" w:rsidRPr="00275FBD">
        <w:rPr>
          <w:lang w:val="sl-SI"/>
        </w:rPr>
        <w:t xml:space="preserve">z verjetnostno </w:t>
      </w:r>
      <w:r>
        <w:rPr>
          <w:lang w:val="sl-SI"/>
        </w:rPr>
        <w:t xml:space="preserve">varnostno </w:t>
      </w:r>
      <w:r w:rsidR="00EE5FDF" w:rsidRPr="00275FBD">
        <w:rPr>
          <w:lang w:val="sl-SI"/>
        </w:rPr>
        <w:t>analizo, katere rezultati so povzeti spodaj.</w:t>
      </w:r>
    </w:p>
    <w:p w14:paraId="69A463AC" w14:textId="5FCE8A2C" w:rsidR="00EE5FDF" w:rsidRPr="00275FBD" w:rsidRDefault="00EE5FDF" w:rsidP="00EE5FDF">
      <w:pPr>
        <w:rPr>
          <w:lang w:val="sl-SI"/>
        </w:rPr>
      </w:pPr>
      <w:r w:rsidRPr="00275FBD">
        <w:rPr>
          <w:lang w:val="sl-SI"/>
        </w:rPr>
        <w:t>Posledica, opredeljena kot "poškodba sredice s pozno odpovedjo zadrževalnega hrama"</w:t>
      </w:r>
      <w:r w:rsidR="00035311">
        <w:rPr>
          <w:lang w:val="sl-SI"/>
        </w:rPr>
        <w:t>,</w:t>
      </w:r>
      <w:r w:rsidRPr="00275FBD">
        <w:rPr>
          <w:lang w:val="sl-SI"/>
        </w:rPr>
        <w:t xml:space="preserve"> v kontekstu PSR3 pomeni "poškodba sredice s filtriranim izpustom". Izraz "pozna odpoved zadrževalnega hrama" je bil ohranjen zaradi primerjave s PSR2. Vendar je treba poudariti, da "filtriran izpust" v primerjavi s "pozno odpovedjo zadrževalnega hrama" (v kontekstu PSR2) pomeni veliko manjše izpuste radioaktivnosti v okolje.</w:t>
      </w:r>
    </w:p>
    <w:p w14:paraId="1C8261A3" w14:textId="2BD55A50" w:rsidR="00EE5FDF" w:rsidRPr="00275FBD" w:rsidRDefault="003D22EF" w:rsidP="00EE5FDF">
      <w:pPr>
        <w:rPr>
          <w:lang w:val="sl-SI"/>
        </w:rPr>
      </w:pPr>
      <w:r w:rsidRPr="00275FBD">
        <w:rPr>
          <w:lang w:val="sl-SI"/>
        </w:rPr>
        <w:t>G</w:t>
      </w:r>
      <w:r w:rsidR="00EE5FDF" w:rsidRPr="00275FBD">
        <w:rPr>
          <w:lang w:val="sl-SI"/>
        </w:rPr>
        <w:t>lede na obramb</w:t>
      </w:r>
      <w:r w:rsidR="009A0651">
        <w:rPr>
          <w:lang w:val="sl-SI"/>
        </w:rPr>
        <w:t>o</w:t>
      </w:r>
      <w:r w:rsidR="00AE2A7F" w:rsidRPr="000D7D8A">
        <w:rPr>
          <w:lang w:val="sl-SI"/>
        </w:rPr>
        <w:t xml:space="preserve"> </w:t>
      </w:r>
      <w:r w:rsidR="00AE2A7F" w:rsidRPr="00AE2A7F">
        <w:rPr>
          <w:lang w:val="sl-SI"/>
        </w:rPr>
        <w:t>v globino</w:t>
      </w:r>
      <w:r w:rsidR="00EE5FDF" w:rsidRPr="00275FBD">
        <w:rPr>
          <w:lang w:val="sl-SI"/>
        </w:rPr>
        <w:t xml:space="preserve">, izraženo v številu obrambnih </w:t>
      </w:r>
      <w:r w:rsidRPr="00275FBD">
        <w:rPr>
          <w:lang w:val="sl-SI"/>
        </w:rPr>
        <w:t>linij</w:t>
      </w:r>
      <w:r w:rsidR="00035311">
        <w:rPr>
          <w:lang w:val="sl-SI"/>
        </w:rPr>
        <w:t>,</w:t>
      </w:r>
      <w:r w:rsidR="00EE5FDF" w:rsidRPr="00275FBD">
        <w:rPr>
          <w:lang w:val="sl-SI"/>
        </w:rPr>
        <w:t xml:space="preserve"> in na podlagi vnaprej določene lestvice, </w:t>
      </w:r>
      <w:r w:rsidRPr="00275FBD">
        <w:rPr>
          <w:lang w:val="sl-SI"/>
        </w:rPr>
        <w:t xml:space="preserve">je NEK </w:t>
      </w:r>
      <w:r w:rsidR="00EE5FDF" w:rsidRPr="00275FBD">
        <w:rPr>
          <w:lang w:val="sl-SI"/>
        </w:rPr>
        <w:t>v območju »</w:t>
      </w:r>
      <w:r w:rsidRPr="00275FBD">
        <w:rPr>
          <w:lang w:val="sl-SI"/>
        </w:rPr>
        <w:t>sodobnih</w:t>
      </w:r>
      <w:r w:rsidR="00EE5FDF" w:rsidRPr="00275FBD">
        <w:rPr>
          <w:lang w:val="sl-SI"/>
        </w:rPr>
        <w:t xml:space="preserve"> standard</w:t>
      </w:r>
      <w:r w:rsidRPr="00275FBD">
        <w:rPr>
          <w:lang w:val="sl-SI"/>
        </w:rPr>
        <w:t>ov</w:t>
      </w:r>
      <w:r w:rsidR="00EE5FDF" w:rsidRPr="00275FBD">
        <w:rPr>
          <w:lang w:val="sl-SI"/>
        </w:rPr>
        <w:t xml:space="preserve">« in </w:t>
      </w:r>
      <w:r w:rsidRPr="00275FBD">
        <w:rPr>
          <w:lang w:val="sl-SI"/>
        </w:rPr>
        <w:t xml:space="preserve">se lahko opazi </w:t>
      </w:r>
      <w:r w:rsidR="00EE5FDF" w:rsidRPr="00275FBD">
        <w:rPr>
          <w:lang w:val="sl-SI"/>
        </w:rPr>
        <w:t>precejšnj</w:t>
      </w:r>
      <w:r w:rsidRPr="00275FBD">
        <w:rPr>
          <w:lang w:val="sl-SI"/>
        </w:rPr>
        <w:t>i</w:t>
      </w:r>
      <w:r w:rsidR="00EE5FDF" w:rsidRPr="00275FBD">
        <w:rPr>
          <w:lang w:val="sl-SI"/>
        </w:rPr>
        <w:t xml:space="preserve"> pomik v varnejšo stran (zahvaljujoč varnost</w:t>
      </w:r>
      <w:r w:rsidRPr="00275FBD">
        <w:rPr>
          <w:lang w:val="sl-SI"/>
        </w:rPr>
        <w:t>n</w:t>
      </w:r>
      <w:r w:rsidR="00EE5FDF" w:rsidRPr="00275FBD">
        <w:rPr>
          <w:lang w:val="sl-SI"/>
        </w:rPr>
        <w:t>i</w:t>
      </w:r>
      <w:r w:rsidRPr="00275FBD">
        <w:rPr>
          <w:lang w:val="sl-SI"/>
        </w:rPr>
        <w:t xml:space="preserve"> nadgradnji</w:t>
      </w:r>
      <w:r w:rsidR="00EE5FDF" w:rsidRPr="00275FBD">
        <w:rPr>
          <w:lang w:val="sl-SI"/>
        </w:rPr>
        <w:t xml:space="preserve"> elektrarne) v primerjavi s stanjem pri PSR2.</w:t>
      </w:r>
    </w:p>
    <w:p w14:paraId="3251606F" w14:textId="33250300" w:rsidR="00E27602" w:rsidRPr="00275FBD" w:rsidRDefault="00E27602" w:rsidP="00ED1A59">
      <w:pPr>
        <w:rPr>
          <w:lang w:val="sl-SI"/>
        </w:rPr>
      </w:pPr>
      <w:r w:rsidRPr="00275FBD">
        <w:rPr>
          <w:lang w:val="sl-SI"/>
        </w:rPr>
        <w:t>Dodatno je tudi status obrambe</w:t>
      </w:r>
      <w:r w:rsidR="00AE2A7F" w:rsidRPr="000D7D8A">
        <w:rPr>
          <w:lang w:val="sl-SI"/>
        </w:rPr>
        <w:t xml:space="preserve"> </w:t>
      </w:r>
      <w:bookmarkStart w:id="73" w:name="_Hlk143250521"/>
      <w:r w:rsidR="00AE2A7F" w:rsidRPr="00AE2A7F">
        <w:rPr>
          <w:lang w:val="sl-SI"/>
        </w:rPr>
        <w:t>v globino</w:t>
      </w:r>
      <w:r w:rsidRPr="00275FBD">
        <w:rPr>
          <w:lang w:val="sl-SI"/>
        </w:rPr>
        <w:t xml:space="preserve"> </w:t>
      </w:r>
      <w:bookmarkEnd w:id="73"/>
      <w:r w:rsidRPr="00275FBD">
        <w:rPr>
          <w:lang w:val="sl-SI"/>
        </w:rPr>
        <w:t xml:space="preserve">bazena za izrabljeno gorivo (SFP) bil ovrednoten glede na dva reprezentativna začetna dogodka in </w:t>
      </w:r>
      <w:r w:rsidR="00530485">
        <w:rPr>
          <w:lang w:val="sl-SI"/>
        </w:rPr>
        <w:t>ustrezna</w:t>
      </w:r>
      <w:r w:rsidR="00530485" w:rsidRPr="00275FBD">
        <w:rPr>
          <w:lang w:val="sl-SI"/>
        </w:rPr>
        <w:t xml:space="preserve"> </w:t>
      </w:r>
      <w:r w:rsidRPr="00275FBD">
        <w:rPr>
          <w:lang w:val="sl-SI"/>
        </w:rPr>
        <w:t xml:space="preserve">zaporedja dogodkov: izguba </w:t>
      </w:r>
      <w:r w:rsidRPr="00275FBD">
        <w:rPr>
          <w:lang w:val="sl-SI"/>
        </w:rPr>
        <w:lastRenderedPageBreak/>
        <w:t xml:space="preserve">hlajenja SFP in izguba inventarja </w:t>
      </w:r>
      <w:r w:rsidR="00A136CC">
        <w:rPr>
          <w:lang w:val="sl-SI"/>
        </w:rPr>
        <w:t xml:space="preserve">hladila v </w:t>
      </w:r>
      <w:r w:rsidRPr="00275FBD">
        <w:rPr>
          <w:lang w:val="sl-SI"/>
        </w:rPr>
        <w:t xml:space="preserve">SFP. Ocena je bila izvedena na podlagi števila obrambnih linij (LOD) glede na štiri posledice, opredeljene </w:t>
      </w:r>
      <w:r w:rsidR="00A136CC">
        <w:rPr>
          <w:lang w:val="sl-SI"/>
        </w:rPr>
        <w:t>podob</w:t>
      </w:r>
      <w:r w:rsidR="00A136CC" w:rsidRPr="00275FBD">
        <w:rPr>
          <w:lang w:val="sl-SI"/>
        </w:rPr>
        <w:t xml:space="preserve">no </w:t>
      </w:r>
      <w:r w:rsidR="00A136CC">
        <w:rPr>
          <w:lang w:val="sl-SI"/>
        </w:rPr>
        <w:t xml:space="preserve">kot </w:t>
      </w:r>
      <w:r w:rsidRPr="00275FBD">
        <w:rPr>
          <w:lang w:val="sl-SI"/>
        </w:rPr>
        <w:t>tist</w:t>
      </w:r>
      <w:r w:rsidR="00A136CC">
        <w:rPr>
          <w:lang w:val="sl-SI"/>
        </w:rPr>
        <w:t>e</w:t>
      </w:r>
      <w:r w:rsidRPr="00275FBD">
        <w:rPr>
          <w:lang w:val="sl-SI"/>
        </w:rPr>
        <w:t xml:space="preserve"> za oceno obrambe</w:t>
      </w:r>
      <w:r w:rsidR="00530485" w:rsidRPr="000D7D8A">
        <w:rPr>
          <w:lang w:val="sl-SI"/>
        </w:rPr>
        <w:t xml:space="preserve"> </w:t>
      </w:r>
      <w:r w:rsidR="00530485" w:rsidRPr="00530485">
        <w:rPr>
          <w:lang w:val="sl-SI"/>
        </w:rPr>
        <w:t>v globino</w:t>
      </w:r>
      <w:r w:rsidRPr="00275FBD">
        <w:rPr>
          <w:lang w:val="sl-SI"/>
        </w:rPr>
        <w:t xml:space="preserve"> reaktorja:</w:t>
      </w:r>
    </w:p>
    <w:p w14:paraId="07D0AD25" w14:textId="77777777" w:rsidR="00E27602" w:rsidRPr="00275FBD" w:rsidRDefault="00E27602" w:rsidP="00ED1A59">
      <w:pPr>
        <w:rPr>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36"/>
      </w:tblGrid>
      <w:tr w:rsidR="00381D12" w:rsidRPr="00275FBD" w14:paraId="673EE03E" w14:textId="77777777" w:rsidTr="00381D12">
        <w:tc>
          <w:tcPr>
            <w:tcW w:w="4503" w:type="dxa"/>
          </w:tcPr>
          <w:p w14:paraId="01FCD757" w14:textId="712C60E8" w:rsidR="00381D12" w:rsidRPr="00275FBD" w:rsidRDefault="00381D12" w:rsidP="00E81A44">
            <w:pPr>
              <w:jc w:val="left"/>
              <w:rPr>
                <w:sz w:val="20"/>
                <w:szCs w:val="20"/>
                <w:u w:val="single"/>
                <w:lang w:val="sl-SI"/>
              </w:rPr>
            </w:pPr>
            <w:r w:rsidRPr="00275FBD">
              <w:rPr>
                <w:sz w:val="20"/>
                <w:szCs w:val="20"/>
                <w:u w:val="single"/>
                <w:lang w:val="sl-SI"/>
              </w:rPr>
              <w:t>Rea</w:t>
            </w:r>
            <w:r w:rsidR="00E27602" w:rsidRPr="00275FBD">
              <w:rPr>
                <w:sz w:val="20"/>
                <w:szCs w:val="20"/>
                <w:u w:val="single"/>
                <w:lang w:val="sl-SI"/>
              </w:rPr>
              <w:t>k</w:t>
            </w:r>
            <w:r w:rsidRPr="00275FBD">
              <w:rPr>
                <w:sz w:val="20"/>
                <w:szCs w:val="20"/>
                <w:u w:val="single"/>
                <w:lang w:val="sl-SI"/>
              </w:rPr>
              <w:t>tor</w:t>
            </w:r>
          </w:p>
        </w:tc>
        <w:tc>
          <w:tcPr>
            <w:tcW w:w="4536" w:type="dxa"/>
          </w:tcPr>
          <w:p w14:paraId="5BDDCE44" w14:textId="19C2F0E7" w:rsidR="00381D12" w:rsidRPr="00275FBD" w:rsidRDefault="00381D12" w:rsidP="00ED1A59">
            <w:pPr>
              <w:rPr>
                <w:sz w:val="20"/>
                <w:szCs w:val="20"/>
                <w:u w:val="single"/>
                <w:lang w:val="sl-SI"/>
              </w:rPr>
            </w:pPr>
            <w:r w:rsidRPr="00275FBD">
              <w:rPr>
                <w:sz w:val="20"/>
                <w:szCs w:val="20"/>
                <w:u w:val="single"/>
                <w:lang w:val="sl-SI"/>
              </w:rPr>
              <w:t>SFP</w:t>
            </w:r>
          </w:p>
        </w:tc>
      </w:tr>
      <w:tr w:rsidR="00381D12" w:rsidRPr="00C656D7" w14:paraId="6FE25DF3" w14:textId="77777777" w:rsidTr="00381D12">
        <w:tc>
          <w:tcPr>
            <w:tcW w:w="4503" w:type="dxa"/>
          </w:tcPr>
          <w:p w14:paraId="5B0749BE" w14:textId="70BCEBB4" w:rsidR="00381D12" w:rsidRPr="00275FBD" w:rsidRDefault="00E27602" w:rsidP="00E81A44">
            <w:pPr>
              <w:jc w:val="left"/>
              <w:rPr>
                <w:sz w:val="20"/>
                <w:szCs w:val="20"/>
                <w:lang w:val="sl-SI"/>
              </w:rPr>
            </w:pPr>
            <w:r w:rsidRPr="00275FBD">
              <w:rPr>
                <w:sz w:val="20"/>
                <w:szCs w:val="20"/>
                <w:lang w:val="sl-SI"/>
              </w:rPr>
              <w:t>Ostane le ena obrambna linija</w:t>
            </w:r>
          </w:p>
        </w:tc>
        <w:tc>
          <w:tcPr>
            <w:tcW w:w="4536" w:type="dxa"/>
          </w:tcPr>
          <w:p w14:paraId="41A4F1F0" w14:textId="2DF0DB69" w:rsidR="00381D12" w:rsidRPr="00275FBD" w:rsidRDefault="00E27602" w:rsidP="00ED1A59">
            <w:pPr>
              <w:rPr>
                <w:sz w:val="20"/>
                <w:szCs w:val="20"/>
                <w:lang w:val="sl-SI"/>
              </w:rPr>
            </w:pPr>
            <w:r w:rsidRPr="00275FBD">
              <w:rPr>
                <w:sz w:val="20"/>
                <w:szCs w:val="20"/>
                <w:lang w:val="sl-SI"/>
              </w:rPr>
              <w:t>Ostane le ena obrambna linija</w:t>
            </w:r>
            <w:r w:rsidR="00381D12" w:rsidRPr="00275FBD">
              <w:rPr>
                <w:sz w:val="20"/>
                <w:szCs w:val="20"/>
                <w:lang w:val="sl-SI"/>
              </w:rPr>
              <w:t xml:space="preserve"> (</w:t>
            </w:r>
            <w:r w:rsidRPr="00275FBD">
              <w:rPr>
                <w:sz w:val="20"/>
                <w:szCs w:val="20"/>
                <w:lang w:val="sl-SI"/>
              </w:rPr>
              <w:t>glede na poškodbo goriva v</w:t>
            </w:r>
            <w:r w:rsidR="00381D12" w:rsidRPr="00275FBD">
              <w:rPr>
                <w:sz w:val="20"/>
                <w:szCs w:val="20"/>
                <w:lang w:val="sl-SI"/>
              </w:rPr>
              <w:t xml:space="preserve"> SFP)</w:t>
            </w:r>
          </w:p>
        </w:tc>
      </w:tr>
      <w:tr w:rsidR="00381D12" w:rsidRPr="00716249" w14:paraId="5FFD75EF" w14:textId="77777777" w:rsidTr="00381D12">
        <w:tc>
          <w:tcPr>
            <w:tcW w:w="4503" w:type="dxa"/>
          </w:tcPr>
          <w:p w14:paraId="29EE218E" w14:textId="0B9D5A3B" w:rsidR="00381D12" w:rsidRPr="00275FBD" w:rsidRDefault="00E27602" w:rsidP="00E81A44">
            <w:pPr>
              <w:jc w:val="left"/>
              <w:rPr>
                <w:sz w:val="20"/>
                <w:szCs w:val="20"/>
                <w:lang w:val="sl-SI"/>
              </w:rPr>
            </w:pPr>
            <w:r w:rsidRPr="00275FBD">
              <w:rPr>
                <w:sz w:val="20"/>
                <w:szCs w:val="20"/>
                <w:lang w:val="sl-SI"/>
              </w:rPr>
              <w:t>Poškodba sredice</w:t>
            </w:r>
          </w:p>
        </w:tc>
        <w:tc>
          <w:tcPr>
            <w:tcW w:w="4536" w:type="dxa"/>
          </w:tcPr>
          <w:p w14:paraId="2F8A1968" w14:textId="0C1E1EC5" w:rsidR="00381D12" w:rsidRPr="00275FBD" w:rsidRDefault="00E27602" w:rsidP="00ED1A59">
            <w:pPr>
              <w:rPr>
                <w:sz w:val="20"/>
                <w:szCs w:val="20"/>
                <w:lang w:val="sl-SI"/>
              </w:rPr>
            </w:pPr>
            <w:r w:rsidRPr="00275FBD">
              <w:rPr>
                <w:sz w:val="20"/>
                <w:szCs w:val="20"/>
                <w:lang w:val="sl-SI"/>
              </w:rPr>
              <w:t xml:space="preserve">Poškodba goriva v </w:t>
            </w:r>
            <w:r w:rsidR="00381D12" w:rsidRPr="00275FBD">
              <w:rPr>
                <w:sz w:val="20"/>
                <w:szCs w:val="20"/>
                <w:lang w:val="sl-SI"/>
              </w:rPr>
              <w:t>SFP</w:t>
            </w:r>
          </w:p>
        </w:tc>
      </w:tr>
      <w:tr w:rsidR="00381D12" w:rsidRPr="009B3344" w14:paraId="36E4A92F" w14:textId="77777777" w:rsidTr="00381D12">
        <w:tc>
          <w:tcPr>
            <w:tcW w:w="4503" w:type="dxa"/>
          </w:tcPr>
          <w:p w14:paraId="7E82FE24" w14:textId="7A8F13F3" w:rsidR="00381D12" w:rsidRPr="00275FBD" w:rsidRDefault="00530485" w:rsidP="00E81A44">
            <w:pPr>
              <w:jc w:val="left"/>
              <w:rPr>
                <w:sz w:val="20"/>
                <w:szCs w:val="20"/>
                <w:lang w:val="sl-SI"/>
              </w:rPr>
            </w:pPr>
            <w:r>
              <w:rPr>
                <w:sz w:val="20"/>
                <w:szCs w:val="20"/>
                <w:lang w:val="sl-SI"/>
              </w:rPr>
              <w:t>P</w:t>
            </w:r>
            <w:r w:rsidR="00E27602" w:rsidRPr="00275FBD">
              <w:rPr>
                <w:sz w:val="20"/>
                <w:szCs w:val="20"/>
                <w:lang w:val="sl-SI"/>
              </w:rPr>
              <w:t>oškodba sredice s pozno odpovedjo zadrževalnega hrama</w:t>
            </w:r>
          </w:p>
        </w:tc>
        <w:tc>
          <w:tcPr>
            <w:tcW w:w="4536" w:type="dxa"/>
          </w:tcPr>
          <w:p w14:paraId="025CA2F8" w14:textId="5DFD4DCF" w:rsidR="00381D12" w:rsidRPr="00275FBD" w:rsidRDefault="00E27602" w:rsidP="00ED1A59">
            <w:pPr>
              <w:rPr>
                <w:sz w:val="20"/>
                <w:szCs w:val="20"/>
                <w:lang w:val="sl-SI"/>
              </w:rPr>
            </w:pPr>
            <w:r w:rsidRPr="00275FBD">
              <w:rPr>
                <w:sz w:val="20"/>
                <w:szCs w:val="20"/>
                <w:lang w:val="sl-SI"/>
              </w:rPr>
              <w:t>Pozni izpust radioaktivnosti iz SFP</w:t>
            </w:r>
          </w:p>
        </w:tc>
      </w:tr>
      <w:tr w:rsidR="00381D12" w:rsidRPr="009B3344" w14:paraId="27F9607B" w14:textId="77777777" w:rsidTr="00381D12">
        <w:tc>
          <w:tcPr>
            <w:tcW w:w="4503" w:type="dxa"/>
          </w:tcPr>
          <w:p w14:paraId="660E2480" w14:textId="3D31D08C" w:rsidR="00381D12" w:rsidRPr="00275FBD" w:rsidRDefault="00530485" w:rsidP="00E81A44">
            <w:pPr>
              <w:jc w:val="left"/>
              <w:rPr>
                <w:sz w:val="20"/>
                <w:szCs w:val="20"/>
                <w:lang w:val="sl-SI"/>
              </w:rPr>
            </w:pPr>
            <w:r>
              <w:rPr>
                <w:sz w:val="20"/>
                <w:szCs w:val="20"/>
                <w:lang w:val="sl-SI"/>
              </w:rPr>
              <w:t>P</w:t>
            </w:r>
            <w:r w:rsidR="00E27602" w:rsidRPr="00275FBD">
              <w:rPr>
                <w:sz w:val="20"/>
                <w:szCs w:val="20"/>
                <w:lang w:val="sl-SI"/>
              </w:rPr>
              <w:t xml:space="preserve">oškodba sredice </w:t>
            </w:r>
            <w:r>
              <w:rPr>
                <w:sz w:val="20"/>
                <w:szCs w:val="20"/>
                <w:lang w:val="sl-SI"/>
              </w:rPr>
              <w:t>z</w:t>
            </w:r>
            <w:r w:rsidR="00E27602" w:rsidRPr="00275FBD">
              <w:rPr>
                <w:sz w:val="20"/>
                <w:szCs w:val="20"/>
                <w:lang w:val="sl-SI"/>
              </w:rPr>
              <w:t xml:space="preserve"> zgodnjo odpovedjo zadrževalnega hrama</w:t>
            </w:r>
          </w:p>
        </w:tc>
        <w:tc>
          <w:tcPr>
            <w:tcW w:w="4536" w:type="dxa"/>
          </w:tcPr>
          <w:p w14:paraId="479B32D1" w14:textId="3B1A64D9" w:rsidR="00381D12" w:rsidRPr="00275FBD" w:rsidRDefault="00E27602" w:rsidP="00E81A44">
            <w:pPr>
              <w:rPr>
                <w:sz w:val="20"/>
                <w:szCs w:val="20"/>
                <w:lang w:val="sl-SI"/>
              </w:rPr>
            </w:pPr>
            <w:r w:rsidRPr="00275FBD">
              <w:rPr>
                <w:sz w:val="20"/>
                <w:szCs w:val="20"/>
                <w:lang w:val="sl-SI"/>
              </w:rPr>
              <w:t>Zgodnji izpust radioaktivnosti iz SFP</w:t>
            </w:r>
          </w:p>
        </w:tc>
      </w:tr>
    </w:tbl>
    <w:p w14:paraId="6E708DB0" w14:textId="77777777" w:rsidR="00E81A44" w:rsidRPr="00275FBD" w:rsidRDefault="00E81A44" w:rsidP="00ED1A59">
      <w:pPr>
        <w:rPr>
          <w:lang w:val="sl-SI"/>
        </w:rPr>
      </w:pPr>
    </w:p>
    <w:p w14:paraId="29B67D03" w14:textId="77777777" w:rsidR="00BA25CD" w:rsidRDefault="00E27602" w:rsidP="005A5117">
      <w:pPr>
        <w:rPr>
          <w:lang w:val="sl-SI"/>
        </w:rPr>
      </w:pPr>
      <w:r w:rsidRPr="00275FBD">
        <w:rPr>
          <w:lang w:val="sl-SI"/>
        </w:rPr>
        <w:t>Ocena</w:t>
      </w:r>
      <w:r w:rsidR="0006518D" w:rsidRPr="00275FBD">
        <w:rPr>
          <w:lang w:val="sl-SI"/>
        </w:rPr>
        <w:t>,</w:t>
      </w:r>
      <w:r w:rsidRPr="00275FBD">
        <w:rPr>
          <w:lang w:val="sl-SI"/>
        </w:rPr>
        <w:t xml:space="preserve"> postav</w:t>
      </w:r>
      <w:r w:rsidR="0006518D" w:rsidRPr="00275FBD">
        <w:rPr>
          <w:lang w:val="sl-SI"/>
        </w:rPr>
        <w:t>ljena</w:t>
      </w:r>
      <w:r w:rsidRPr="00275FBD">
        <w:rPr>
          <w:lang w:val="sl-SI"/>
        </w:rPr>
        <w:t xml:space="preserve"> v kontekst</w:t>
      </w:r>
      <w:r w:rsidR="00882E76">
        <w:rPr>
          <w:lang w:val="sl-SI"/>
        </w:rPr>
        <w:t>,</w:t>
      </w:r>
      <w:r w:rsidRPr="00275FBD">
        <w:rPr>
          <w:lang w:val="sl-SI"/>
        </w:rPr>
        <w:t xml:space="preserve"> </w:t>
      </w:r>
      <w:r w:rsidR="00A136CC">
        <w:rPr>
          <w:lang w:val="sl-SI"/>
        </w:rPr>
        <w:t>podoben</w:t>
      </w:r>
      <w:r w:rsidR="00A136CC" w:rsidRPr="00275FBD">
        <w:rPr>
          <w:lang w:val="sl-SI"/>
        </w:rPr>
        <w:t xml:space="preserve"> </w:t>
      </w:r>
      <w:r w:rsidR="0006518D" w:rsidRPr="00275FBD">
        <w:rPr>
          <w:lang w:val="sl-SI"/>
        </w:rPr>
        <w:t xml:space="preserve">zgornji </w:t>
      </w:r>
      <w:r w:rsidRPr="00275FBD">
        <w:rPr>
          <w:lang w:val="sl-SI"/>
        </w:rPr>
        <w:t xml:space="preserve">sliki </w:t>
      </w:r>
      <w:r w:rsidR="0006518D" w:rsidRPr="00275FBD">
        <w:rPr>
          <w:lang w:val="sl-SI"/>
        </w:rPr>
        <w:t>(</w:t>
      </w:r>
      <w:r w:rsidR="0006518D" w:rsidRPr="00275FBD">
        <w:rPr>
          <w:lang w:val="sl-SI"/>
        </w:rPr>
        <w:fldChar w:fldCharType="begin"/>
      </w:r>
      <w:r w:rsidR="0006518D" w:rsidRPr="00275FBD">
        <w:rPr>
          <w:lang w:val="sl-SI"/>
        </w:rPr>
        <w:instrText xml:space="preserve"> REF _Ref138407877 \h </w:instrText>
      </w:r>
      <w:r w:rsidR="0006518D" w:rsidRPr="00275FBD">
        <w:rPr>
          <w:lang w:val="sl-SI"/>
        </w:rPr>
      </w:r>
      <w:r w:rsidR="0006518D" w:rsidRPr="00275FBD">
        <w:rPr>
          <w:lang w:val="sl-SI"/>
        </w:rPr>
        <w:fldChar w:fldCharType="separate"/>
      </w:r>
    </w:p>
    <w:p w14:paraId="58E6B33B" w14:textId="77777777" w:rsidR="00BA25CD" w:rsidRDefault="00BA25CD" w:rsidP="005A5117">
      <w:pPr>
        <w:rPr>
          <w:lang w:val="sl-SI"/>
        </w:rPr>
      </w:pPr>
    </w:p>
    <w:p w14:paraId="5BEFCE2C" w14:textId="57F536AD" w:rsidR="00E27602" w:rsidRPr="00275FBD" w:rsidRDefault="00BA25CD" w:rsidP="00E27602">
      <w:pPr>
        <w:rPr>
          <w:lang w:val="sl-SI"/>
        </w:rPr>
      </w:pPr>
      <w:r w:rsidRPr="00275FBD">
        <w:rPr>
          <w:lang w:val="sl-SI"/>
        </w:rPr>
        <w:t xml:space="preserve">Slika </w:t>
      </w:r>
      <w:r>
        <w:rPr>
          <w:noProof/>
          <w:lang w:val="sl-SI"/>
        </w:rPr>
        <w:t>5</w:t>
      </w:r>
      <w:r w:rsidRPr="00275FBD">
        <w:rPr>
          <w:lang w:val="sl-SI"/>
        </w:rPr>
        <w:noBreakHyphen/>
      </w:r>
      <w:r>
        <w:rPr>
          <w:noProof/>
          <w:lang w:val="sl-SI"/>
        </w:rPr>
        <w:t>2</w:t>
      </w:r>
      <w:r w:rsidR="0006518D" w:rsidRPr="00275FBD">
        <w:rPr>
          <w:lang w:val="sl-SI"/>
        </w:rPr>
        <w:fldChar w:fldCharType="end"/>
      </w:r>
      <w:r w:rsidR="0006518D" w:rsidRPr="00275FBD">
        <w:rPr>
          <w:lang w:val="sl-SI"/>
        </w:rPr>
        <w:t>, stanje reaktorja)</w:t>
      </w:r>
      <w:r w:rsidR="00E27602" w:rsidRPr="00275FBD">
        <w:rPr>
          <w:lang w:val="sl-SI"/>
        </w:rPr>
        <w:t xml:space="preserve">, </w:t>
      </w:r>
      <w:r w:rsidR="0006518D" w:rsidRPr="00275FBD">
        <w:rPr>
          <w:lang w:val="sl-SI"/>
        </w:rPr>
        <w:t xml:space="preserve">je pokazala, da </w:t>
      </w:r>
      <w:r w:rsidR="00E27602" w:rsidRPr="00275FBD">
        <w:rPr>
          <w:lang w:val="sl-SI"/>
        </w:rPr>
        <w:t>glede na obramb</w:t>
      </w:r>
      <w:r w:rsidR="00164A43">
        <w:rPr>
          <w:lang w:val="sl-SI"/>
        </w:rPr>
        <w:t>o</w:t>
      </w:r>
      <w:r w:rsidR="00530485" w:rsidRPr="000D7D8A">
        <w:rPr>
          <w:lang w:val="sl-SI"/>
        </w:rPr>
        <w:t xml:space="preserve"> </w:t>
      </w:r>
      <w:r w:rsidR="00530485" w:rsidRPr="00530485">
        <w:rPr>
          <w:lang w:val="sl-SI"/>
        </w:rPr>
        <w:t>v globino</w:t>
      </w:r>
      <w:r w:rsidR="00E27602" w:rsidRPr="00275FBD">
        <w:rPr>
          <w:lang w:val="sl-SI"/>
        </w:rPr>
        <w:t xml:space="preserve">, izraženo v številu obrambnih </w:t>
      </w:r>
      <w:r w:rsidR="0006518D" w:rsidRPr="00275FBD">
        <w:rPr>
          <w:lang w:val="sl-SI"/>
        </w:rPr>
        <w:t>linij</w:t>
      </w:r>
      <w:r w:rsidR="00E27602" w:rsidRPr="00275FBD">
        <w:rPr>
          <w:lang w:val="sl-SI"/>
        </w:rPr>
        <w:t xml:space="preserve"> in na podlagi vnaprej določene lestvic</w:t>
      </w:r>
      <w:r w:rsidR="0006518D" w:rsidRPr="00275FBD">
        <w:rPr>
          <w:lang w:val="sl-SI"/>
        </w:rPr>
        <w:t>e,</w:t>
      </w:r>
      <w:r w:rsidR="00E27602" w:rsidRPr="00275FBD">
        <w:rPr>
          <w:lang w:val="sl-SI"/>
        </w:rPr>
        <w:t xml:space="preserve"> NEK SFP sodi v </w:t>
      </w:r>
      <w:r w:rsidR="0006518D" w:rsidRPr="00275FBD">
        <w:rPr>
          <w:lang w:val="sl-SI"/>
        </w:rPr>
        <w:t>področje</w:t>
      </w:r>
      <w:r w:rsidR="00E27602" w:rsidRPr="00275FBD">
        <w:rPr>
          <w:lang w:val="sl-SI"/>
        </w:rPr>
        <w:t xml:space="preserve"> »</w:t>
      </w:r>
      <w:r w:rsidR="0006518D" w:rsidRPr="00275FBD">
        <w:rPr>
          <w:lang w:val="sl-SI"/>
        </w:rPr>
        <w:t>sodobnih</w:t>
      </w:r>
      <w:r w:rsidR="00E27602" w:rsidRPr="00275FBD">
        <w:rPr>
          <w:lang w:val="sl-SI"/>
        </w:rPr>
        <w:t xml:space="preserve"> standard</w:t>
      </w:r>
      <w:r w:rsidR="0006518D" w:rsidRPr="00275FBD">
        <w:rPr>
          <w:lang w:val="sl-SI"/>
        </w:rPr>
        <w:t>ov</w:t>
      </w:r>
      <w:r w:rsidR="00E27602" w:rsidRPr="00275FBD">
        <w:rPr>
          <w:lang w:val="sl-SI"/>
        </w:rPr>
        <w:t>«.</w:t>
      </w:r>
    </w:p>
    <w:p w14:paraId="6DFE15EC" w14:textId="44891871" w:rsidR="00E27602" w:rsidRPr="00275FBD" w:rsidRDefault="00E27602" w:rsidP="00E27602">
      <w:pPr>
        <w:rPr>
          <w:lang w:val="sl-SI"/>
        </w:rPr>
      </w:pPr>
      <w:r w:rsidRPr="00275FBD">
        <w:rPr>
          <w:lang w:val="sl-SI"/>
        </w:rPr>
        <w:t xml:space="preserve">Pomembno je poudariti, da </w:t>
      </w:r>
      <w:r w:rsidR="0006518D" w:rsidRPr="00275FBD">
        <w:rPr>
          <w:lang w:val="sl-SI"/>
        </w:rPr>
        <w:t>omenjena</w:t>
      </w:r>
      <w:r w:rsidRPr="00275FBD">
        <w:rPr>
          <w:lang w:val="sl-SI"/>
        </w:rPr>
        <w:t xml:space="preserve"> ocena ne upošteva vpliva </w:t>
      </w:r>
      <w:r w:rsidR="0006518D" w:rsidRPr="00275FBD">
        <w:rPr>
          <w:lang w:val="sl-SI"/>
        </w:rPr>
        <w:t>s</w:t>
      </w:r>
      <w:r w:rsidRPr="00275FBD">
        <w:rPr>
          <w:lang w:val="sl-SI"/>
        </w:rPr>
        <w:t xml:space="preserve">uhega skladišča </w:t>
      </w:r>
      <w:r w:rsidR="00400B86">
        <w:rPr>
          <w:lang w:val="sl-SI"/>
        </w:rPr>
        <w:t xml:space="preserve">izrabljenega goriva </w:t>
      </w:r>
      <w:r w:rsidRPr="00275FBD">
        <w:rPr>
          <w:lang w:val="sl-SI"/>
        </w:rPr>
        <w:t xml:space="preserve">v NEK, ki je bistven z dveh vidikov: povečanja zmožnosti </w:t>
      </w:r>
      <w:r w:rsidR="0006518D" w:rsidRPr="00275FBD">
        <w:rPr>
          <w:lang w:val="sl-SI"/>
        </w:rPr>
        <w:t>preprečitve scenarijev nesreče</w:t>
      </w:r>
      <w:r w:rsidRPr="00275FBD">
        <w:rPr>
          <w:lang w:val="sl-SI"/>
        </w:rPr>
        <w:t xml:space="preserve"> (zmanjšanje toplotne obremenitve SFP) in zmanjšanja potencialnega izvora radioaktivnosti.</w:t>
      </w:r>
    </w:p>
    <w:p w14:paraId="472E27E5" w14:textId="77777777" w:rsidR="00E27602" w:rsidRPr="00275FBD" w:rsidRDefault="00E27602" w:rsidP="00ED1A59">
      <w:pPr>
        <w:rPr>
          <w:lang w:val="sl-SI"/>
        </w:rPr>
      </w:pPr>
    </w:p>
    <w:p w14:paraId="4F9141F5" w14:textId="0BED00D6" w:rsidR="00ED1A59" w:rsidRPr="00275FBD" w:rsidRDefault="0006518D" w:rsidP="00ED1A59">
      <w:pPr>
        <w:pStyle w:val="Naslov2"/>
        <w:rPr>
          <w:lang w:val="sl-SI"/>
        </w:rPr>
      </w:pPr>
      <w:bookmarkStart w:id="74" w:name="_Toc137809550"/>
      <w:bookmarkStart w:id="75" w:name="_Toc137810194"/>
      <w:bookmarkStart w:id="76" w:name="_Toc138021563"/>
      <w:bookmarkStart w:id="77" w:name="_Toc138024199"/>
      <w:bookmarkStart w:id="78" w:name="_Toc138026425"/>
      <w:bookmarkStart w:id="79" w:name="_Ref138424290"/>
      <w:bookmarkStart w:id="80" w:name="_Toc163197429"/>
      <w:bookmarkEnd w:id="74"/>
      <w:bookmarkEnd w:id="75"/>
      <w:bookmarkEnd w:id="76"/>
      <w:bookmarkEnd w:id="77"/>
      <w:bookmarkEnd w:id="78"/>
      <w:r w:rsidRPr="00275FBD">
        <w:rPr>
          <w:lang w:val="sl-SI"/>
        </w:rPr>
        <w:t>Ocena tveganja</w:t>
      </w:r>
      <w:bookmarkEnd w:id="79"/>
      <w:bookmarkEnd w:id="80"/>
    </w:p>
    <w:p w14:paraId="654470A0" w14:textId="6449D81C" w:rsidR="0006518D" w:rsidRPr="00275FBD" w:rsidRDefault="0006518D" w:rsidP="0006518D">
      <w:pPr>
        <w:rPr>
          <w:rFonts w:cs="TimesNewRomanPSMT"/>
          <w:szCs w:val="20"/>
          <w:lang w:val="sl-SI" w:eastAsia="en-GB"/>
        </w:rPr>
      </w:pPr>
      <w:r w:rsidRPr="00275FBD">
        <w:rPr>
          <w:rFonts w:cs="TimesNewRomanPSMT"/>
          <w:szCs w:val="20"/>
          <w:lang w:val="sl-SI" w:eastAsia="en-GB"/>
        </w:rPr>
        <w:t xml:space="preserve">V tem </w:t>
      </w:r>
      <w:r w:rsidR="00052E53" w:rsidRPr="00275FBD">
        <w:rPr>
          <w:rFonts w:cs="TimesNewRomanPSMT"/>
          <w:szCs w:val="20"/>
          <w:lang w:val="sl-SI" w:eastAsia="en-GB"/>
        </w:rPr>
        <w:t xml:space="preserve">poglavju </w:t>
      </w:r>
      <w:r w:rsidRPr="00275FBD">
        <w:rPr>
          <w:rFonts w:cs="TimesNewRomanPSMT"/>
          <w:szCs w:val="20"/>
          <w:lang w:val="sl-SI" w:eastAsia="en-GB"/>
        </w:rPr>
        <w:t xml:space="preserve">je </w:t>
      </w:r>
      <w:r w:rsidR="00A136CC">
        <w:rPr>
          <w:rFonts w:cs="TimesNewRomanPSMT"/>
          <w:szCs w:val="20"/>
          <w:lang w:val="sl-SI" w:eastAsia="en-GB"/>
        </w:rPr>
        <w:t>poda</w:t>
      </w:r>
      <w:r w:rsidR="00A136CC" w:rsidRPr="00275FBD">
        <w:rPr>
          <w:rFonts w:cs="TimesNewRomanPSMT"/>
          <w:szCs w:val="20"/>
          <w:lang w:val="sl-SI" w:eastAsia="en-GB"/>
        </w:rPr>
        <w:t xml:space="preserve">n </w:t>
      </w:r>
      <w:r w:rsidRPr="00275FBD">
        <w:rPr>
          <w:rFonts w:cs="TimesNewRomanPSMT"/>
          <w:szCs w:val="20"/>
          <w:lang w:val="sl-SI" w:eastAsia="en-GB"/>
        </w:rPr>
        <w:t xml:space="preserve">kratek pregled celotnega profila tveganja, pri čemer se upoštevajo tudi druge kategorije dogodkov, ki niso bili izrecno izraženi v zgornji deterministični oceni "referenčnega" statusa </w:t>
      </w:r>
      <w:r w:rsidR="00656374" w:rsidRPr="00275FBD">
        <w:rPr>
          <w:rFonts w:cs="TimesNewRomanPSMT"/>
          <w:szCs w:val="20"/>
          <w:lang w:val="sl-SI" w:eastAsia="en-GB"/>
        </w:rPr>
        <w:t>elektrarne</w:t>
      </w:r>
      <w:r w:rsidRPr="00275FBD">
        <w:rPr>
          <w:rFonts w:cs="TimesNewRomanPSMT"/>
          <w:szCs w:val="20"/>
          <w:lang w:val="sl-SI" w:eastAsia="en-GB"/>
        </w:rPr>
        <w:t xml:space="preserve"> v smislu štetja obrambnih linij. Predstavljen je</w:t>
      </w:r>
      <w:r w:rsidR="00882E76">
        <w:rPr>
          <w:rFonts w:cs="TimesNewRomanPSMT"/>
          <w:szCs w:val="20"/>
          <w:lang w:val="sl-SI" w:eastAsia="en-GB"/>
        </w:rPr>
        <w:t xml:space="preserve"> zato</w:t>
      </w:r>
      <w:r w:rsidRPr="00275FBD">
        <w:rPr>
          <w:rFonts w:cs="TimesNewRomanPSMT"/>
          <w:szCs w:val="20"/>
          <w:lang w:val="sl-SI" w:eastAsia="en-GB"/>
        </w:rPr>
        <w:t>, da zagotovi dopolnilni pogled na splošno (</w:t>
      </w:r>
      <w:r w:rsidR="000C7C28">
        <w:rPr>
          <w:lang w:val="sl-SI"/>
        </w:rPr>
        <w:t>celovito</w:t>
      </w:r>
      <w:r w:rsidRPr="00275FBD">
        <w:rPr>
          <w:rFonts w:cs="TimesNewRomanPSMT"/>
          <w:szCs w:val="20"/>
          <w:lang w:val="sl-SI" w:eastAsia="en-GB"/>
        </w:rPr>
        <w:t xml:space="preserve">) varnostno stanje elektrarne, izraženo v smislu kvantitativnih </w:t>
      </w:r>
      <w:r w:rsidR="00656374" w:rsidRPr="00275FBD">
        <w:rPr>
          <w:rFonts w:cs="TimesNewRomanPSMT"/>
          <w:szCs w:val="20"/>
          <w:lang w:val="sl-SI" w:eastAsia="en-GB"/>
        </w:rPr>
        <w:t>meril</w:t>
      </w:r>
      <w:r w:rsidRPr="00275FBD">
        <w:rPr>
          <w:rFonts w:cs="TimesNewRomanPSMT"/>
          <w:szCs w:val="20"/>
          <w:lang w:val="sl-SI" w:eastAsia="en-GB"/>
        </w:rPr>
        <w:t xml:space="preserve"> tveganja. Ta pregled temelji na študijah in ocenah, ki so bile</w:t>
      </w:r>
      <w:r w:rsidR="00656374" w:rsidRPr="00275FBD">
        <w:rPr>
          <w:rFonts w:cs="TimesNewRomanPSMT"/>
          <w:szCs w:val="20"/>
          <w:lang w:val="sl-SI" w:eastAsia="en-GB"/>
        </w:rPr>
        <w:t xml:space="preserve"> v elektrarni</w:t>
      </w:r>
      <w:r w:rsidRPr="00275FBD">
        <w:rPr>
          <w:rFonts w:cs="TimesNewRomanPSMT"/>
          <w:szCs w:val="20"/>
          <w:lang w:val="sl-SI" w:eastAsia="en-GB"/>
        </w:rPr>
        <w:t xml:space="preserve"> izvedene pred ali v času PSR3. Zato </w:t>
      </w:r>
      <w:r w:rsidR="00A136CC">
        <w:rPr>
          <w:rFonts w:cs="TimesNewRomanPSMT"/>
          <w:szCs w:val="20"/>
          <w:lang w:val="sl-SI" w:eastAsia="en-GB"/>
        </w:rPr>
        <w:t>velja kot</w:t>
      </w:r>
      <w:r w:rsidRPr="00275FBD">
        <w:rPr>
          <w:rFonts w:cs="TimesNewRomanPSMT"/>
          <w:szCs w:val="20"/>
          <w:lang w:val="sl-SI" w:eastAsia="en-GB"/>
        </w:rPr>
        <w:t xml:space="preserve"> pregled referenčnega profila tveganja za </w:t>
      </w:r>
      <w:r w:rsidR="00656374" w:rsidRPr="00275FBD">
        <w:rPr>
          <w:rFonts w:cs="TimesNewRomanPSMT"/>
          <w:szCs w:val="20"/>
          <w:lang w:val="sl-SI" w:eastAsia="en-GB"/>
        </w:rPr>
        <w:t>elektrarno</w:t>
      </w:r>
      <w:r w:rsidRPr="00275FBD">
        <w:rPr>
          <w:rFonts w:cs="TimesNewRomanPSMT"/>
          <w:szCs w:val="20"/>
          <w:lang w:val="sl-SI" w:eastAsia="en-GB"/>
        </w:rPr>
        <w:t xml:space="preserve"> za PSR3, pridobljen iz ustreznih virov informacij </w:t>
      </w:r>
      <w:r w:rsidR="00656374" w:rsidRPr="00275FBD">
        <w:rPr>
          <w:rFonts w:cs="TimesNewRomanPSMT"/>
          <w:szCs w:val="20"/>
          <w:lang w:val="sl-SI" w:eastAsia="en-GB"/>
        </w:rPr>
        <w:t>o elektrarni</w:t>
      </w:r>
      <w:r w:rsidRPr="00275FBD">
        <w:rPr>
          <w:rFonts w:cs="TimesNewRomanPSMT"/>
          <w:szCs w:val="20"/>
          <w:lang w:val="sl-SI" w:eastAsia="en-GB"/>
        </w:rPr>
        <w:t>.</w:t>
      </w:r>
    </w:p>
    <w:p w14:paraId="61072301" w14:textId="1E034EB9" w:rsidR="0006518D" w:rsidRPr="00275FBD" w:rsidRDefault="0006518D" w:rsidP="0006518D">
      <w:pPr>
        <w:rPr>
          <w:rFonts w:cs="TimesNewRomanPSMT"/>
          <w:szCs w:val="20"/>
          <w:lang w:val="sl-SI" w:eastAsia="en-GB"/>
        </w:rPr>
      </w:pPr>
      <w:r w:rsidRPr="00275FBD">
        <w:rPr>
          <w:rFonts w:cs="TimesNewRomanPSMT"/>
          <w:szCs w:val="20"/>
          <w:lang w:val="sl-SI" w:eastAsia="en-GB"/>
        </w:rPr>
        <w:t>Tveganje je predstavljeno glede na pogostost poškodb</w:t>
      </w:r>
      <w:r w:rsidR="00A136CC">
        <w:rPr>
          <w:rFonts w:cs="TimesNewRomanPSMT"/>
          <w:szCs w:val="20"/>
          <w:lang w:val="sl-SI" w:eastAsia="en-GB"/>
        </w:rPr>
        <w:t>e</w:t>
      </w:r>
      <w:r w:rsidRPr="00275FBD">
        <w:rPr>
          <w:rFonts w:cs="TimesNewRomanPSMT"/>
          <w:szCs w:val="20"/>
          <w:lang w:val="sl-SI" w:eastAsia="en-GB"/>
        </w:rPr>
        <w:t xml:space="preserve"> reaktorske sredice (</w:t>
      </w:r>
      <w:r w:rsidR="00656374" w:rsidRPr="00275FBD">
        <w:rPr>
          <w:rFonts w:cs="TimesNewRomanPSMT"/>
          <w:szCs w:val="20"/>
          <w:lang w:val="sl-SI" w:eastAsia="en-GB"/>
        </w:rPr>
        <w:t>»</w:t>
      </w:r>
      <w:proofErr w:type="spellStart"/>
      <w:r w:rsidR="00656374" w:rsidRPr="00275FBD">
        <w:rPr>
          <w:rFonts w:cs="TimesNewRomanPSMT"/>
          <w:szCs w:val="20"/>
          <w:lang w:val="sl-SI" w:eastAsia="en-GB"/>
        </w:rPr>
        <w:t>Core</w:t>
      </w:r>
      <w:proofErr w:type="spellEnd"/>
      <w:r w:rsidR="00656374" w:rsidRPr="00275FBD">
        <w:rPr>
          <w:rFonts w:cs="TimesNewRomanPSMT"/>
          <w:szCs w:val="20"/>
          <w:lang w:val="sl-SI" w:eastAsia="en-GB"/>
        </w:rPr>
        <w:t xml:space="preserve"> </w:t>
      </w:r>
      <w:proofErr w:type="spellStart"/>
      <w:r w:rsidR="00656374" w:rsidRPr="00275FBD">
        <w:rPr>
          <w:rFonts w:cs="TimesNewRomanPSMT"/>
          <w:szCs w:val="20"/>
          <w:lang w:val="sl-SI" w:eastAsia="en-GB"/>
        </w:rPr>
        <w:t>Damage</w:t>
      </w:r>
      <w:proofErr w:type="spellEnd"/>
      <w:r w:rsidR="00656374" w:rsidRPr="00275FBD">
        <w:rPr>
          <w:rFonts w:cs="TimesNewRomanPSMT"/>
          <w:szCs w:val="20"/>
          <w:lang w:val="sl-SI" w:eastAsia="en-GB"/>
        </w:rPr>
        <w:t xml:space="preserve"> </w:t>
      </w:r>
      <w:proofErr w:type="spellStart"/>
      <w:r w:rsidR="00656374" w:rsidRPr="00275FBD">
        <w:rPr>
          <w:rFonts w:cs="TimesNewRomanPSMT"/>
          <w:szCs w:val="20"/>
          <w:lang w:val="sl-SI" w:eastAsia="en-GB"/>
        </w:rPr>
        <w:t>Frequency</w:t>
      </w:r>
      <w:proofErr w:type="spellEnd"/>
      <w:r w:rsidR="00656374" w:rsidRPr="00275FBD">
        <w:rPr>
          <w:rFonts w:cs="TimesNewRomanPSMT"/>
          <w:szCs w:val="20"/>
          <w:lang w:val="sl-SI" w:eastAsia="en-GB"/>
        </w:rPr>
        <w:t xml:space="preserve">«, </w:t>
      </w:r>
      <w:r w:rsidRPr="00275FBD">
        <w:rPr>
          <w:rFonts w:cs="TimesNewRomanPSMT"/>
          <w:szCs w:val="20"/>
          <w:lang w:val="sl-SI" w:eastAsia="en-GB"/>
        </w:rPr>
        <w:t xml:space="preserve">CDF) in pogostost </w:t>
      </w:r>
      <w:r w:rsidR="00656374" w:rsidRPr="00275FBD">
        <w:rPr>
          <w:rFonts w:cs="TimesNewRomanPSMT"/>
          <w:szCs w:val="20"/>
          <w:lang w:val="sl-SI" w:eastAsia="en-GB"/>
        </w:rPr>
        <w:t xml:space="preserve">določenih </w:t>
      </w:r>
      <w:r w:rsidRPr="00275FBD">
        <w:rPr>
          <w:rFonts w:cs="TimesNewRomanPSMT"/>
          <w:szCs w:val="20"/>
          <w:lang w:val="sl-SI" w:eastAsia="en-GB"/>
        </w:rPr>
        <w:t xml:space="preserve">kategorij izpustov radioaktivnosti. Poleg tega je podana kratka </w:t>
      </w:r>
      <w:r w:rsidR="00A136CC">
        <w:rPr>
          <w:rFonts w:cs="TimesNewRomanPSMT"/>
          <w:szCs w:val="20"/>
          <w:lang w:val="sl-SI" w:eastAsia="en-GB"/>
        </w:rPr>
        <w:t>opredelitev</w:t>
      </w:r>
      <w:r w:rsidR="00A136CC" w:rsidRPr="00275FBD">
        <w:rPr>
          <w:rFonts w:cs="TimesNewRomanPSMT"/>
          <w:szCs w:val="20"/>
          <w:lang w:val="sl-SI" w:eastAsia="en-GB"/>
        </w:rPr>
        <w:t xml:space="preserve"> </w:t>
      </w:r>
      <w:r w:rsidRPr="00275FBD">
        <w:rPr>
          <w:rFonts w:cs="TimesNewRomanPSMT"/>
          <w:szCs w:val="20"/>
          <w:lang w:val="sl-SI" w:eastAsia="en-GB"/>
        </w:rPr>
        <w:t xml:space="preserve">tveganja zaradi goriva v bazenu </w:t>
      </w:r>
      <w:r w:rsidR="00400B86">
        <w:rPr>
          <w:rFonts w:cs="TimesNewRomanPSMT"/>
          <w:szCs w:val="20"/>
          <w:lang w:val="sl-SI" w:eastAsia="en-GB"/>
        </w:rPr>
        <w:t xml:space="preserve">za </w:t>
      </w:r>
      <w:r w:rsidR="00400B86" w:rsidRPr="00275FBD">
        <w:rPr>
          <w:rFonts w:cs="TimesNewRomanPSMT"/>
          <w:szCs w:val="20"/>
          <w:lang w:val="sl-SI" w:eastAsia="en-GB"/>
        </w:rPr>
        <w:t>izrabljen</w:t>
      </w:r>
      <w:r w:rsidR="00400B86">
        <w:rPr>
          <w:rFonts w:cs="TimesNewRomanPSMT"/>
          <w:szCs w:val="20"/>
          <w:lang w:val="sl-SI" w:eastAsia="en-GB"/>
        </w:rPr>
        <w:t>o</w:t>
      </w:r>
      <w:r w:rsidR="00400B86" w:rsidRPr="00275FBD">
        <w:rPr>
          <w:rFonts w:cs="TimesNewRomanPSMT"/>
          <w:szCs w:val="20"/>
          <w:lang w:val="sl-SI" w:eastAsia="en-GB"/>
        </w:rPr>
        <w:t xml:space="preserve"> goriv</w:t>
      </w:r>
      <w:r w:rsidR="00400B86">
        <w:rPr>
          <w:rFonts w:cs="TimesNewRomanPSMT"/>
          <w:szCs w:val="20"/>
          <w:lang w:val="sl-SI" w:eastAsia="en-GB"/>
        </w:rPr>
        <w:t>o</w:t>
      </w:r>
      <w:r w:rsidR="00400B86" w:rsidRPr="00275FBD">
        <w:rPr>
          <w:rFonts w:cs="TimesNewRomanPSMT"/>
          <w:szCs w:val="20"/>
          <w:lang w:val="sl-SI" w:eastAsia="en-GB"/>
        </w:rPr>
        <w:t xml:space="preserve"> </w:t>
      </w:r>
      <w:r w:rsidRPr="00275FBD">
        <w:rPr>
          <w:rFonts w:cs="TimesNewRomanPSMT"/>
          <w:szCs w:val="20"/>
          <w:lang w:val="sl-SI" w:eastAsia="en-GB"/>
        </w:rPr>
        <w:t>(SFP)</w:t>
      </w:r>
      <w:r w:rsidR="00656374" w:rsidRPr="00275FBD">
        <w:rPr>
          <w:rFonts w:cs="TimesNewRomanPSMT"/>
          <w:szCs w:val="20"/>
          <w:lang w:val="sl-SI" w:eastAsia="en-GB"/>
        </w:rPr>
        <w:t>,</w:t>
      </w:r>
      <w:r w:rsidRPr="00275FBD">
        <w:rPr>
          <w:rFonts w:cs="TimesNewRomanPSMT"/>
          <w:szCs w:val="20"/>
          <w:lang w:val="sl-SI" w:eastAsia="en-GB"/>
        </w:rPr>
        <w:t xml:space="preserve"> </w:t>
      </w:r>
      <w:r w:rsidR="00656374" w:rsidRPr="00275FBD">
        <w:rPr>
          <w:rFonts w:cs="TimesNewRomanPSMT"/>
          <w:szCs w:val="20"/>
          <w:lang w:val="sl-SI" w:eastAsia="en-GB"/>
        </w:rPr>
        <w:t>izražena skozi</w:t>
      </w:r>
      <w:r w:rsidRPr="00275FBD">
        <w:rPr>
          <w:rFonts w:cs="TimesNewRomanPSMT"/>
          <w:szCs w:val="20"/>
          <w:lang w:val="sl-SI" w:eastAsia="en-GB"/>
        </w:rPr>
        <w:t xml:space="preserve"> pogostost </w:t>
      </w:r>
      <w:r w:rsidR="001D65DF" w:rsidRPr="00275FBD">
        <w:rPr>
          <w:rFonts w:cs="TimesNewRomanPSMT"/>
          <w:szCs w:val="20"/>
          <w:lang w:val="sl-SI" w:eastAsia="en-GB"/>
        </w:rPr>
        <w:t>odkri</w:t>
      </w:r>
      <w:r w:rsidR="001D65DF">
        <w:rPr>
          <w:rFonts w:cs="TimesNewRomanPSMT"/>
          <w:szCs w:val="20"/>
          <w:lang w:val="sl-SI" w:eastAsia="en-GB"/>
        </w:rPr>
        <w:t>t</w:t>
      </w:r>
      <w:r w:rsidR="001D65DF" w:rsidRPr="00275FBD">
        <w:rPr>
          <w:rFonts w:cs="TimesNewRomanPSMT"/>
          <w:szCs w:val="20"/>
          <w:lang w:val="sl-SI" w:eastAsia="en-GB"/>
        </w:rPr>
        <w:t xml:space="preserve">ja </w:t>
      </w:r>
      <w:r w:rsidRPr="00275FBD">
        <w:rPr>
          <w:rFonts w:cs="TimesNewRomanPSMT"/>
          <w:szCs w:val="20"/>
          <w:lang w:val="sl-SI" w:eastAsia="en-GB"/>
        </w:rPr>
        <w:t xml:space="preserve">izrabljenega goriva (SFU). Vse spodaj navedene numerične vrednosti so povzete iz poročila PSR3-NEK-9.3 </w:t>
      </w:r>
      <w:r w:rsidR="00656374" w:rsidRPr="00275FBD">
        <w:rPr>
          <w:rFonts w:cs="TimesNewRomanPSMT"/>
          <w:szCs w:val="20"/>
          <w:lang w:val="sl-SI" w:eastAsia="en-GB"/>
        </w:rPr>
        <w:fldChar w:fldCharType="begin"/>
      </w:r>
      <w:r w:rsidR="00656374" w:rsidRPr="00275FBD">
        <w:rPr>
          <w:rFonts w:cs="TimesNewRomanPSMT"/>
          <w:szCs w:val="20"/>
          <w:lang w:val="sl-SI" w:eastAsia="en-GB"/>
        </w:rPr>
        <w:instrText xml:space="preserve"> REF _Ref138279840 \r \h </w:instrText>
      </w:r>
      <w:r w:rsidR="00656374" w:rsidRPr="00275FBD">
        <w:rPr>
          <w:rFonts w:cs="TimesNewRomanPSMT"/>
          <w:szCs w:val="20"/>
          <w:lang w:val="sl-SI" w:eastAsia="en-GB"/>
        </w:rPr>
      </w:r>
      <w:r w:rsidR="00656374" w:rsidRPr="00275FBD">
        <w:rPr>
          <w:rFonts w:cs="TimesNewRomanPSMT"/>
          <w:szCs w:val="20"/>
          <w:lang w:val="sl-SI" w:eastAsia="en-GB"/>
        </w:rPr>
        <w:fldChar w:fldCharType="separate"/>
      </w:r>
      <w:r w:rsidR="00BA25CD">
        <w:rPr>
          <w:rFonts w:cs="TimesNewRomanPSMT"/>
          <w:szCs w:val="20"/>
          <w:lang w:val="sl-SI" w:eastAsia="en-GB"/>
        </w:rPr>
        <w:t>[2]</w:t>
      </w:r>
      <w:r w:rsidR="00656374" w:rsidRPr="00275FBD">
        <w:rPr>
          <w:rFonts w:cs="TimesNewRomanPSMT"/>
          <w:szCs w:val="20"/>
          <w:lang w:val="sl-SI" w:eastAsia="en-GB"/>
        </w:rPr>
        <w:fldChar w:fldCharType="end"/>
      </w:r>
      <w:r w:rsidRPr="00275FBD">
        <w:rPr>
          <w:rFonts w:cs="TimesNewRomanPSMT"/>
          <w:szCs w:val="20"/>
          <w:lang w:val="sl-SI" w:eastAsia="en-GB"/>
        </w:rPr>
        <w:t>.</w:t>
      </w:r>
    </w:p>
    <w:p w14:paraId="611BC2E9" w14:textId="2BEA06CD" w:rsidR="004F1ACE" w:rsidRPr="00275FBD" w:rsidRDefault="004F1ACE" w:rsidP="004F1ACE">
      <w:pPr>
        <w:rPr>
          <w:rFonts w:cs="TimesNewRomanPSMT"/>
          <w:szCs w:val="20"/>
          <w:lang w:val="sl-SI" w:eastAsia="en-GB"/>
        </w:rPr>
      </w:pPr>
      <w:r w:rsidRPr="00275FBD">
        <w:rPr>
          <w:rFonts w:cs="TimesNewRomanPSMT"/>
          <w:szCs w:val="20"/>
          <w:lang w:val="sl-SI" w:eastAsia="en-GB"/>
        </w:rPr>
        <w:t xml:space="preserve">Rezultati ocene tveganja so prikazani v primerjavi </w:t>
      </w:r>
      <w:r w:rsidR="00882E76">
        <w:rPr>
          <w:rFonts w:cs="TimesNewRomanPSMT"/>
          <w:szCs w:val="20"/>
          <w:lang w:val="sl-SI" w:eastAsia="en-GB"/>
        </w:rPr>
        <w:t>s</w:t>
      </w:r>
      <w:r w:rsidRPr="00275FBD">
        <w:rPr>
          <w:rFonts w:cs="TimesNewRomanPSMT"/>
          <w:szCs w:val="20"/>
          <w:lang w:val="sl-SI" w:eastAsia="en-GB"/>
        </w:rPr>
        <w:t xml:space="preserve"> tist</w:t>
      </w:r>
      <w:r w:rsidR="000C7D20">
        <w:rPr>
          <w:rFonts w:cs="TimesNewRomanPSMT"/>
          <w:szCs w:val="20"/>
          <w:lang w:val="sl-SI" w:eastAsia="en-GB"/>
        </w:rPr>
        <w:t>i</w:t>
      </w:r>
      <w:r w:rsidRPr="00275FBD">
        <w:rPr>
          <w:rFonts w:cs="TimesNewRomanPSMT"/>
          <w:szCs w:val="20"/>
          <w:lang w:val="sl-SI" w:eastAsia="en-GB"/>
        </w:rPr>
        <w:t xml:space="preserve">mi iz PSR2, kot so navedeni v </w:t>
      </w:r>
      <w:r w:rsidRPr="00275FBD">
        <w:rPr>
          <w:rFonts w:cs="TimesNewRomanPSMT"/>
          <w:szCs w:val="20"/>
          <w:lang w:val="sl-SI" w:eastAsia="en-GB"/>
        </w:rPr>
        <w:fldChar w:fldCharType="begin"/>
      </w:r>
      <w:r w:rsidRPr="00275FBD">
        <w:rPr>
          <w:rFonts w:cs="TimesNewRomanPSMT"/>
          <w:szCs w:val="20"/>
          <w:lang w:val="sl-SI" w:eastAsia="en-GB"/>
        </w:rPr>
        <w:instrText xml:space="preserve"> REF _Ref133399619 \r \h </w:instrText>
      </w:r>
      <w:r w:rsidRPr="00275FBD">
        <w:rPr>
          <w:rFonts w:cs="TimesNewRomanPSMT"/>
          <w:szCs w:val="20"/>
          <w:lang w:val="sl-SI" w:eastAsia="en-GB"/>
        </w:rPr>
      </w:r>
      <w:r w:rsidRPr="00275FBD">
        <w:rPr>
          <w:rFonts w:cs="TimesNewRomanPSMT"/>
          <w:szCs w:val="20"/>
          <w:lang w:val="sl-SI" w:eastAsia="en-GB"/>
        </w:rPr>
        <w:fldChar w:fldCharType="separate"/>
      </w:r>
      <w:r w:rsidR="00BA25CD">
        <w:rPr>
          <w:rFonts w:cs="TimesNewRomanPSMT"/>
          <w:szCs w:val="20"/>
          <w:lang w:val="sl-SI" w:eastAsia="en-GB"/>
        </w:rPr>
        <w:t>[32]</w:t>
      </w:r>
      <w:r w:rsidRPr="00275FBD">
        <w:rPr>
          <w:rFonts w:cs="TimesNewRomanPSMT"/>
          <w:szCs w:val="20"/>
          <w:lang w:val="sl-SI" w:eastAsia="en-GB"/>
        </w:rPr>
        <w:fldChar w:fldCharType="end"/>
      </w:r>
      <w:r w:rsidRPr="00275FBD">
        <w:rPr>
          <w:rFonts w:cs="TimesNewRomanPSMT"/>
          <w:szCs w:val="20"/>
          <w:lang w:val="sl-SI" w:eastAsia="en-GB"/>
        </w:rPr>
        <w:t>. Merila tveganja so izražena kot števil</w:t>
      </w:r>
      <w:r w:rsidR="00882E76">
        <w:rPr>
          <w:rFonts w:cs="TimesNewRomanPSMT"/>
          <w:szCs w:val="20"/>
          <w:lang w:val="sl-SI" w:eastAsia="en-GB"/>
        </w:rPr>
        <w:t>o</w:t>
      </w:r>
      <w:r w:rsidRPr="00275FBD">
        <w:rPr>
          <w:rFonts w:cs="TimesNewRomanPSMT"/>
          <w:szCs w:val="20"/>
          <w:lang w:val="sl-SI" w:eastAsia="en-GB"/>
        </w:rPr>
        <w:t xml:space="preserve"> dogodkov (poškodb sredice oziroma izpustov) v koledarskem letu.</w:t>
      </w:r>
    </w:p>
    <w:p w14:paraId="01114C20" w14:textId="78E1AC3E" w:rsidR="004F1ACE" w:rsidRPr="00275FBD" w:rsidRDefault="004F1ACE" w:rsidP="004F1ACE">
      <w:pPr>
        <w:rPr>
          <w:rFonts w:cs="TimesNewRomanPSMT"/>
          <w:szCs w:val="20"/>
          <w:lang w:val="sl-SI" w:eastAsia="en-GB"/>
        </w:rPr>
      </w:pPr>
      <w:r w:rsidRPr="00275FBD">
        <w:rPr>
          <w:rFonts w:cs="TimesNewRomanPSMT"/>
          <w:szCs w:val="20"/>
          <w:lang w:val="sl-SI" w:eastAsia="en-GB"/>
        </w:rPr>
        <w:fldChar w:fldCharType="begin"/>
      </w:r>
      <w:r w:rsidRPr="00275FBD">
        <w:rPr>
          <w:rFonts w:cs="TimesNewRomanPSMT"/>
          <w:szCs w:val="20"/>
          <w:lang w:val="sl-SI" w:eastAsia="en-GB"/>
        </w:rPr>
        <w:instrText xml:space="preserve"> REF _Ref138412676 \h </w:instrText>
      </w:r>
      <w:r w:rsidRPr="00275FBD">
        <w:rPr>
          <w:rFonts w:cs="TimesNewRomanPSMT"/>
          <w:szCs w:val="20"/>
          <w:lang w:val="sl-SI" w:eastAsia="en-GB"/>
        </w:rPr>
      </w:r>
      <w:r w:rsidRPr="00275FBD">
        <w:rPr>
          <w:rFonts w:cs="TimesNewRomanPSMT"/>
          <w:szCs w:val="20"/>
          <w:lang w:val="sl-SI" w:eastAsia="en-GB"/>
        </w:rPr>
        <w:fldChar w:fldCharType="separate"/>
      </w:r>
      <w:r w:rsidR="00BA25CD" w:rsidRPr="00275FBD">
        <w:rPr>
          <w:rFonts w:cs="TimesNewRomanPSMT"/>
          <w:lang w:val="sl-SI" w:eastAsia="en-GB"/>
        </w:rPr>
        <w:t xml:space="preserve">Slika </w:t>
      </w:r>
      <w:r w:rsidR="00BA25CD">
        <w:rPr>
          <w:rFonts w:cs="TimesNewRomanPSMT"/>
          <w:noProof/>
          <w:lang w:val="sl-SI" w:eastAsia="en-GB"/>
        </w:rPr>
        <w:t>5</w:t>
      </w:r>
      <w:r w:rsidR="00BA25CD" w:rsidRPr="00275FBD">
        <w:rPr>
          <w:rFonts w:cs="TimesNewRomanPSMT"/>
          <w:lang w:val="sl-SI" w:eastAsia="en-GB"/>
        </w:rPr>
        <w:noBreakHyphen/>
      </w:r>
      <w:r w:rsidR="00BA25CD">
        <w:rPr>
          <w:rFonts w:cs="TimesNewRomanPSMT"/>
          <w:noProof/>
          <w:lang w:val="sl-SI" w:eastAsia="en-GB"/>
        </w:rPr>
        <w:t>3</w:t>
      </w:r>
      <w:r w:rsidRPr="00275FBD">
        <w:rPr>
          <w:rFonts w:cs="TimesNewRomanPSMT"/>
          <w:szCs w:val="20"/>
          <w:lang w:val="sl-SI" w:eastAsia="en-GB"/>
        </w:rPr>
        <w:fldChar w:fldCharType="end"/>
      </w:r>
      <w:r w:rsidRPr="00275FBD">
        <w:rPr>
          <w:rFonts w:cs="TimesNewRomanPSMT"/>
          <w:szCs w:val="20"/>
          <w:lang w:val="sl-SI" w:eastAsia="en-GB"/>
        </w:rPr>
        <w:t xml:space="preserve"> prikazuje primerjavo celotnega CDF s stanjem pri PSR2. </w:t>
      </w:r>
      <w:r w:rsidRPr="00275FBD">
        <w:rPr>
          <w:rFonts w:cs="TimesNewRomanPSMT"/>
          <w:szCs w:val="20"/>
          <w:lang w:val="sl-SI" w:eastAsia="en-GB"/>
        </w:rPr>
        <w:fldChar w:fldCharType="begin"/>
      </w:r>
      <w:r w:rsidRPr="00275FBD">
        <w:rPr>
          <w:rFonts w:cs="TimesNewRomanPSMT"/>
          <w:szCs w:val="20"/>
          <w:lang w:val="sl-SI" w:eastAsia="en-GB"/>
        </w:rPr>
        <w:instrText xml:space="preserve"> REF _Ref138412717 \h </w:instrText>
      </w:r>
      <w:r w:rsidRPr="00275FBD">
        <w:rPr>
          <w:rFonts w:cs="TimesNewRomanPSMT"/>
          <w:szCs w:val="20"/>
          <w:lang w:val="sl-SI" w:eastAsia="en-GB"/>
        </w:rPr>
      </w:r>
      <w:r w:rsidRPr="00275FBD">
        <w:rPr>
          <w:rFonts w:cs="TimesNewRomanPSMT"/>
          <w:szCs w:val="20"/>
          <w:lang w:val="sl-SI" w:eastAsia="en-GB"/>
        </w:rPr>
        <w:fldChar w:fldCharType="separate"/>
      </w:r>
      <w:r w:rsidR="00BA25CD" w:rsidRPr="00275FBD">
        <w:rPr>
          <w:rFonts w:cs="TimesNewRomanPSMT"/>
          <w:lang w:val="sl-SI" w:eastAsia="en-GB"/>
        </w:rPr>
        <w:t xml:space="preserve">Slika </w:t>
      </w:r>
      <w:r w:rsidR="00BA25CD">
        <w:rPr>
          <w:rFonts w:cs="TimesNewRomanPSMT"/>
          <w:noProof/>
          <w:lang w:val="sl-SI" w:eastAsia="en-GB"/>
        </w:rPr>
        <w:t>5</w:t>
      </w:r>
      <w:r w:rsidR="00BA25CD" w:rsidRPr="00275FBD">
        <w:rPr>
          <w:rFonts w:cs="TimesNewRomanPSMT"/>
          <w:lang w:val="sl-SI" w:eastAsia="en-GB"/>
        </w:rPr>
        <w:noBreakHyphen/>
      </w:r>
      <w:r w:rsidR="00BA25CD">
        <w:rPr>
          <w:rFonts w:cs="TimesNewRomanPSMT"/>
          <w:noProof/>
          <w:lang w:val="sl-SI" w:eastAsia="en-GB"/>
        </w:rPr>
        <w:t>4</w:t>
      </w:r>
      <w:r w:rsidRPr="00275FBD">
        <w:rPr>
          <w:rFonts w:cs="TimesNewRomanPSMT"/>
          <w:szCs w:val="20"/>
          <w:lang w:val="sl-SI" w:eastAsia="en-GB"/>
        </w:rPr>
        <w:fldChar w:fldCharType="end"/>
      </w:r>
      <w:r w:rsidRPr="00275FBD">
        <w:rPr>
          <w:rFonts w:cs="TimesNewRomanPSMT"/>
          <w:szCs w:val="20"/>
          <w:lang w:val="sl-SI" w:eastAsia="en-GB"/>
        </w:rPr>
        <w:t xml:space="preserve"> prikazuje primerjavo pogostosti dogodkov iz tako</w:t>
      </w:r>
      <w:r w:rsidR="000C7D20">
        <w:rPr>
          <w:rFonts w:cs="TimesNewRomanPSMT"/>
          <w:szCs w:val="20"/>
          <w:lang w:val="sl-SI" w:eastAsia="en-GB"/>
        </w:rPr>
        <w:t xml:space="preserve"> </w:t>
      </w:r>
      <w:r w:rsidRPr="00275FBD">
        <w:rPr>
          <w:rFonts w:cs="TimesNewRomanPSMT"/>
          <w:szCs w:val="20"/>
          <w:lang w:val="sl-SI" w:eastAsia="en-GB"/>
        </w:rPr>
        <w:t xml:space="preserve">imenovane kategorije »velikih zgodnjih izpustov« (»Large Early </w:t>
      </w:r>
      <w:proofErr w:type="spellStart"/>
      <w:r w:rsidRPr="00275FBD">
        <w:rPr>
          <w:rFonts w:cs="TimesNewRomanPSMT"/>
          <w:szCs w:val="20"/>
          <w:lang w:val="sl-SI" w:eastAsia="en-GB"/>
        </w:rPr>
        <w:t>Release</w:t>
      </w:r>
      <w:proofErr w:type="spellEnd"/>
      <w:r w:rsidRPr="00275FBD">
        <w:rPr>
          <w:rFonts w:cs="TimesNewRomanPSMT"/>
          <w:szCs w:val="20"/>
          <w:lang w:val="sl-SI" w:eastAsia="en-GB"/>
        </w:rPr>
        <w:t xml:space="preserve"> </w:t>
      </w:r>
      <w:proofErr w:type="spellStart"/>
      <w:r w:rsidRPr="00275FBD">
        <w:rPr>
          <w:rFonts w:cs="TimesNewRomanPSMT"/>
          <w:szCs w:val="20"/>
          <w:lang w:val="sl-SI" w:eastAsia="en-GB"/>
        </w:rPr>
        <w:t>Frequency</w:t>
      </w:r>
      <w:proofErr w:type="spellEnd"/>
      <w:r w:rsidRPr="00275FBD">
        <w:rPr>
          <w:rFonts w:cs="TimesNewRomanPSMT"/>
          <w:szCs w:val="20"/>
          <w:lang w:val="sl-SI" w:eastAsia="en-GB"/>
        </w:rPr>
        <w:t xml:space="preserve">«, LERF) glede na stanje pri PSR2. Obe sliki upoštevata vse načine delovanja in vse kategorije </w:t>
      </w:r>
      <w:r w:rsidR="009B3344" w:rsidRPr="00275FBD">
        <w:rPr>
          <w:iCs/>
          <w:lang w:val="sl-SI"/>
        </w:rPr>
        <w:t>začetn</w:t>
      </w:r>
      <w:r w:rsidR="009B3344">
        <w:rPr>
          <w:iCs/>
          <w:lang w:val="sl-SI"/>
        </w:rPr>
        <w:t>ih</w:t>
      </w:r>
      <w:r w:rsidR="009B3344" w:rsidRPr="00275FBD">
        <w:rPr>
          <w:iCs/>
          <w:lang w:val="sl-SI"/>
        </w:rPr>
        <w:t xml:space="preserve"> dogodk</w:t>
      </w:r>
      <w:r w:rsidR="009B3344">
        <w:rPr>
          <w:iCs/>
          <w:lang w:val="sl-SI"/>
        </w:rPr>
        <w:t>ov</w:t>
      </w:r>
      <w:r w:rsidRPr="00275FBD">
        <w:rPr>
          <w:rFonts w:cs="TimesNewRomanPSMT"/>
          <w:szCs w:val="20"/>
          <w:lang w:val="sl-SI" w:eastAsia="en-GB"/>
        </w:rPr>
        <w:t>.</w:t>
      </w:r>
    </w:p>
    <w:p w14:paraId="0FA2152F" w14:textId="440DB7BD" w:rsidR="004F1ACE" w:rsidRPr="00275FBD" w:rsidRDefault="004F1ACE" w:rsidP="004F1ACE">
      <w:pPr>
        <w:rPr>
          <w:rFonts w:cs="TimesNewRomanPSMT"/>
          <w:szCs w:val="20"/>
          <w:lang w:val="sl-SI" w:eastAsia="en-GB"/>
        </w:rPr>
      </w:pPr>
      <w:r w:rsidRPr="00275FBD">
        <w:rPr>
          <w:rFonts w:cs="TimesNewRomanPSMT"/>
          <w:szCs w:val="20"/>
          <w:lang w:val="sl-SI" w:eastAsia="en-GB"/>
        </w:rPr>
        <w:lastRenderedPageBreak/>
        <w:fldChar w:fldCharType="begin"/>
      </w:r>
      <w:r w:rsidRPr="00275FBD">
        <w:rPr>
          <w:rFonts w:cs="TimesNewRomanPSMT"/>
          <w:szCs w:val="20"/>
          <w:lang w:val="sl-SI" w:eastAsia="en-GB"/>
        </w:rPr>
        <w:instrText xml:space="preserve"> REF _Ref138412913 \h </w:instrText>
      </w:r>
      <w:r w:rsidRPr="00275FBD">
        <w:rPr>
          <w:rFonts w:cs="TimesNewRomanPSMT"/>
          <w:szCs w:val="20"/>
          <w:lang w:val="sl-SI" w:eastAsia="en-GB"/>
        </w:rPr>
      </w:r>
      <w:r w:rsidRPr="00275FBD">
        <w:rPr>
          <w:rFonts w:cs="TimesNewRomanPSMT"/>
          <w:szCs w:val="20"/>
          <w:lang w:val="sl-SI" w:eastAsia="en-GB"/>
        </w:rPr>
        <w:fldChar w:fldCharType="separate"/>
      </w:r>
      <w:r w:rsidR="00BA25CD" w:rsidRPr="00275FBD">
        <w:rPr>
          <w:rFonts w:cs="TimesNewRomanPSMT"/>
          <w:lang w:val="sl-SI" w:eastAsia="en-GB"/>
        </w:rPr>
        <w:t xml:space="preserve">Slika </w:t>
      </w:r>
      <w:r w:rsidR="00BA25CD">
        <w:rPr>
          <w:rFonts w:cs="TimesNewRomanPSMT"/>
          <w:noProof/>
          <w:lang w:val="sl-SI" w:eastAsia="en-GB"/>
        </w:rPr>
        <w:t>5</w:t>
      </w:r>
      <w:r w:rsidR="00BA25CD" w:rsidRPr="00275FBD">
        <w:rPr>
          <w:rFonts w:cs="TimesNewRomanPSMT"/>
          <w:lang w:val="sl-SI" w:eastAsia="en-GB"/>
        </w:rPr>
        <w:noBreakHyphen/>
      </w:r>
      <w:r w:rsidR="00BA25CD">
        <w:rPr>
          <w:rFonts w:cs="TimesNewRomanPSMT"/>
          <w:noProof/>
          <w:lang w:val="sl-SI" w:eastAsia="en-GB"/>
        </w:rPr>
        <w:t>5</w:t>
      </w:r>
      <w:r w:rsidRPr="00275FBD">
        <w:rPr>
          <w:rFonts w:cs="TimesNewRomanPSMT"/>
          <w:szCs w:val="20"/>
          <w:lang w:val="sl-SI" w:eastAsia="en-GB"/>
        </w:rPr>
        <w:fldChar w:fldCharType="end"/>
      </w:r>
      <w:r w:rsidRPr="00275FBD">
        <w:rPr>
          <w:rFonts w:cs="TimesNewRomanPSMT"/>
          <w:szCs w:val="20"/>
          <w:lang w:val="sl-SI" w:eastAsia="en-GB"/>
        </w:rPr>
        <w:t xml:space="preserve"> pa prikazuje primerjavo </w:t>
      </w:r>
      <w:r w:rsidR="004B2E4F" w:rsidRPr="00275FBD">
        <w:rPr>
          <w:rFonts w:cs="TimesNewRomanPSMT"/>
          <w:szCs w:val="20"/>
          <w:lang w:val="sl-SI" w:eastAsia="en-GB"/>
        </w:rPr>
        <w:t>porazdelitve</w:t>
      </w:r>
      <w:r w:rsidRPr="00275FBD">
        <w:rPr>
          <w:rFonts w:cs="TimesNewRomanPSMT"/>
          <w:szCs w:val="20"/>
          <w:lang w:val="sl-SI" w:eastAsia="en-GB"/>
        </w:rPr>
        <w:t xml:space="preserve"> CDF</w:t>
      </w:r>
      <w:r w:rsidR="004B2E4F" w:rsidRPr="00275FBD">
        <w:rPr>
          <w:rFonts w:cs="TimesNewRomanPSMT"/>
          <w:szCs w:val="20"/>
          <w:lang w:val="sl-SI" w:eastAsia="en-GB"/>
        </w:rPr>
        <w:t>, ko elektrarna obratuje</w:t>
      </w:r>
      <w:r w:rsidRPr="00275FBD">
        <w:rPr>
          <w:rFonts w:cs="TimesNewRomanPSMT"/>
          <w:szCs w:val="20"/>
          <w:lang w:val="sl-SI" w:eastAsia="en-GB"/>
        </w:rPr>
        <w:t xml:space="preserve"> </w:t>
      </w:r>
      <w:r w:rsidR="004B2E4F" w:rsidRPr="00275FBD">
        <w:rPr>
          <w:rFonts w:cs="TimesNewRomanPSMT"/>
          <w:szCs w:val="20"/>
          <w:lang w:val="sl-SI" w:eastAsia="en-GB"/>
        </w:rPr>
        <w:t>na</w:t>
      </w:r>
      <w:r w:rsidRPr="00275FBD">
        <w:rPr>
          <w:rFonts w:cs="TimesNewRomanPSMT"/>
          <w:szCs w:val="20"/>
          <w:lang w:val="sl-SI" w:eastAsia="en-GB"/>
        </w:rPr>
        <w:t xml:space="preserve"> moči</w:t>
      </w:r>
      <w:r w:rsidR="004B2E4F" w:rsidRPr="00275FBD">
        <w:rPr>
          <w:rFonts w:cs="TimesNewRomanPSMT"/>
          <w:szCs w:val="20"/>
          <w:lang w:val="sl-SI" w:eastAsia="en-GB"/>
        </w:rPr>
        <w:t>,</w:t>
      </w:r>
      <w:r w:rsidRPr="00275FBD">
        <w:rPr>
          <w:rFonts w:cs="TimesNewRomanPSMT"/>
          <w:szCs w:val="20"/>
          <w:lang w:val="sl-SI" w:eastAsia="en-GB"/>
        </w:rPr>
        <w:t xml:space="preserve"> glede na glavne kategorije </w:t>
      </w:r>
      <w:r w:rsidR="004B2E4F" w:rsidRPr="00275FBD">
        <w:rPr>
          <w:rFonts w:cs="TimesNewRomanPSMT"/>
          <w:szCs w:val="20"/>
          <w:lang w:val="sl-SI" w:eastAsia="en-GB"/>
        </w:rPr>
        <w:t>izpustov</w:t>
      </w:r>
      <w:r w:rsidRPr="00275FBD">
        <w:rPr>
          <w:rFonts w:cs="TimesNewRomanPSMT"/>
          <w:szCs w:val="20"/>
          <w:lang w:val="sl-SI" w:eastAsia="en-GB"/>
        </w:rPr>
        <w:t xml:space="preserve">, ob upoštevanju vseh načinov </w:t>
      </w:r>
      <w:r w:rsidR="004B2E4F" w:rsidRPr="00275FBD">
        <w:rPr>
          <w:rFonts w:cs="TimesNewRomanPSMT"/>
          <w:szCs w:val="20"/>
          <w:lang w:val="sl-SI" w:eastAsia="en-GB"/>
        </w:rPr>
        <w:t>obratovanja</w:t>
      </w:r>
      <w:r w:rsidRPr="00275FBD">
        <w:rPr>
          <w:rFonts w:cs="TimesNewRomanPSMT"/>
          <w:szCs w:val="20"/>
          <w:lang w:val="sl-SI" w:eastAsia="en-GB"/>
        </w:rPr>
        <w:t xml:space="preserve"> in vseh </w:t>
      </w:r>
      <w:r w:rsidR="009B3344" w:rsidRPr="00275FBD">
        <w:rPr>
          <w:iCs/>
          <w:lang w:val="sl-SI"/>
        </w:rPr>
        <w:t>začetn</w:t>
      </w:r>
      <w:r w:rsidR="009B3344">
        <w:rPr>
          <w:iCs/>
          <w:lang w:val="sl-SI"/>
        </w:rPr>
        <w:t>ih</w:t>
      </w:r>
      <w:r w:rsidR="009B3344" w:rsidRPr="00275FBD">
        <w:rPr>
          <w:iCs/>
          <w:lang w:val="sl-SI"/>
        </w:rPr>
        <w:t xml:space="preserve"> dogodk</w:t>
      </w:r>
      <w:r w:rsidR="009B3344">
        <w:rPr>
          <w:iCs/>
          <w:lang w:val="sl-SI"/>
        </w:rPr>
        <w:t>ov</w:t>
      </w:r>
      <w:r w:rsidRPr="00275FBD">
        <w:rPr>
          <w:rFonts w:cs="TimesNewRomanPSMT"/>
          <w:szCs w:val="20"/>
          <w:lang w:val="sl-SI" w:eastAsia="en-GB"/>
        </w:rPr>
        <w:t>.</w:t>
      </w:r>
    </w:p>
    <w:p w14:paraId="2506EB49" w14:textId="0E51306B" w:rsidR="004F1ACE" w:rsidRPr="00275FBD" w:rsidRDefault="004F1ACE" w:rsidP="004F1ACE">
      <w:pPr>
        <w:rPr>
          <w:rFonts w:cs="TimesNewRomanPSMT"/>
          <w:szCs w:val="20"/>
          <w:lang w:val="sl-SI" w:eastAsia="en-GB"/>
        </w:rPr>
      </w:pPr>
      <w:r w:rsidRPr="00275FBD">
        <w:rPr>
          <w:rFonts w:cs="TimesNewRomanPSMT"/>
          <w:szCs w:val="20"/>
          <w:lang w:val="sl-SI" w:eastAsia="en-GB"/>
        </w:rPr>
        <w:t xml:space="preserve">Kot je razvidno, se je CDF v zadnjem desetletju znatno zmanjšal za vse glavne kategorije </w:t>
      </w:r>
      <w:r w:rsidR="009B3344" w:rsidRPr="00275FBD">
        <w:rPr>
          <w:iCs/>
          <w:lang w:val="sl-SI"/>
        </w:rPr>
        <w:t>začetn</w:t>
      </w:r>
      <w:r w:rsidR="009B3344">
        <w:rPr>
          <w:iCs/>
          <w:lang w:val="sl-SI"/>
        </w:rPr>
        <w:t>ih</w:t>
      </w:r>
      <w:r w:rsidR="009B3344" w:rsidRPr="00275FBD">
        <w:rPr>
          <w:iCs/>
          <w:lang w:val="sl-SI"/>
        </w:rPr>
        <w:t xml:space="preserve"> dogodk</w:t>
      </w:r>
      <w:r w:rsidR="009B3344">
        <w:rPr>
          <w:iCs/>
          <w:lang w:val="sl-SI"/>
        </w:rPr>
        <w:t>ov</w:t>
      </w:r>
      <w:r w:rsidRPr="00275FBD">
        <w:rPr>
          <w:rFonts w:cs="TimesNewRomanPSMT"/>
          <w:szCs w:val="20"/>
          <w:lang w:val="sl-SI" w:eastAsia="en-GB"/>
        </w:rPr>
        <w:t xml:space="preserve">, tako notranje kot zunanje. Ocenjuje se, da se je skupni CDF zmanjšal za faktor 6, upoštevajoč vse </w:t>
      </w:r>
      <w:r w:rsidR="009B3344" w:rsidRPr="00275FBD">
        <w:rPr>
          <w:iCs/>
          <w:lang w:val="sl-SI"/>
        </w:rPr>
        <w:t>začetn</w:t>
      </w:r>
      <w:r w:rsidR="009B3344">
        <w:rPr>
          <w:iCs/>
          <w:lang w:val="sl-SI"/>
        </w:rPr>
        <w:t>e</w:t>
      </w:r>
      <w:r w:rsidR="009B3344" w:rsidRPr="00275FBD">
        <w:rPr>
          <w:iCs/>
          <w:lang w:val="sl-SI"/>
        </w:rPr>
        <w:t xml:space="preserve"> dogodk</w:t>
      </w:r>
      <w:r w:rsidR="009B3344">
        <w:rPr>
          <w:iCs/>
          <w:lang w:val="sl-SI"/>
        </w:rPr>
        <w:t>e</w:t>
      </w:r>
      <w:r w:rsidR="001E0F74">
        <w:rPr>
          <w:iCs/>
          <w:lang w:val="sl-SI"/>
        </w:rPr>
        <w:t xml:space="preserve"> </w:t>
      </w:r>
      <w:r w:rsidRPr="00275FBD">
        <w:rPr>
          <w:rFonts w:cs="TimesNewRomanPSMT"/>
          <w:szCs w:val="20"/>
          <w:lang w:val="sl-SI" w:eastAsia="en-GB"/>
        </w:rPr>
        <w:t xml:space="preserve">in vse načine </w:t>
      </w:r>
      <w:r w:rsidR="004B2E4F" w:rsidRPr="00275FBD">
        <w:rPr>
          <w:rFonts w:cs="TimesNewRomanPSMT"/>
          <w:szCs w:val="20"/>
          <w:lang w:val="sl-SI" w:eastAsia="en-GB"/>
        </w:rPr>
        <w:t>obrat</w:t>
      </w:r>
      <w:r w:rsidRPr="00275FBD">
        <w:rPr>
          <w:rFonts w:cs="TimesNewRomanPSMT"/>
          <w:szCs w:val="20"/>
          <w:lang w:val="sl-SI" w:eastAsia="en-GB"/>
        </w:rPr>
        <w:t>ovanja.</w:t>
      </w:r>
    </w:p>
    <w:p w14:paraId="122E0878" w14:textId="3D3D8FB0" w:rsidR="00EA6EB9" w:rsidRPr="00275FBD" w:rsidRDefault="00EA6EB9" w:rsidP="00EA6EB9">
      <w:pPr>
        <w:rPr>
          <w:rFonts w:cs="TimesNewRomanPSMT"/>
          <w:szCs w:val="20"/>
          <w:lang w:val="sl-SI" w:eastAsia="en-GB"/>
        </w:rPr>
      </w:pPr>
      <w:r w:rsidRPr="00275FBD">
        <w:rPr>
          <w:rFonts w:cs="TimesNewRomanPSMT"/>
          <w:szCs w:val="20"/>
          <w:lang w:val="sl-SI" w:eastAsia="en-GB"/>
        </w:rPr>
        <w:t xml:space="preserve">LERF se je zmanjšal skoraj </w:t>
      </w:r>
      <w:r w:rsidR="00882E76" w:rsidRPr="00275FBD">
        <w:rPr>
          <w:rFonts w:cs="TimesNewRomanPSMT"/>
          <w:szCs w:val="20"/>
          <w:lang w:val="sl-SI" w:eastAsia="en-GB"/>
        </w:rPr>
        <w:t xml:space="preserve">za </w:t>
      </w:r>
      <w:r w:rsidRPr="00275FBD">
        <w:rPr>
          <w:rFonts w:cs="TimesNewRomanPSMT"/>
          <w:szCs w:val="20"/>
          <w:lang w:val="sl-SI" w:eastAsia="en-GB"/>
        </w:rPr>
        <w:t xml:space="preserve">faktor 5, kot </w:t>
      </w:r>
      <w:r w:rsidR="00690533">
        <w:rPr>
          <w:rFonts w:cs="TimesNewRomanPSMT"/>
          <w:szCs w:val="20"/>
          <w:lang w:val="sl-SI" w:eastAsia="en-GB"/>
        </w:rPr>
        <w:t>je razvidno</w:t>
      </w:r>
      <w:r w:rsidRPr="00275FBD">
        <w:rPr>
          <w:rFonts w:cs="TimesNewRomanPSMT"/>
          <w:szCs w:val="20"/>
          <w:lang w:val="sl-SI" w:eastAsia="en-GB"/>
        </w:rPr>
        <w:t xml:space="preserve"> na </w:t>
      </w:r>
      <w:r w:rsidRPr="00275FBD">
        <w:rPr>
          <w:rFonts w:cs="TimesNewRomanPSMT"/>
          <w:szCs w:val="20"/>
          <w:lang w:val="sl-SI" w:eastAsia="en-GB"/>
        </w:rPr>
        <w:fldChar w:fldCharType="begin"/>
      </w:r>
      <w:r w:rsidRPr="00275FBD">
        <w:rPr>
          <w:rFonts w:cs="TimesNewRomanPSMT"/>
          <w:szCs w:val="20"/>
          <w:lang w:val="sl-SI" w:eastAsia="en-GB"/>
        </w:rPr>
        <w:instrText xml:space="preserve"> REF _Ref138412717 \h </w:instrText>
      </w:r>
      <w:r w:rsidRPr="00275FBD">
        <w:rPr>
          <w:rFonts w:cs="TimesNewRomanPSMT"/>
          <w:szCs w:val="20"/>
          <w:lang w:val="sl-SI" w:eastAsia="en-GB"/>
        </w:rPr>
      </w:r>
      <w:r w:rsidRPr="00275FBD">
        <w:rPr>
          <w:rFonts w:cs="TimesNewRomanPSMT"/>
          <w:szCs w:val="20"/>
          <w:lang w:val="sl-SI" w:eastAsia="en-GB"/>
        </w:rPr>
        <w:fldChar w:fldCharType="separate"/>
      </w:r>
      <w:r w:rsidR="00BA25CD" w:rsidRPr="00275FBD">
        <w:rPr>
          <w:rFonts w:cs="TimesNewRomanPSMT"/>
          <w:lang w:val="sl-SI" w:eastAsia="en-GB"/>
        </w:rPr>
        <w:t xml:space="preserve">Slika </w:t>
      </w:r>
      <w:r w:rsidR="00BA25CD">
        <w:rPr>
          <w:rFonts w:cs="TimesNewRomanPSMT"/>
          <w:noProof/>
          <w:lang w:val="sl-SI" w:eastAsia="en-GB"/>
        </w:rPr>
        <w:t>5</w:t>
      </w:r>
      <w:r w:rsidR="00BA25CD" w:rsidRPr="00275FBD">
        <w:rPr>
          <w:rFonts w:cs="TimesNewRomanPSMT"/>
          <w:lang w:val="sl-SI" w:eastAsia="en-GB"/>
        </w:rPr>
        <w:noBreakHyphen/>
      </w:r>
      <w:r w:rsidR="00BA25CD">
        <w:rPr>
          <w:rFonts w:cs="TimesNewRomanPSMT"/>
          <w:noProof/>
          <w:lang w:val="sl-SI" w:eastAsia="en-GB"/>
        </w:rPr>
        <w:t>4</w:t>
      </w:r>
      <w:r w:rsidRPr="00275FBD">
        <w:rPr>
          <w:rFonts w:cs="TimesNewRomanPSMT"/>
          <w:szCs w:val="20"/>
          <w:lang w:val="sl-SI" w:eastAsia="en-GB"/>
        </w:rPr>
        <w:fldChar w:fldCharType="end"/>
      </w:r>
      <w:r w:rsidRPr="00275FBD">
        <w:rPr>
          <w:rFonts w:cs="TimesNewRomanPSMT"/>
          <w:szCs w:val="20"/>
          <w:lang w:val="sl-SI" w:eastAsia="en-GB"/>
        </w:rPr>
        <w:t xml:space="preserve">. </w:t>
      </w:r>
      <w:r w:rsidRPr="00275FBD">
        <w:rPr>
          <w:rFonts w:cs="TimesNewRomanPSMT"/>
          <w:szCs w:val="20"/>
          <w:lang w:val="sl-SI" w:eastAsia="en-GB"/>
        </w:rPr>
        <w:fldChar w:fldCharType="begin"/>
      </w:r>
      <w:r w:rsidRPr="00275FBD">
        <w:rPr>
          <w:rFonts w:cs="TimesNewRomanPSMT"/>
          <w:szCs w:val="20"/>
          <w:lang w:val="sl-SI" w:eastAsia="en-GB"/>
        </w:rPr>
        <w:instrText xml:space="preserve"> REF _Ref138412913 \h </w:instrText>
      </w:r>
      <w:r w:rsidRPr="00275FBD">
        <w:rPr>
          <w:rFonts w:cs="TimesNewRomanPSMT"/>
          <w:szCs w:val="20"/>
          <w:lang w:val="sl-SI" w:eastAsia="en-GB"/>
        </w:rPr>
      </w:r>
      <w:r w:rsidRPr="00275FBD">
        <w:rPr>
          <w:rFonts w:cs="TimesNewRomanPSMT"/>
          <w:szCs w:val="20"/>
          <w:lang w:val="sl-SI" w:eastAsia="en-GB"/>
        </w:rPr>
        <w:fldChar w:fldCharType="separate"/>
      </w:r>
      <w:r w:rsidR="00BA25CD" w:rsidRPr="00275FBD">
        <w:rPr>
          <w:rFonts w:cs="TimesNewRomanPSMT"/>
          <w:lang w:val="sl-SI" w:eastAsia="en-GB"/>
        </w:rPr>
        <w:t xml:space="preserve">Slika </w:t>
      </w:r>
      <w:r w:rsidR="00BA25CD">
        <w:rPr>
          <w:rFonts w:cs="TimesNewRomanPSMT"/>
          <w:noProof/>
          <w:lang w:val="sl-SI" w:eastAsia="en-GB"/>
        </w:rPr>
        <w:t>5</w:t>
      </w:r>
      <w:r w:rsidR="00BA25CD" w:rsidRPr="00275FBD">
        <w:rPr>
          <w:rFonts w:cs="TimesNewRomanPSMT"/>
          <w:lang w:val="sl-SI" w:eastAsia="en-GB"/>
        </w:rPr>
        <w:noBreakHyphen/>
      </w:r>
      <w:r w:rsidR="00BA25CD">
        <w:rPr>
          <w:rFonts w:cs="TimesNewRomanPSMT"/>
          <w:noProof/>
          <w:lang w:val="sl-SI" w:eastAsia="en-GB"/>
        </w:rPr>
        <w:t>5</w:t>
      </w:r>
      <w:r w:rsidRPr="00275FBD">
        <w:rPr>
          <w:rFonts w:cs="TimesNewRomanPSMT"/>
          <w:szCs w:val="20"/>
          <w:lang w:val="sl-SI" w:eastAsia="en-GB"/>
        </w:rPr>
        <w:fldChar w:fldCharType="end"/>
      </w:r>
      <w:r w:rsidRPr="00275FBD">
        <w:rPr>
          <w:rFonts w:cs="TimesNewRomanPSMT"/>
          <w:szCs w:val="20"/>
          <w:lang w:val="sl-SI" w:eastAsia="en-GB"/>
        </w:rPr>
        <w:t xml:space="preserve"> pa prikazuje rezultate za vse štiri glavne kategorije radioaktivnih izpustov. </w:t>
      </w:r>
      <w:r w:rsidR="00690533">
        <w:rPr>
          <w:rFonts w:cs="TimesNewRomanPSMT"/>
          <w:szCs w:val="20"/>
          <w:lang w:val="sl-SI" w:eastAsia="en-GB"/>
        </w:rPr>
        <w:t>V</w:t>
      </w:r>
      <w:r w:rsidRPr="00275FBD">
        <w:rPr>
          <w:rFonts w:cs="TimesNewRomanPSMT"/>
          <w:szCs w:val="20"/>
          <w:lang w:val="sl-SI" w:eastAsia="en-GB"/>
        </w:rPr>
        <w:t xml:space="preserve"> zvezi z glavnimi kategorijami izpustov </w:t>
      </w:r>
      <w:r w:rsidR="00690533">
        <w:rPr>
          <w:rFonts w:cs="TimesNewRomanPSMT"/>
          <w:szCs w:val="20"/>
          <w:lang w:val="sl-SI" w:eastAsia="en-GB"/>
        </w:rPr>
        <w:t xml:space="preserve">je </w:t>
      </w:r>
      <w:r w:rsidRPr="00275FBD">
        <w:rPr>
          <w:rFonts w:cs="TimesNewRomanPSMT"/>
          <w:szCs w:val="20"/>
          <w:lang w:val="sl-SI" w:eastAsia="en-GB"/>
        </w:rPr>
        <w:t>največje zmanjšanje doseženo pri poznih izpustih, k</w:t>
      </w:r>
      <w:r w:rsidR="001E0F74">
        <w:rPr>
          <w:rFonts w:cs="TimesNewRomanPSMT"/>
          <w:szCs w:val="20"/>
          <w:lang w:val="sl-SI" w:eastAsia="en-GB"/>
        </w:rPr>
        <w:t>ar</w:t>
      </w:r>
      <w:r w:rsidRPr="00275FBD">
        <w:rPr>
          <w:rFonts w:cs="TimesNewRomanPSMT"/>
          <w:szCs w:val="20"/>
          <w:lang w:val="sl-SI" w:eastAsia="en-GB"/>
        </w:rPr>
        <w:t xml:space="preserve"> delno izhaja iz splošnega zmanjšanja CDF (večji del) in delno zaradi vgradnje sistema PCFV</w:t>
      </w:r>
      <w:r w:rsidR="00C46F9C" w:rsidRPr="00275FBD">
        <w:rPr>
          <w:rFonts w:cs="TimesNewRomanPSMT"/>
          <w:szCs w:val="20"/>
          <w:lang w:val="sl-SI" w:eastAsia="en-GB"/>
        </w:rPr>
        <w:t xml:space="preserve"> (zaradi če</w:t>
      </w:r>
      <w:r w:rsidR="00B43366">
        <w:rPr>
          <w:rFonts w:cs="TimesNewRomanPSMT"/>
          <w:szCs w:val="20"/>
          <w:lang w:val="sl-SI" w:eastAsia="en-GB"/>
        </w:rPr>
        <w:t>sar</w:t>
      </w:r>
      <w:r w:rsidR="00C46F9C" w:rsidRPr="00275FBD">
        <w:rPr>
          <w:rFonts w:cs="TimesNewRomanPSMT"/>
          <w:szCs w:val="20"/>
          <w:lang w:val="sl-SI" w:eastAsia="en-GB"/>
        </w:rPr>
        <w:t xml:space="preserve"> del izpustov postane filtriran)</w:t>
      </w:r>
      <w:r w:rsidRPr="00275FBD">
        <w:rPr>
          <w:rFonts w:cs="TimesNewRomanPSMT"/>
          <w:szCs w:val="20"/>
          <w:lang w:val="sl-SI" w:eastAsia="en-GB"/>
        </w:rPr>
        <w:t>.</w:t>
      </w:r>
    </w:p>
    <w:p w14:paraId="096D6720" w14:textId="69CC820D" w:rsidR="00EA6EB9" w:rsidRPr="00275FBD" w:rsidRDefault="001E0F74" w:rsidP="00EA6EB9">
      <w:pPr>
        <w:rPr>
          <w:rFonts w:cs="TimesNewRomanPSMT"/>
          <w:szCs w:val="20"/>
          <w:lang w:val="sl-SI" w:eastAsia="en-GB"/>
        </w:rPr>
      </w:pPr>
      <w:r w:rsidRPr="00275FBD">
        <w:rPr>
          <w:rFonts w:cs="TimesNewRomanPSMT"/>
          <w:szCs w:val="20"/>
          <w:lang w:val="sl-SI" w:eastAsia="en-GB"/>
        </w:rPr>
        <w:t>NEK dosega verjetnostne varnostne cilje</w:t>
      </w:r>
      <w:r w:rsidRPr="005E252C" w:rsidDel="001E0F74">
        <w:rPr>
          <w:rFonts w:cs="TimesNewRomanPSMT"/>
          <w:szCs w:val="20"/>
          <w:lang w:val="sl-SI" w:eastAsia="en-GB"/>
        </w:rPr>
        <w:t xml:space="preserve"> </w:t>
      </w:r>
      <w:r w:rsidR="00EA6EB9" w:rsidRPr="005E252C">
        <w:rPr>
          <w:rFonts w:cs="TimesNewRomanPSMT"/>
          <w:szCs w:val="20"/>
          <w:lang w:val="sl-SI" w:eastAsia="en-GB"/>
        </w:rPr>
        <w:t xml:space="preserve">CDF </w:t>
      </w:r>
      <w:r>
        <w:rPr>
          <w:rFonts w:cs="TimesNewRomanPSMT"/>
          <w:szCs w:val="20"/>
          <w:lang w:val="sl-SI" w:eastAsia="en-GB"/>
        </w:rPr>
        <w:t>in</w:t>
      </w:r>
      <w:r w:rsidRPr="005E252C">
        <w:rPr>
          <w:rFonts w:cs="TimesNewRomanPSMT"/>
          <w:szCs w:val="20"/>
          <w:lang w:val="sl-SI" w:eastAsia="en-GB"/>
        </w:rPr>
        <w:t xml:space="preserve"> </w:t>
      </w:r>
      <w:r w:rsidR="00EA6EB9" w:rsidRPr="005E252C">
        <w:rPr>
          <w:rFonts w:cs="TimesNewRomanPSMT"/>
          <w:szCs w:val="20"/>
          <w:lang w:val="sl-SI" w:eastAsia="en-GB"/>
        </w:rPr>
        <w:t xml:space="preserve">LERF, </w:t>
      </w:r>
      <w:r>
        <w:rPr>
          <w:rFonts w:cs="TimesNewRomanPSMT"/>
          <w:szCs w:val="20"/>
          <w:lang w:val="sl-SI" w:eastAsia="en-GB"/>
        </w:rPr>
        <w:t>ki sta</w:t>
      </w:r>
      <w:r w:rsidRPr="005E252C">
        <w:rPr>
          <w:rFonts w:cs="TimesNewRomanPSMT"/>
          <w:szCs w:val="20"/>
          <w:lang w:val="sl-SI" w:eastAsia="en-GB"/>
        </w:rPr>
        <w:t xml:space="preserve"> </w:t>
      </w:r>
      <w:r w:rsidR="00EA6EB9" w:rsidRPr="005E252C">
        <w:rPr>
          <w:rFonts w:cs="TimesNewRomanPSMT"/>
          <w:szCs w:val="20"/>
          <w:lang w:val="sl-SI" w:eastAsia="en-GB"/>
        </w:rPr>
        <w:t xml:space="preserve">glavni </w:t>
      </w:r>
      <w:r w:rsidR="005E252C" w:rsidRPr="005E252C">
        <w:rPr>
          <w:rFonts w:cs="TimesNewRomanPSMT"/>
          <w:szCs w:val="20"/>
          <w:lang w:val="sl-SI" w:eastAsia="en-GB"/>
        </w:rPr>
        <w:t>meril</w:t>
      </w:r>
      <w:r>
        <w:rPr>
          <w:rFonts w:cs="TimesNewRomanPSMT"/>
          <w:szCs w:val="20"/>
          <w:lang w:val="sl-SI" w:eastAsia="en-GB"/>
        </w:rPr>
        <w:t>i</w:t>
      </w:r>
      <w:r w:rsidR="005E252C" w:rsidRPr="005E252C">
        <w:rPr>
          <w:rFonts w:cs="TimesNewRomanPSMT"/>
          <w:szCs w:val="20"/>
          <w:lang w:val="sl-SI" w:eastAsia="en-GB"/>
        </w:rPr>
        <w:t xml:space="preserve"> </w:t>
      </w:r>
      <w:r w:rsidR="00EA6EB9" w:rsidRPr="005E252C">
        <w:rPr>
          <w:rFonts w:cs="TimesNewRomanPSMT"/>
          <w:szCs w:val="20"/>
          <w:lang w:val="sl-SI" w:eastAsia="en-GB"/>
        </w:rPr>
        <w:t>tveganja in</w:t>
      </w:r>
      <w:r w:rsidR="00EA6EB9" w:rsidRPr="00275FBD">
        <w:rPr>
          <w:rFonts w:cs="TimesNewRomanPSMT"/>
          <w:szCs w:val="20"/>
          <w:lang w:val="sl-SI" w:eastAsia="en-GB"/>
        </w:rPr>
        <w:t xml:space="preserve"> </w:t>
      </w:r>
      <w:r>
        <w:rPr>
          <w:rFonts w:cs="TimesNewRomanPSMT"/>
          <w:szCs w:val="20"/>
          <w:lang w:val="sl-SI" w:eastAsia="en-GB"/>
        </w:rPr>
        <w:t>kazalca</w:t>
      </w:r>
      <w:r w:rsidRPr="00275FBD">
        <w:rPr>
          <w:rFonts w:cs="TimesNewRomanPSMT"/>
          <w:szCs w:val="20"/>
          <w:lang w:val="sl-SI" w:eastAsia="en-GB"/>
        </w:rPr>
        <w:t xml:space="preserve"> </w:t>
      </w:r>
      <w:r w:rsidR="00EA6EB9" w:rsidRPr="00275FBD">
        <w:rPr>
          <w:rFonts w:cs="TimesNewRomanPSMT"/>
          <w:szCs w:val="20"/>
          <w:lang w:val="sl-SI" w:eastAsia="en-GB"/>
        </w:rPr>
        <w:t xml:space="preserve">splošne jedrske varnosti, </w:t>
      </w:r>
      <w:r>
        <w:rPr>
          <w:rFonts w:cs="TimesNewRomanPSMT"/>
          <w:szCs w:val="20"/>
          <w:lang w:val="sl-SI" w:eastAsia="en-GB"/>
        </w:rPr>
        <w:t xml:space="preserve">tako </w:t>
      </w:r>
      <w:r w:rsidR="00EA6EB9" w:rsidRPr="00275FBD">
        <w:rPr>
          <w:rFonts w:cs="TimesNewRomanPSMT"/>
          <w:szCs w:val="20"/>
          <w:lang w:val="sl-SI" w:eastAsia="en-GB"/>
        </w:rPr>
        <w:t xml:space="preserve">kot so mednarodno </w:t>
      </w:r>
      <w:r w:rsidR="005E252C">
        <w:rPr>
          <w:rFonts w:cs="TimesNewRomanPSMT"/>
          <w:szCs w:val="20"/>
          <w:lang w:val="sl-SI" w:eastAsia="en-GB"/>
        </w:rPr>
        <w:t>določe</w:t>
      </w:r>
      <w:r w:rsidR="005E252C" w:rsidRPr="00275FBD">
        <w:rPr>
          <w:rFonts w:cs="TimesNewRomanPSMT"/>
          <w:szCs w:val="20"/>
          <w:lang w:val="sl-SI" w:eastAsia="en-GB"/>
        </w:rPr>
        <w:t xml:space="preserve">ni </w:t>
      </w:r>
      <w:r w:rsidR="00EA6EB9" w:rsidRPr="00275FBD">
        <w:rPr>
          <w:rFonts w:cs="TimesNewRomanPSMT"/>
          <w:szCs w:val="20"/>
          <w:lang w:val="sl-SI" w:eastAsia="en-GB"/>
        </w:rPr>
        <w:t>za generacijo</w:t>
      </w:r>
      <w:r>
        <w:rPr>
          <w:rFonts w:cs="TimesNewRomanPSMT"/>
          <w:szCs w:val="20"/>
          <w:lang w:val="sl-SI" w:eastAsia="en-GB"/>
        </w:rPr>
        <w:t xml:space="preserve"> elektrarn</w:t>
      </w:r>
      <w:r w:rsidR="00EA6EB9" w:rsidRPr="00275FBD">
        <w:rPr>
          <w:rFonts w:cs="TimesNewRomanPSMT"/>
          <w:szCs w:val="20"/>
          <w:lang w:val="sl-SI" w:eastAsia="en-GB"/>
        </w:rPr>
        <w:t xml:space="preserve">, </w:t>
      </w:r>
      <w:r>
        <w:rPr>
          <w:rFonts w:cs="TimesNewRomanPSMT"/>
          <w:szCs w:val="20"/>
          <w:lang w:val="sl-SI" w:eastAsia="en-GB"/>
        </w:rPr>
        <w:t xml:space="preserve">v katero spada </w:t>
      </w:r>
      <w:r w:rsidR="00C46F9C" w:rsidRPr="00275FBD">
        <w:rPr>
          <w:rFonts w:cs="TimesNewRomanPSMT"/>
          <w:szCs w:val="20"/>
          <w:lang w:val="sl-SI" w:eastAsia="en-GB"/>
        </w:rPr>
        <w:t>NEK</w:t>
      </w:r>
      <w:r w:rsidR="00EA6EB9" w:rsidRPr="00275FBD">
        <w:rPr>
          <w:rFonts w:cs="TimesNewRomanPSMT"/>
          <w:szCs w:val="20"/>
          <w:lang w:val="sl-SI" w:eastAsia="en-GB"/>
        </w:rPr>
        <w:t>.</w:t>
      </w:r>
    </w:p>
    <w:p w14:paraId="264B3CB6" w14:textId="77777777" w:rsidR="001E0F74" w:rsidRPr="00275FBD" w:rsidRDefault="001E0F74" w:rsidP="00ED1A59">
      <w:pPr>
        <w:rPr>
          <w:rFonts w:cs="TimesNewRomanPSMT"/>
          <w:szCs w:val="20"/>
          <w:lang w:val="sl-SI" w:eastAsia="en-GB"/>
        </w:rPr>
      </w:pPr>
    </w:p>
    <w:p w14:paraId="6965F63F" w14:textId="77777777" w:rsidR="00ED1A59" w:rsidRPr="00275FBD" w:rsidRDefault="00ED1A59" w:rsidP="00ED1A59">
      <w:pPr>
        <w:rPr>
          <w:rFonts w:cs="TimesNewRomanPSMT"/>
          <w:szCs w:val="20"/>
          <w:lang w:val="sl-SI" w:eastAsia="en-GB"/>
        </w:rPr>
      </w:pPr>
    </w:p>
    <w:p w14:paraId="07A4B95D" w14:textId="784180C6" w:rsidR="00ED1A59" w:rsidRPr="00275FBD" w:rsidRDefault="006B2E0E" w:rsidP="00ED1A59">
      <w:pPr>
        <w:rPr>
          <w:rFonts w:cs="TimesNewRomanPSMT"/>
          <w:szCs w:val="20"/>
          <w:lang w:val="sl-SI" w:eastAsia="en-GB"/>
        </w:rPr>
      </w:pPr>
      <w:r w:rsidRPr="00275FBD">
        <w:rPr>
          <w:noProof/>
          <w:lang w:val="sl-SI" w:eastAsia="en-GB"/>
        </w:rPr>
        <w:drawing>
          <wp:inline distT="0" distB="0" distL="0" distR="0" wp14:anchorId="7B8E471C" wp14:editId="453087EA">
            <wp:extent cx="5090160" cy="2714228"/>
            <wp:effectExtent l="0" t="0" r="0" b="0"/>
            <wp:docPr id="63556816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68161" name="Picture 3">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93386" cy="2715948"/>
                    </a:xfrm>
                    <a:prstGeom prst="rect">
                      <a:avLst/>
                    </a:prstGeom>
                    <a:noFill/>
                    <a:ln>
                      <a:noFill/>
                    </a:ln>
                  </pic:spPr>
                </pic:pic>
              </a:graphicData>
            </a:graphic>
          </wp:inline>
        </w:drawing>
      </w:r>
    </w:p>
    <w:p w14:paraId="5567DC88" w14:textId="77777777" w:rsidR="00ED1A59" w:rsidRPr="00275FBD" w:rsidRDefault="00ED1A59" w:rsidP="00ED1A59">
      <w:pPr>
        <w:rPr>
          <w:rFonts w:cs="TimesNewRomanPSMT"/>
          <w:szCs w:val="20"/>
          <w:lang w:val="sl-SI" w:eastAsia="en-GB"/>
        </w:rPr>
      </w:pPr>
    </w:p>
    <w:p w14:paraId="45B1643F" w14:textId="403F917F" w:rsidR="00ED1A59" w:rsidRPr="00275FBD" w:rsidRDefault="000A2C1E" w:rsidP="000A2C1E">
      <w:pPr>
        <w:pStyle w:val="Napis"/>
        <w:rPr>
          <w:rFonts w:cs="TimesNewRomanPSMT"/>
          <w:lang w:val="sl-SI" w:eastAsia="en-GB"/>
        </w:rPr>
      </w:pPr>
      <w:bookmarkStart w:id="81" w:name="_Ref138412676"/>
      <w:bookmarkStart w:id="82" w:name="_Toc163197456"/>
      <w:r w:rsidRPr="00275FBD">
        <w:rPr>
          <w:rFonts w:cs="TimesNewRomanPSMT"/>
          <w:lang w:val="sl-SI" w:eastAsia="en-GB"/>
        </w:rPr>
        <w:t xml:space="preserve">Slika </w:t>
      </w:r>
      <w:r w:rsidRPr="00275FBD">
        <w:rPr>
          <w:rFonts w:cs="TimesNewRomanPSMT"/>
          <w:lang w:val="sl-SI" w:eastAsia="en-GB"/>
        </w:rPr>
        <w:fldChar w:fldCharType="begin"/>
      </w:r>
      <w:r w:rsidRPr="00275FBD">
        <w:rPr>
          <w:rFonts w:cs="TimesNewRomanPSMT"/>
          <w:lang w:val="sl-SI" w:eastAsia="en-GB"/>
        </w:rPr>
        <w:instrText xml:space="preserve"> STYLEREF 1 \s </w:instrText>
      </w:r>
      <w:r w:rsidRPr="00275FBD">
        <w:rPr>
          <w:rFonts w:cs="TimesNewRomanPSMT"/>
          <w:lang w:val="sl-SI" w:eastAsia="en-GB"/>
        </w:rPr>
        <w:fldChar w:fldCharType="separate"/>
      </w:r>
      <w:r w:rsidR="00BA25CD">
        <w:rPr>
          <w:rFonts w:cs="TimesNewRomanPSMT"/>
          <w:noProof/>
          <w:lang w:val="sl-SI" w:eastAsia="en-GB"/>
        </w:rPr>
        <w:t>5</w:t>
      </w:r>
      <w:r w:rsidRPr="00275FBD">
        <w:rPr>
          <w:rFonts w:cs="TimesNewRomanPSMT"/>
          <w:lang w:val="sl-SI" w:eastAsia="en-GB"/>
        </w:rPr>
        <w:fldChar w:fldCharType="end"/>
      </w:r>
      <w:r w:rsidRPr="00275FBD">
        <w:rPr>
          <w:rFonts w:cs="TimesNewRomanPSMT"/>
          <w:lang w:val="sl-SI" w:eastAsia="en-GB"/>
        </w:rPr>
        <w:noBreakHyphen/>
      </w:r>
      <w:r w:rsidRPr="00275FBD">
        <w:rPr>
          <w:rFonts w:cs="TimesNewRomanPSMT"/>
          <w:lang w:val="sl-SI" w:eastAsia="en-GB"/>
        </w:rPr>
        <w:fldChar w:fldCharType="begin"/>
      </w:r>
      <w:r w:rsidRPr="00275FBD">
        <w:rPr>
          <w:rFonts w:cs="TimesNewRomanPSMT"/>
          <w:lang w:val="sl-SI" w:eastAsia="en-GB"/>
        </w:rPr>
        <w:instrText xml:space="preserve"> SEQ Slika \* ARABIC \s 1 </w:instrText>
      </w:r>
      <w:r w:rsidRPr="00275FBD">
        <w:rPr>
          <w:rFonts w:cs="TimesNewRomanPSMT"/>
          <w:lang w:val="sl-SI" w:eastAsia="en-GB"/>
        </w:rPr>
        <w:fldChar w:fldCharType="separate"/>
      </w:r>
      <w:r w:rsidR="00BA25CD">
        <w:rPr>
          <w:rFonts w:cs="TimesNewRomanPSMT"/>
          <w:noProof/>
          <w:lang w:val="sl-SI" w:eastAsia="en-GB"/>
        </w:rPr>
        <w:t>3</w:t>
      </w:r>
      <w:r w:rsidRPr="00275FBD">
        <w:rPr>
          <w:rFonts w:cs="TimesNewRomanPSMT"/>
          <w:lang w:val="sl-SI" w:eastAsia="en-GB"/>
        </w:rPr>
        <w:fldChar w:fldCharType="end"/>
      </w:r>
      <w:bookmarkEnd w:id="81"/>
      <w:r w:rsidRPr="00275FBD">
        <w:rPr>
          <w:rFonts w:cs="TimesNewRomanPSMT"/>
          <w:lang w:val="sl-SI" w:eastAsia="en-GB"/>
        </w:rPr>
        <w:t xml:space="preserve">: Skupni CDF </w:t>
      </w:r>
      <w:r w:rsidR="001E0F74" w:rsidRPr="00275FBD">
        <w:rPr>
          <w:rFonts w:cs="TimesNewRomanPSMT"/>
          <w:lang w:val="sl-SI" w:eastAsia="en-GB"/>
        </w:rPr>
        <w:t>(</w:t>
      </w:r>
      <w:r w:rsidR="001E0F74">
        <w:rPr>
          <w:rFonts w:cs="TimesNewRomanPSMT"/>
          <w:lang w:val="sl-SI" w:eastAsia="en-GB"/>
        </w:rPr>
        <w:t xml:space="preserve">na </w:t>
      </w:r>
      <w:r w:rsidRPr="00275FBD">
        <w:rPr>
          <w:rFonts w:cs="TimesNewRomanPSMT"/>
          <w:lang w:val="sl-SI" w:eastAsia="en-GB"/>
        </w:rPr>
        <w:t>leto) – PSR3 v primerjavi s PSR2 (vsi načini obratovanja)</w:t>
      </w:r>
      <w:bookmarkEnd w:id="82"/>
    </w:p>
    <w:p w14:paraId="415FA877" w14:textId="77777777" w:rsidR="00ED1A59" w:rsidRDefault="00ED1A59" w:rsidP="00ED1A59">
      <w:pPr>
        <w:rPr>
          <w:rFonts w:cs="TimesNewRomanPSMT"/>
          <w:szCs w:val="20"/>
          <w:lang w:val="sl-SI" w:eastAsia="en-GB"/>
        </w:rPr>
      </w:pPr>
    </w:p>
    <w:p w14:paraId="0D883751" w14:textId="259B784A" w:rsidR="001E0F74" w:rsidRDefault="001E0F74">
      <w:pPr>
        <w:spacing w:before="0" w:after="0"/>
        <w:jc w:val="left"/>
        <w:rPr>
          <w:rFonts w:cs="TimesNewRomanPSMT"/>
          <w:szCs w:val="20"/>
          <w:lang w:val="sl-SI" w:eastAsia="en-GB"/>
        </w:rPr>
      </w:pPr>
      <w:r>
        <w:rPr>
          <w:rFonts w:cs="TimesNewRomanPSMT"/>
          <w:szCs w:val="20"/>
          <w:lang w:val="sl-SI" w:eastAsia="en-GB"/>
        </w:rPr>
        <w:br w:type="page"/>
      </w:r>
    </w:p>
    <w:p w14:paraId="0DCEC66F" w14:textId="08CBA01E" w:rsidR="00ED1A59" w:rsidRPr="00275FBD" w:rsidRDefault="006B2E0E" w:rsidP="00ED1A59">
      <w:pPr>
        <w:rPr>
          <w:rFonts w:cs="TimesNewRomanPSMT"/>
          <w:szCs w:val="20"/>
          <w:lang w:val="sl-SI" w:eastAsia="en-GB"/>
        </w:rPr>
      </w:pPr>
      <w:r w:rsidRPr="00275FBD">
        <w:rPr>
          <w:noProof/>
          <w:lang w:val="sl-SI" w:eastAsia="en-GB"/>
        </w:rPr>
        <w:lastRenderedPageBreak/>
        <w:drawing>
          <wp:inline distT="0" distB="0" distL="0" distR="0" wp14:anchorId="71642239" wp14:editId="71DAF924">
            <wp:extent cx="5059680" cy="2697975"/>
            <wp:effectExtent l="0" t="0" r="7620" b="7620"/>
            <wp:docPr id="162736871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368713" name="Picture 4">
                      <a:extLst>
                        <a:ext uri="{C183D7F6-B498-43B3-948B-1728B52AA6E4}">
                          <adec:decorative xmlns:adec="http://schemas.microsoft.com/office/drawing/2017/decorative" val="1"/>
                        </a:ext>
                      </a:extLs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61764" cy="2699086"/>
                    </a:xfrm>
                    <a:prstGeom prst="rect">
                      <a:avLst/>
                    </a:prstGeom>
                    <a:noFill/>
                    <a:ln>
                      <a:noFill/>
                    </a:ln>
                  </pic:spPr>
                </pic:pic>
              </a:graphicData>
            </a:graphic>
          </wp:inline>
        </w:drawing>
      </w:r>
    </w:p>
    <w:p w14:paraId="509F44B3" w14:textId="77777777" w:rsidR="00ED1A59" w:rsidRPr="00275FBD" w:rsidRDefault="00ED1A59" w:rsidP="00ED1A59">
      <w:pPr>
        <w:rPr>
          <w:rFonts w:cs="TimesNewRomanPSMT"/>
          <w:szCs w:val="20"/>
          <w:lang w:val="sl-SI" w:eastAsia="en-GB"/>
        </w:rPr>
      </w:pPr>
    </w:p>
    <w:p w14:paraId="08ECEAB3" w14:textId="23EAA391" w:rsidR="000A2C1E" w:rsidRPr="00275FBD" w:rsidRDefault="000A2C1E" w:rsidP="000A2C1E">
      <w:pPr>
        <w:pStyle w:val="Napis"/>
        <w:rPr>
          <w:rFonts w:cs="TimesNewRomanPSMT"/>
          <w:lang w:val="sl-SI" w:eastAsia="en-GB"/>
        </w:rPr>
      </w:pPr>
      <w:bookmarkStart w:id="83" w:name="_Ref138412717"/>
      <w:bookmarkStart w:id="84" w:name="_Toc163197457"/>
      <w:r w:rsidRPr="00275FBD">
        <w:rPr>
          <w:rFonts w:cs="TimesNewRomanPSMT"/>
          <w:lang w:val="sl-SI" w:eastAsia="en-GB"/>
        </w:rPr>
        <w:t xml:space="preserve">Slika </w:t>
      </w:r>
      <w:r w:rsidRPr="00275FBD">
        <w:rPr>
          <w:rFonts w:cs="TimesNewRomanPSMT"/>
          <w:lang w:val="sl-SI" w:eastAsia="en-GB"/>
        </w:rPr>
        <w:fldChar w:fldCharType="begin"/>
      </w:r>
      <w:r w:rsidRPr="00275FBD">
        <w:rPr>
          <w:rFonts w:cs="TimesNewRomanPSMT"/>
          <w:lang w:val="sl-SI" w:eastAsia="en-GB"/>
        </w:rPr>
        <w:instrText xml:space="preserve"> STYLEREF 1 \s </w:instrText>
      </w:r>
      <w:r w:rsidRPr="00275FBD">
        <w:rPr>
          <w:rFonts w:cs="TimesNewRomanPSMT"/>
          <w:lang w:val="sl-SI" w:eastAsia="en-GB"/>
        </w:rPr>
        <w:fldChar w:fldCharType="separate"/>
      </w:r>
      <w:r w:rsidR="00BA25CD">
        <w:rPr>
          <w:rFonts w:cs="TimesNewRomanPSMT"/>
          <w:noProof/>
          <w:lang w:val="sl-SI" w:eastAsia="en-GB"/>
        </w:rPr>
        <w:t>5</w:t>
      </w:r>
      <w:r w:rsidRPr="00275FBD">
        <w:rPr>
          <w:rFonts w:cs="TimesNewRomanPSMT"/>
          <w:lang w:val="sl-SI" w:eastAsia="en-GB"/>
        </w:rPr>
        <w:fldChar w:fldCharType="end"/>
      </w:r>
      <w:r w:rsidRPr="00275FBD">
        <w:rPr>
          <w:rFonts w:cs="TimesNewRomanPSMT"/>
          <w:lang w:val="sl-SI" w:eastAsia="en-GB"/>
        </w:rPr>
        <w:noBreakHyphen/>
      </w:r>
      <w:r w:rsidRPr="00275FBD">
        <w:rPr>
          <w:rFonts w:cs="TimesNewRomanPSMT"/>
          <w:lang w:val="sl-SI" w:eastAsia="en-GB"/>
        </w:rPr>
        <w:fldChar w:fldCharType="begin"/>
      </w:r>
      <w:r w:rsidRPr="00275FBD">
        <w:rPr>
          <w:rFonts w:cs="TimesNewRomanPSMT"/>
          <w:lang w:val="sl-SI" w:eastAsia="en-GB"/>
        </w:rPr>
        <w:instrText xml:space="preserve"> SEQ Slika \* ARABIC \s 1 </w:instrText>
      </w:r>
      <w:r w:rsidRPr="00275FBD">
        <w:rPr>
          <w:rFonts w:cs="TimesNewRomanPSMT"/>
          <w:lang w:val="sl-SI" w:eastAsia="en-GB"/>
        </w:rPr>
        <w:fldChar w:fldCharType="separate"/>
      </w:r>
      <w:r w:rsidR="00BA25CD">
        <w:rPr>
          <w:rFonts w:cs="TimesNewRomanPSMT"/>
          <w:noProof/>
          <w:lang w:val="sl-SI" w:eastAsia="en-GB"/>
        </w:rPr>
        <w:t>4</w:t>
      </w:r>
      <w:r w:rsidRPr="00275FBD">
        <w:rPr>
          <w:rFonts w:cs="TimesNewRomanPSMT"/>
          <w:lang w:val="sl-SI" w:eastAsia="en-GB"/>
        </w:rPr>
        <w:fldChar w:fldCharType="end"/>
      </w:r>
      <w:bookmarkEnd w:id="83"/>
      <w:r w:rsidRPr="00275FBD">
        <w:rPr>
          <w:rFonts w:cs="TimesNewRomanPSMT"/>
          <w:lang w:val="sl-SI" w:eastAsia="en-GB"/>
        </w:rPr>
        <w:t xml:space="preserve">: Skupni LERF </w:t>
      </w:r>
      <w:r w:rsidR="001E0F74" w:rsidRPr="00275FBD">
        <w:rPr>
          <w:rFonts w:cs="TimesNewRomanPSMT"/>
          <w:lang w:val="sl-SI" w:eastAsia="en-GB"/>
        </w:rPr>
        <w:t>(</w:t>
      </w:r>
      <w:r w:rsidR="001E0F74">
        <w:rPr>
          <w:rFonts w:cs="TimesNewRomanPSMT"/>
          <w:lang w:val="sl-SI" w:eastAsia="en-GB"/>
        </w:rPr>
        <w:t xml:space="preserve">na </w:t>
      </w:r>
      <w:r w:rsidRPr="00275FBD">
        <w:rPr>
          <w:rFonts w:cs="TimesNewRomanPSMT"/>
          <w:lang w:val="sl-SI" w:eastAsia="en-GB"/>
        </w:rPr>
        <w:t>leto) – PSR3 v primerjavi s PSR2 (vsi načini obratovanja)</w:t>
      </w:r>
      <w:bookmarkEnd w:id="84"/>
    </w:p>
    <w:p w14:paraId="6E4C3C7D" w14:textId="77777777" w:rsidR="00ED1A59" w:rsidRPr="00275FBD" w:rsidRDefault="00ED1A59" w:rsidP="001E0F74">
      <w:pPr>
        <w:spacing w:before="0" w:after="0"/>
        <w:jc w:val="left"/>
        <w:rPr>
          <w:rFonts w:cs="TimesNewRomanPSMT"/>
          <w:szCs w:val="20"/>
          <w:lang w:val="sl-SI" w:eastAsia="en-GB"/>
        </w:rPr>
      </w:pPr>
    </w:p>
    <w:p w14:paraId="7DB968BD" w14:textId="29C0034C" w:rsidR="00ED1A59" w:rsidRPr="00275FBD" w:rsidRDefault="00B94492" w:rsidP="00ED1A59">
      <w:pPr>
        <w:rPr>
          <w:rFonts w:cs="TimesNewRomanPSMT"/>
          <w:szCs w:val="20"/>
          <w:lang w:val="sl-SI" w:eastAsia="en-GB"/>
        </w:rPr>
      </w:pPr>
      <w:r w:rsidRPr="00275FBD">
        <w:rPr>
          <w:noProof/>
          <w:lang w:val="sl-SI" w:eastAsia="en-GB"/>
        </w:rPr>
        <w:drawing>
          <wp:inline distT="0" distB="0" distL="0" distR="0" wp14:anchorId="5EF33997" wp14:editId="7894D1CF">
            <wp:extent cx="5125067" cy="2674620"/>
            <wp:effectExtent l="0" t="0" r="0" b="0"/>
            <wp:docPr id="165793905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939050" name="Picture 5">
                      <a:extLst>
                        <a:ext uri="{C183D7F6-B498-43B3-948B-1728B52AA6E4}">
                          <adec:decorative xmlns:adec="http://schemas.microsoft.com/office/drawing/2017/decorative" val="1"/>
                        </a:ext>
                      </a:extLs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26312" cy="2675270"/>
                    </a:xfrm>
                    <a:prstGeom prst="rect">
                      <a:avLst/>
                    </a:prstGeom>
                    <a:noFill/>
                    <a:ln>
                      <a:noFill/>
                    </a:ln>
                  </pic:spPr>
                </pic:pic>
              </a:graphicData>
            </a:graphic>
          </wp:inline>
        </w:drawing>
      </w:r>
    </w:p>
    <w:p w14:paraId="4CF41910" w14:textId="77777777" w:rsidR="00ED1A59" w:rsidRPr="00275FBD" w:rsidRDefault="00ED1A59" w:rsidP="00ED1A59">
      <w:pPr>
        <w:rPr>
          <w:rFonts w:cs="TimesNewRomanPSMT"/>
          <w:szCs w:val="20"/>
          <w:lang w:val="sl-SI" w:eastAsia="en-GB"/>
        </w:rPr>
      </w:pPr>
    </w:p>
    <w:p w14:paraId="06CBD040" w14:textId="25BE0967" w:rsidR="00B156BB" w:rsidRDefault="00B156BB" w:rsidP="00B156BB">
      <w:pPr>
        <w:pStyle w:val="Napis"/>
        <w:rPr>
          <w:rFonts w:cs="TimesNewRomanPSMT"/>
          <w:lang w:val="sl-SI" w:eastAsia="en-GB"/>
        </w:rPr>
      </w:pPr>
      <w:bookmarkStart w:id="85" w:name="_Ref138412913"/>
      <w:bookmarkStart w:id="86" w:name="_Toc163197458"/>
      <w:r w:rsidRPr="00275FBD">
        <w:rPr>
          <w:rFonts w:cs="TimesNewRomanPSMT"/>
          <w:lang w:val="sl-SI" w:eastAsia="en-GB"/>
        </w:rPr>
        <w:t xml:space="preserve">Slika </w:t>
      </w:r>
      <w:r w:rsidRPr="00275FBD">
        <w:rPr>
          <w:rFonts w:cs="TimesNewRomanPSMT"/>
          <w:lang w:val="sl-SI" w:eastAsia="en-GB"/>
        </w:rPr>
        <w:fldChar w:fldCharType="begin"/>
      </w:r>
      <w:r w:rsidRPr="00275FBD">
        <w:rPr>
          <w:rFonts w:cs="TimesNewRomanPSMT"/>
          <w:lang w:val="sl-SI" w:eastAsia="en-GB"/>
        </w:rPr>
        <w:instrText xml:space="preserve"> STYLEREF 1 \s </w:instrText>
      </w:r>
      <w:r w:rsidRPr="00275FBD">
        <w:rPr>
          <w:rFonts w:cs="TimesNewRomanPSMT"/>
          <w:lang w:val="sl-SI" w:eastAsia="en-GB"/>
        </w:rPr>
        <w:fldChar w:fldCharType="separate"/>
      </w:r>
      <w:r w:rsidR="00BA25CD">
        <w:rPr>
          <w:rFonts w:cs="TimesNewRomanPSMT"/>
          <w:noProof/>
          <w:lang w:val="sl-SI" w:eastAsia="en-GB"/>
        </w:rPr>
        <w:t>5</w:t>
      </w:r>
      <w:r w:rsidRPr="00275FBD">
        <w:rPr>
          <w:rFonts w:cs="TimesNewRomanPSMT"/>
          <w:lang w:val="sl-SI" w:eastAsia="en-GB"/>
        </w:rPr>
        <w:fldChar w:fldCharType="end"/>
      </w:r>
      <w:r w:rsidRPr="00275FBD">
        <w:rPr>
          <w:rFonts w:cs="TimesNewRomanPSMT"/>
          <w:lang w:val="sl-SI" w:eastAsia="en-GB"/>
        </w:rPr>
        <w:noBreakHyphen/>
      </w:r>
      <w:r w:rsidRPr="00275FBD">
        <w:rPr>
          <w:rFonts w:cs="TimesNewRomanPSMT"/>
          <w:lang w:val="sl-SI" w:eastAsia="en-GB"/>
        </w:rPr>
        <w:fldChar w:fldCharType="begin"/>
      </w:r>
      <w:r w:rsidRPr="00275FBD">
        <w:rPr>
          <w:rFonts w:cs="TimesNewRomanPSMT"/>
          <w:lang w:val="sl-SI" w:eastAsia="en-GB"/>
        </w:rPr>
        <w:instrText xml:space="preserve"> SEQ Slika \* ARABIC \s 1 </w:instrText>
      </w:r>
      <w:r w:rsidRPr="00275FBD">
        <w:rPr>
          <w:rFonts w:cs="TimesNewRomanPSMT"/>
          <w:lang w:val="sl-SI" w:eastAsia="en-GB"/>
        </w:rPr>
        <w:fldChar w:fldCharType="separate"/>
      </w:r>
      <w:r w:rsidR="00BA25CD">
        <w:rPr>
          <w:rFonts w:cs="TimesNewRomanPSMT"/>
          <w:noProof/>
          <w:lang w:val="sl-SI" w:eastAsia="en-GB"/>
        </w:rPr>
        <w:t>5</w:t>
      </w:r>
      <w:r w:rsidRPr="00275FBD">
        <w:rPr>
          <w:rFonts w:cs="TimesNewRomanPSMT"/>
          <w:lang w:val="sl-SI" w:eastAsia="en-GB"/>
        </w:rPr>
        <w:fldChar w:fldCharType="end"/>
      </w:r>
      <w:bookmarkEnd w:id="85"/>
      <w:r w:rsidRPr="00275FBD">
        <w:rPr>
          <w:rFonts w:cs="TimesNewRomanPSMT"/>
          <w:lang w:val="sl-SI" w:eastAsia="en-GB"/>
        </w:rPr>
        <w:t>: Profil CDF na moči (</w:t>
      </w:r>
      <w:r w:rsidR="001E0F74">
        <w:rPr>
          <w:rFonts w:cs="TimesNewRomanPSMT"/>
          <w:lang w:val="sl-SI" w:eastAsia="en-GB"/>
        </w:rPr>
        <w:t xml:space="preserve">na </w:t>
      </w:r>
      <w:r w:rsidRPr="00275FBD">
        <w:rPr>
          <w:rFonts w:cs="TimesNewRomanPSMT"/>
          <w:lang w:val="sl-SI" w:eastAsia="en-GB"/>
        </w:rPr>
        <w:t xml:space="preserve">leto) glede na glavne kategorije </w:t>
      </w:r>
      <w:r w:rsidR="001E0F74">
        <w:rPr>
          <w:rFonts w:cs="TimesNewRomanPSMT"/>
          <w:lang w:val="sl-SI" w:eastAsia="en-GB"/>
        </w:rPr>
        <w:t>izpustov</w:t>
      </w:r>
      <w:r w:rsidR="001E0F74" w:rsidRPr="00275FBD">
        <w:rPr>
          <w:rFonts w:cs="TimesNewRomanPSMT"/>
          <w:lang w:val="sl-SI" w:eastAsia="en-GB"/>
        </w:rPr>
        <w:t xml:space="preserve"> </w:t>
      </w:r>
      <w:r w:rsidRPr="00275FBD">
        <w:rPr>
          <w:rFonts w:cs="TimesNewRomanPSMT"/>
          <w:lang w:val="sl-SI" w:eastAsia="en-GB"/>
        </w:rPr>
        <w:t xml:space="preserve">radioaktivnosti </w:t>
      </w:r>
      <w:r w:rsidRPr="001E0F74">
        <w:rPr>
          <w:rFonts w:cs="TimesNewRomanPSMT"/>
          <w:lang w:val="sl-SI" w:eastAsia="en-GB"/>
        </w:rPr>
        <w:t>– PSR3 v primerjavi s PSR2</w:t>
      </w:r>
      <w:bookmarkEnd w:id="86"/>
    </w:p>
    <w:p w14:paraId="61548474" w14:textId="77777777" w:rsidR="001E0F74" w:rsidRPr="001E0F74" w:rsidRDefault="001E0F74" w:rsidP="001E0F74">
      <w:pPr>
        <w:rPr>
          <w:lang w:val="sl-SI" w:eastAsia="en-GB"/>
        </w:rPr>
      </w:pPr>
    </w:p>
    <w:p w14:paraId="38A7280B" w14:textId="354E09D0" w:rsidR="00C46F9C" w:rsidRPr="00275FBD" w:rsidRDefault="00C46F9C" w:rsidP="009A2971">
      <w:pPr>
        <w:rPr>
          <w:rFonts w:cs="TimesNewRomanPSMT"/>
          <w:szCs w:val="20"/>
          <w:lang w:val="sl-SI" w:eastAsia="en-GB"/>
        </w:rPr>
      </w:pPr>
      <w:r w:rsidRPr="004F5E2E">
        <w:rPr>
          <w:rFonts w:cs="TimesNewRomanPSMT"/>
          <w:szCs w:val="20"/>
          <w:lang w:val="sl-SI" w:eastAsia="en-GB"/>
        </w:rPr>
        <w:t>Drugi vir tveganja, ki ga je treba vključiti v ta pregled, je tveganje zaradi izrabljenega</w:t>
      </w:r>
      <w:r w:rsidRPr="00275FBD">
        <w:rPr>
          <w:rFonts w:cs="TimesNewRomanPSMT"/>
          <w:szCs w:val="20"/>
          <w:lang w:val="sl-SI" w:eastAsia="en-GB"/>
        </w:rPr>
        <w:t xml:space="preserve"> goriva. V NEK se izrabljeno gorivo hrani na dveh lokacijah: v bazenu </w:t>
      </w:r>
      <w:r w:rsidR="00400B86">
        <w:rPr>
          <w:rFonts w:cs="TimesNewRomanPSMT"/>
          <w:szCs w:val="20"/>
          <w:lang w:val="sl-SI" w:eastAsia="en-GB"/>
        </w:rPr>
        <w:t xml:space="preserve">za </w:t>
      </w:r>
      <w:r w:rsidR="00400B86" w:rsidRPr="00275FBD">
        <w:rPr>
          <w:rFonts w:cs="TimesNewRomanPSMT"/>
          <w:szCs w:val="20"/>
          <w:lang w:val="sl-SI" w:eastAsia="en-GB"/>
        </w:rPr>
        <w:t>izrabljen</w:t>
      </w:r>
      <w:r w:rsidR="00400B86">
        <w:rPr>
          <w:rFonts w:cs="TimesNewRomanPSMT"/>
          <w:szCs w:val="20"/>
          <w:lang w:val="sl-SI" w:eastAsia="en-GB"/>
        </w:rPr>
        <w:t>o</w:t>
      </w:r>
      <w:r w:rsidR="00400B86" w:rsidRPr="00275FBD">
        <w:rPr>
          <w:rFonts w:cs="TimesNewRomanPSMT"/>
          <w:szCs w:val="20"/>
          <w:lang w:val="sl-SI" w:eastAsia="en-GB"/>
        </w:rPr>
        <w:t xml:space="preserve"> goriv</w:t>
      </w:r>
      <w:r w:rsidR="00400B86">
        <w:rPr>
          <w:rFonts w:cs="TimesNewRomanPSMT"/>
          <w:szCs w:val="20"/>
          <w:lang w:val="sl-SI" w:eastAsia="en-GB"/>
        </w:rPr>
        <w:t>o</w:t>
      </w:r>
      <w:r w:rsidR="00400B86" w:rsidRPr="00275FBD">
        <w:rPr>
          <w:rFonts w:cs="TimesNewRomanPSMT"/>
          <w:szCs w:val="20"/>
          <w:lang w:val="sl-SI" w:eastAsia="en-GB"/>
        </w:rPr>
        <w:t xml:space="preserve"> </w:t>
      </w:r>
      <w:r w:rsidRPr="00275FBD">
        <w:rPr>
          <w:rFonts w:cs="TimesNewRomanPSMT"/>
          <w:szCs w:val="20"/>
          <w:lang w:val="sl-SI" w:eastAsia="en-GB"/>
        </w:rPr>
        <w:t>(SFP) in v suhem skladišču</w:t>
      </w:r>
      <w:r w:rsidR="00400B86">
        <w:rPr>
          <w:rFonts w:cs="TimesNewRomanPSMT"/>
          <w:szCs w:val="20"/>
          <w:lang w:val="sl-SI" w:eastAsia="en-GB"/>
        </w:rPr>
        <w:t xml:space="preserve"> izrabljenega goriva</w:t>
      </w:r>
      <w:r w:rsidRPr="00275FBD">
        <w:rPr>
          <w:rFonts w:cs="TimesNewRomanPSMT"/>
          <w:szCs w:val="20"/>
          <w:lang w:val="sl-SI" w:eastAsia="en-GB"/>
        </w:rPr>
        <w:t xml:space="preserve">. To tveganje zaradi izrabljenega goriva v SFP je bilo ocenjeno v študiji PSA, v kateri je bilo izraženo s pogostostjo odkritja </w:t>
      </w:r>
      <w:r w:rsidRPr="004F5E2E">
        <w:rPr>
          <w:rFonts w:cs="TimesNewRomanPSMT"/>
          <w:szCs w:val="20"/>
          <w:lang w:val="sl-SI" w:eastAsia="en-GB"/>
        </w:rPr>
        <w:t xml:space="preserve">izrabljenega goriva (»Spent Fuel </w:t>
      </w:r>
      <w:proofErr w:type="spellStart"/>
      <w:r w:rsidRPr="004F5E2E">
        <w:rPr>
          <w:rFonts w:cs="TimesNewRomanPSMT"/>
          <w:szCs w:val="20"/>
          <w:lang w:val="sl-SI" w:eastAsia="en-GB"/>
        </w:rPr>
        <w:t>Uncovering</w:t>
      </w:r>
      <w:proofErr w:type="spellEnd"/>
      <w:r w:rsidRPr="004F5E2E">
        <w:rPr>
          <w:rFonts w:cs="TimesNewRomanPSMT"/>
          <w:szCs w:val="20"/>
          <w:lang w:val="sl-SI" w:eastAsia="en-GB"/>
        </w:rPr>
        <w:t xml:space="preserve"> </w:t>
      </w:r>
      <w:proofErr w:type="spellStart"/>
      <w:r w:rsidRPr="004F5E2E">
        <w:rPr>
          <w:rFonts w:cs="TimesNewRomanPSMT"/>
          <w:szCs w:val="20"/>
          <w:lang w:val="sl-SI" w:eastAsia="en-GB"/>
        </w:rPr>
        <w:t>Frequency</w:t>
      </w:r>
      <w:proofErr w:type="spellEnd"/>
      <w:r w:rsidRPr="004F5E2E">
        <w:rPr>
          <w:rFonts w:cs="TimesNewRomanPSMT"/>
          <w:szCs w:val="20"/>
          <w:lang w:val="sl-SI" w:eastAsia="en-GB"/>
        </w:rPr>
        <w:t>«, SFUF). Ocene pogostnosti SFU</w:t>
      </w:r>
      <w:r w:rsidRPr="00275FBD">
        <w:rPr>
          <w:rFonts w:cs="TimesNewRomanPSMT"/>
          <w:szCs w:val="20"/>
          <w:lang w:val="sl-SI" w:eastAsia="en-GB"/>
        </w:rPr>
        <w:t xml:space="preserve"> za različne kategorije začetnih dogodkov oziroma nevarnosti so povzete v spodnji tabeli (</w:t>
      </w:r>
      <w:r w:rsidRPr="00275FBD">
        <w:rPr>
          <w:rFonts w:cs="TimesNewRomanPSMT"/>
          <w:szCs w:val="20"/>
          <w:lang w:val="sl-SI" w:eastAsia="en-GB"/>
        </w:rPr>
        <w:fldChar w:fldCharType="begin"/>
      </w:r>
      <w:r w:rsidRPr="00275FBD">
        <w:rPr>
          <w:rFonts w:cs="TimesNewRomanPSMT"/>
          <w:szCs w:val="20"/>
          <w:lang w:val="sl-SI" w:eastAsia="en-GB"/>
        </w:rPr>
        <w:instrText xml:space="preserve"> REF _Ref138422761 \h </w:instrText>
      </w:r>
      <w:r w:rsidRPr="00275FBD">
        <w:rPr>
          <w:rFonts w:cs="TimesNewRomanPSMT"/>
          <w:szCs w:val="20"/>
          <w:lang w:val="sl-SI" w:eastAsia="en-GB"/>
        </w:rPr>
      </w:r>
      <w:r w:rsidRPr="00275FBD">
        <w:rPr>
          <w:rFonts w:cs="TimesNewRomanPSMT"/>
          <w:szCs w:val="20"/>
          <w:lang w:val="sl-SI" w:eastAsia="en-GB"/>
        </w:rPr>
        <w:fldChar w:fldCharType="separate"/>
      </w:r>
      <w:r w:rsidR="00BA25CD" w:rsidRPr="00275FBD">
        <w:rPr>
          <w:lang w:val="sl-SI" w:eastAsia="en-GB"/>
        </w:rPr>
        <w:t xml:space="preserve">Tabela </w:t>
      </w:r>
      <w:r w:rsidR="00BA25CD">
        <w:rPr>
          <w:noProof/>
          <w:lang w:val="sl-SI" w:eastAsia="en-GB"/>
        </w:rPr>
        <w:t>5</w:t>
      </w:r>
      <w:r w:rsidR="00BA25CD" w:rsidRPr="00275FBD">
        <w:rPr>
          <w:lang w:val="sl-SI" w:eastAsia="en-GB"/>
        </w:rPr>
        <w:noBreakHyphen/>
      </w:r>
      <w:r w:rsidR="00BA25CD">
        <w:rPr>
          <w:noProof/>
          <w:lang w:val="sl-SI" w:eastAsia="en-GB"/>
        </w:rPr>
        <w:t>1</w:t>
      </w:r>
      <w:r w:rsidRPr="00275FBD">
        <w:rPr>
          <w:rFonts w:cs="TimesNewRomanPSMT"/>
          <w:szCs w:val="20"/>
          <w:lang w:val="sl-SI" w:eastAsia="en-GB"/>
        </w:rPr>
        <w:fldChar w:fldCharType="end"/>
      </w:r>
      <w:r w:rsidRPr="00275FBD">
        <w:rPr>
          <w:rFonts w:cs="TimesNewRomanPSMT"/>
          <w:szCs w:val="20"/>
          <w:lang w:val="sl-SI" w:eastAsia="en-GB"/>
        </w:rPr>
        <w:t>).</w:t>
      </w:r>
    </w:p>
    <w:p w14:paraId="532E019C" w14:textId="77777777" w:rsidR="00C46F9C" w:rsidRDefault="00C46F9C" w:rsidP="009A2971">
      <w:pPr>
        <w:rPr>
          <w:rFonts w:cs="TimesNewRomanPSMT"/>
          <w:szCs w:val="20"/>
          <w:lang w:val="sl-SI" w:eastAsia="en-GB"/>
        </w:rPr>
      </w:pPr>
    </w:p>
    <w:p w14:paraId="3E25A927" w14:textId="77777777" w:rsidR="00400B86" w:rsidRPr="00275FBD" w:rsidRDefault="00400B86" w:rsidP="009A2971">
      <w:pPr>
        <w:rPr>
          <w:rFonts w:cs="TimesNewRomanPSMT"/>
          <w:szCs w:val="20"/>
          <w:lang w:val="sl-SI" w:eastAsia="en-GB"/>
        </w:rPr>
      </w:pPr>
    </w:p>
    <w:p w14:paraId="718716CB" w14:textId="1F6DF4BB" w:rsidR="00A51AEB" w:rsidRPr="00275FBD" w:rsidRDefault="00A51AEB" w:rsidP="00A51AEB">
      <w:pPr>
        <w:pStyle w:val="Napis"/>
        <w:rPr>
          <w:lang w:val="sl-SI" w:eastAsia="en-GB"/>
        </w:rPr>
      </w:pPr>
      <w:bookmarkStart w:id="87" w:name="_Ref138422761"/>
      <w:bookmarkStart w:id="88" w:name="_Toc163197440"/>
      <w:bookmarkStart w:id="89" w:name="_Hlk132988170"/>
      <w:r w:rsidRPr="00275FBD">
        <w:rPr>
          <w:lang w:val="sl-SI" w:eastAsia="en-GB"/>
        </w:rPr>
        <w:lastRenderedPageBreak/>
        <w:t xml:space="preserve">Tabela </w:t>
      </w:r>
      <w:r w:rsidR="00D51CB7" w:rsidRPr="00275FBD">
        <w:rPr>
          <w:lang w:val="sl-SI" w:eastAsia="en-GB"/>
        </w:rPr>
        <w:fldChar w:fldCharType="begin"/>
      </w:r>
      <w:r w:rsidR="00D51CB7" w:rsidRPr="00275FBD">
        <w:rPr>
          <w:lang w:val="sl-SI" w:eastAsia="en-GB"/>
        </w:rPr>
        <w:instrText xml:space="preserve"> STYLEREF 1 \s </w:instrText>
      </w:r>
      <w:r w:rsidR="00D51CB7" w:rsidRPr="00275FBD">
        <w:rPr>
          <w:lang w:val="sl-SI" w:eastAsia="en-GB"/>
        </w:rPr>
        <w:fldChar w:fldCharType="separate"/>
      </w:r>
      <w:r w:rsidR="00BA25CD">
        <w:rPr>
          <w:noProof/>
          <w:lang w:val="sl-SI" w:eastAsia="en-GB"/>
        </w:rPr>
        <w:t>5</w:t>
      </w:r>
      <w:r w:rsidR="00D51CB7" w:rsidRPr="00275FBD">
        <w:rPr>
          <w:lang w:val="sl-SI" w:eastAsia="en-GB"/>
        </w:rPr>
        <w:fldChar w:fldCharType="end"/>
      </w:r>
      <w:r w:rsidR="00D51CB7" w:rsidRPr="00275FBD">
        <w:rPr>
          <w:lang w:val="sl-SI" w:eastAsia="en-GB"/>
        </w:rPr>
        <w:noBreakHyphen/>
      </w:r>
      <w:r w:rsidR="00D51CB7" w:rsidRPr="00275FBD">
        <w:rPr>
          <w:lang w:val="sl-SI" w:eastAsia="en-GB"/>
        </w:rPr>
        <w:fldChar w:fldCharType="begin"/>
      </w:r>
      <w:r w:rsidR="00D51CB7" w:rsidRPr="00275FBD">
        <w:rPr>
          <w:lang w:val="sl-SI" w:eastAsia="en-GB"/>
        </w:rPr>
        <w:instrText xml:space="preserve"> SEQ Tabela \* ARABIC \s 1 </w:instrText>
      </w:r>
      <w:r w:rsidR="00D51CB7" w:rsidRPr="00275FBD">
        <w:rPr>
          <w:lang w:val="sl-SI" w:eastAsia="en-GB"/>
        </w:rPr>
        <w:fldChar w:fldCharType="separate"/>
      </w:r>
      <w:r w:rsidR="00BA25CD">
        <w:rPr>
          <w:noProof/>
          <w:lang w:val="sl-SI" w:eastAsia="en-GB"/>
        </w:rPr>
        <w:t>1</w:t>
      </w:r>
      <w:r w:rsidR="00D51CB7" w:rsidRPr="00275FBD">
        <w:rPr>
          <w:lang w:val="sl-SI" w:eastAsia="en-GB"/>
        </w:rPr>
        <w:fldChar w:fldCharType="end"/>
      </w:r>
      <w:bookmarkEnd w:id="87"/>
      <w:r w:rsidRPr="00275FBD">
        <w:rPr>
          <w:lang w:val="sl-SI" w:eastAsia="en-GB"/>
        </w:rPr>
        <w:t>: Povzetek tveganja zaradi SFU (SFP) za vse kategorije začetnih dogodkov</w:t>
      </w:r>
      <w:bookmarkEnd w:id="88"/>
    </w:p>
    <w:tbl>
      <w:tblPr>
        <w:tblW w:w="6898" w:type="dxa"/>
        <w:tblInd w:w="98" w:type="dxa"/>
        <w:tblLook w:val="04A0" w:firstRow="1" w:lastRow="0" w:firstColumn="1" w:lastColumn="0" w:noHBand="0" w:noVBand="1"/>
      </w:tblPr>
      <w:tblGrid>
        <w:gridCol w:w="3465"/>
        <w:gridCol w:w="1761"/>
        <w:gridCol w:w="1672"/>
      </w:tblGrid>
      <w:tr w:rsidR="00012087" w:rsidRPr="00275FBD" w14:paraId="07B6E8B2" w14:textId="77777777" w:rsidTr="00012087">
        <w:trPr>
          <w:trHeight w:val="315"/>
        </w:trPr>
        <w:tc>
          <w:tcPr>
            <w:tcW w:w="3465" w:type="dxa"/>
            <w:tcBorders>
              <w:top w:val="single" w:sz="12" w:space="0" w:color="000000"/>
              <w:left w:val="single" w:sz="12" w:space="0" w:color="000000"/>
              <w:bottom w:val="single" w:sz="12" w:space="0" w:color="000000"/>
              <w:right w:val="single" w:sz="2" w:space="0" w:color="000000"/>
            </w:tcBorders>
            <w:shd w:val="clear" w:color="auto" w:fill="D9D9D9" w:themeFill="background1" w:themeFillShade="D9"/>
            <w:vAlign w:val="center"/>
            <w:hideMark/>
          </w:tcPr>
          <w:bookmarkEnd w:id="89"/>
          <w:p w14:paraId="6A51239E" w14:textId="3EB1D3E5" w:rsidR="00012087" w:rsidRPr="00237606" w:rsidRDefault="00351F0F" w:rsidP="00012087">
            <w:pPr>
              <w:jc w:val="left"/>
              <w:rPr>
                <w:bCs/>
                <w:color w:val="000000"/>
                <w:szCs w:val="20"/>
                <w:lang w:val="sl-SI" w:eastAsia="hr-BA"/>
              </w:rPr>
            </w:pPr>
            <w:r w:rsidRPr="00237606">
              <w:rPr>
                <w:bCs/>
                <w:color w:val="000000"/>
                <w:szCs w:val="20"/>
                <w:lang w:val="sl-SI" w:eastAsia="hr-BA"/>
              </w:rPr>
              <w:t>Kategorija začetnega dogodka</w:t>
            </w:r>
          </w:p>
        </w:tc>
        <w:tc>
          <w:tcPr>
            <w:tcW w:w="1761"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hideMark/>
          </w:tcPr>
          <w:p w14:paraId="45D066D9" w14:textId="2646EF2A" w:rsidR="00012087" w:rsidRPr="00237606" w:rsidRDefault="00012087" w:rsidP="00012087">
            <w:pPr>
              <w:jc w:val="left"/>
              <w:rPr>
                <w:bCs/>
                <w:color w:val="000000"/>
                <w:szCs w:val="20"/>
                <w:lang w:val="sl-SI" w:eastAsia="hr-BA"/>
              </w:rPr>
            </w:pPr>
            <w:r w:rsidRPr="00237606">
              <w:rPr>
                <w:bCs/>
                <w:color w:val="000000"/>
                <w:szCs w:val="20"/>
                <w:lang w:val="sl-SI" w:eastAsia="hr-BA"/>
              </w:rPr>
              <w:t>SFU</w:t>
            </w:r>
            <w:r w:rsidR="00C46F9C" w:rsidRPr="00237606">
              <w:rPr>
                <w:bCs/>
                <w:color w:val="000000"/>
                <w:szCs w:val="20"/>
                <w:lang w:val="sl-SI" w:eastAsia="hr-BA"/>
              </w:rPr>
              <w:t>F</w:t>
            </w:r>
            <w:r w:rsidRPr="00237606">
              <w:rPr>
                <w:bCs/>
                <w:color w:val="000000"/>
                <w:szCs w:val="20"/>
                <w:lang w:val="sl-SI" w:eastAsia="hr-BA"/>
              </w:rPr>
              <w:t xml:space="preserve"> (</w:t>
            </w:r>
            <w:r w:rsidR="00400B86" w:rsidRPr="00237606">
              <w:rPr>
                <w:bCs/>
                <w:color w:val="000000"/>
                <w:szCs w:val="20"/>
                <w:lang w:val="sl-SI" w:eastAsia="hr-BA"/>
              </w:rPr>
              <w:t>na leto</w:t>
            </w:r>
            <w:r w:rsidRPr="00237606">
              <w:rPr>
                <w:bCs/>
                <w:color w:val="000000"/>
                <w:szCs w:val="20"/>
                <w:lang w:val="sl-SI" w:eastAsia="hr-BA"/>
              </w:rPr>
              <w:t>)</w:t>
            </w:r>
          </w:p>
        </w:tc>
        <w:tc>
          <w:tcPr>
            <w:tcW w:w="1672" w:type="dxa"/>
            <w:tcBorders>
              <w:top w:val="single" w:sz="12" w:space="0" w:color="000000"/>
              <w:left w:val="single" w:sz="2" w:space="0" w:color="000000"/>
              <w:bottom w:val="single" w:sz="12" w:space="0" w:color="000000"/>
              <w:right w:val="single" w:sz="12" w:space="0" w:color="000000"/>
            </w:tcBorders>
            <w:shd w:val="clear" w:color="auto" w:fill="D9D9D9" w:themeFill="background1" w:themeFillShade="D9"/>
          </w:tcPr>
          <w:p w14:paraId="7DDFA481" w14:textId="7CB162F8" w:rsidR="00012087" w:rsidRPr="00275FBD" w:rsidRDefault="00012087" w:rsidP="00012087">
            <w:pPr>
              <w:jc w:val="left"/>
              <w:rPr>
                <w:bCs/>
                <w:color w:val="000000"/>
                <w:szCs w:val="20"/>
                <w:lang w:val="sl-SI" w:eastAsia="hr-BA"/>
              </w:rPr>
            </w:pPr>
            <w:r w:rsidRPr="00237606">
              <w:rPr>
                <w:lang w:val="sl-SI"/>
              </w:rPr>
              <w:t>SFU</w:t>
            </w:r>
            <w:r w:rsidR="00C46F9C" w:rsidRPr="00237606">
              <w:rPr>
                <w:lang w:val="sl-SI"/>
              </w:rPr>
              <w:t>F</w:t>
            </w:r>
            <w:r w:rsidRPr="00237606">
              <w:rPr>
                <w:lang w:val="sl-SI"/>
              </w:rPr>
              <w:t xml:space="preserve"> (%)</w:t>
            </w:r>
          </w:p>
        </w:tc>
      </w:tr>
      <w:tr w:rsidR="00012087" w:rsidRPr="00275FBD" w14:paraId="32AD75D2" w14:textId="77777777" w:rsidTr="00012087">
        <w:trPr>
          <w:trHeight w:val="120"/>
        </w:trPr>
        <w:tc>
          <w:tcPr>
            <w:tcW w:w="3465" w:type="dxa"/>
            <w:tcBorders>
              <w:top w:val="single" w:sz="12" w:space="0" w:color="000000"/>
              <w:left w:val="single" w:sz="12" w:space="0" w:color="000000"/>
              <w:bottom w:val="single" w:sz="2" w:space="0" w:color="000000"/>
              <w:right w:val="single" w:sz="2" w:space="0" w:color="000000"/>
            </w:tcBorders>
            <w:shd w:val="clear" w:color="auto" w:fill="auto"/>
          </w:tcPr>
          <w:p w14:paraId="0F09A3A6" w14:textId="23993513" w:rsidR="00012087" w:rsidRPr="00275FBD" w:rsidRDefault="00351F0F" w:rsidP="00012087">
            <w:pPr>
              <w:jc w:val="left"/>
              <w:rPr>
                <w:color w:val="000000"/>
                <w:szCs w:val="20"/>
                <w:lang w:val="sl-SI" w:eastAsia="hr-BA"/>
              </w:rPr>
            </w:pPr>
            <w:r w:rsidRPr="00275FBD">
              <w:rPr>
                <w:lang w:val="sl-SI"/>
              </w:rPr>
              <w:t>Notranji začetni dogodki</w:t>
            </w:r>
          </w:p>
        </w:tc>
        <w:tc>
          <w:tcPr>
            <w:tcW w:w="1761" w:type="dxa"/>
            <w:tcBorders>
              <w:top w:val="single" w:sz="12" w:space="0" w:color="000000"/>
              <w:left w:val="single" w:sz="2" w:space="0" w:color="000000"/>
              <w:bottom w:val="single" w:sz="2" w:space="0" w:color="000000"/>
              <w:right w:val="single" w:sz="2" w:space="0" w:color="000000"/>
            </w:tcBorders>
            <w:shd w:val="clear" w:color="auto" w:fill="auto"/>
          </w:tcPr>
          <w:p w14:paraId="7FD7C682" w14:textId="77777777" w:rsidR="00012087" w:rsidRPr="00275FBD" w:rsidRDefault="00012087" w:rsidP="00012087">
            <w:pPr>
              <w:jc w:val="left"/>
              <w:rPr>
                <w:color w:val="000000"/>
                <w:szCs w:val="20"/>
                <w:lang w:val="sl-SI" w:eastAsia="hr-BA"/>
              </w:rPr>
            </w:pPr>
            <w:r w:rsidRPr="00275FBD">
              <w:rPr>
                <w:lang w:val="sl-SI"/>
              </w:rPr>
              <w:t>7.0E-08</w:t>
            </w:r>
          </w:p>
        </w:tc>
        <w:tc>
          <w:tcPr>
            <w:tcW w:w="1672" w:type="dxa"/>
            <w:tcBorders>
              <w:top w:val="single" w:sz="12" w:space="0" w:color="000000"/>
              <w:left w:val="single" w:sz="2" w:space="0" w:color="000000"/>
              <w:bottom w:val="single" w:sz="2" w:space="0" w:color="000000"/>
              <w:right w:val="single" w:sz="12" w:space="0" w:color="000000"/>
            </w:tcBorders>
          </w:tcPr>
          <w:p w14:paraId="2C82D837" w14:textId="77E15027" w:rsidR="00012087" w:rsidRPr="00275FBD" w:rsidRDefault="00012087" w:rsidP="00012087">
            <w:pPr>
              <w:jc w:val="left"/>
              <w:rPr>
                <w:color w:val="000000"/>
                <w:szCs w:val="20"/>
                <w:lang w:val="sl-SI" w:eastAsia="hr-BA"/>
              </w:rPr>
            </w:pPr>
            <w:r w:rsidRPr="00275FBD">
              <w:rPr>
                <w:lang w:val="sl-SI"/>
              </w:rPr>
              <w:t>5.9%</w:t>
            </w:r>
          </w:p>
        </w:tc>
      </w:tr>
      <w:tr w:rsidR="00012087" w:rsidRPr="00275FBD" w14:paraId="2DC7A1E3" w14:textId="77777777" w:rsidTr="00012087">
        <w:trPr>
          <w:trHeight w:val="224"/>
        </w:trPr>
        <w:tc>
          <w:tcPr>
            <w:tcW w:w="3465" w:type="dxa"/>
            <w:tcBorders>
              <w:top w:val="single" w:sz="2" w:space="0" w:color="000000"/>
              <w:left w:val="single" w:sz="12" w:space="0" w:color="000000"/>
              <w:bottom w:val="single" w:sz="2" w:space="0" w:color="000000"/>
              <w:right w:val="single" w:sz="2" w:space="0" w:color="000000"/>
            </w:tcBorders>
            <w:shd w:val="clear" w:color="auto" w:fill="auto"/>
          </w:tcPr>
          <w:p w14:paraId="438DC9D6" w14:textId="50E68E9E" w:rsidR="00012087" w:rsidRPr="00275FBD" w:rsidRDefault="00012087" w:rsidP="00012087">
            <w:pPr>
              <w:jc w:val="left"/>
              <w:rPr>
                <w:color w:val="000000"/>
                <w:szCs w:val="20"/>
                <w:lang w:val="sl-SI" w:eastAsia="hr-BA"/>
              </w:rPr>
            </w:pPr>
            <w:r w:rsidRPr="00275FBD">
              <w:rPr>
                <w:lang w:val="sl-SI"/>
              </w:rPr>
              <w:t>Sei</w:t>
            </w:r>
            <w:r w:rsidR="00351F0F" w:rsidRPr="00275FBD">
              <w:rPr>
                <w:lang w:val="sl-SI"/>
              </w:rPr>
              <w:t>zmični dogodki</w:t>
            </w:r>
          </w:p>
        </w:tc>
        <w:tc>
          <w:tcPr>
            <w:tcW w:w="1761" w:type="dxa"/>
            <w:tcBorders>
              <w:top w:val="single" w:sz="2" w:space="0" w:color="000000"/>
              <w:left w:val="single" w:sz="2" w:space="0" w:color="000000"/>
              <w:bottom w:val="single" w:sz="2" w:space="0" w:color="000000"/>
              <w:right w:val="single" w:sz="2" w:space="0" w:color="000000"/>
            </w:tcBorders>
            <w:shd w:val="clear" w:color="auto" w:fill="auto"/>
          </w:tcPr>
          <w:p w14:paraId="3184FAB3" w14:textId="77777777" w:rsidR="00012087" w:rsidRPr="00275FBD" w:rsidRDefault="00012087" w:rsidP="00012087">
            <w:pPr>
              <w:jc w:val="left"/>
              <w:rPr>
                <w:color w:val="000000"/>
                <w:szCs w:val="20"/>
                <w:lang w:val="sl-SI" w:eastAsia="hr-BA"/>
              </w:rPr>
            </w:pPr>
            <w:r w:rsidRPr="00275FBD">
              <w:rPr>
                <w:lang w:val="sl-SI"/>
              </w:rPr>
              <w:t>1.1E-06</w:t>
            </w:r>
          </w:p>
        </w:tc>
        <w:tc>
          <w:tcPr>
            <w:tcW w:w="1672" w:type="dxa"/>
            <w:tcBorders>
              <w:top w:val="single" w:sz="2" w:space="0" w:color="000000"/>
              <w:left w:val="single" w:sz="2" w:space="0" w:color="000000"/>
              <w:bottom w:val="single" w:sz="2" w:space="0" w:color="000000"/>
              <w:right w:val="single" w:sz="12" w:space="0" w:color="000000"/>
            </w:tcBorders>
          </w:tcPr>
          <w:p w14:paraId="6C204A19" w14:textId="633DCA3A" w:rsidR="00012087" w:rsidRPr="00275FBD" w:rsidRDefault="00012087" w:rsidP="00012087">
            <w:pPr>
              <w:jc w:val="left"/>
              <w:rPr>
                <w:color w:val="000000"/>
                <w:szCs w:val="20"/>
                <w:lang w:val="sl-SI" w:eastAsia="hr-BA"/>
              </w:rPr>
            </w:pPr>
            <w:r w:rsidRPr="00275FBD">
              <w:rPr>
                <w:lang w:val="sl-SI"/>
              </w:rPr>
              <w:t>93.5%</w:t>
            </w:r>
          </w:p>
        </w:tc>
      </w:tr>
      <w:tr w:rsidR="00012087" w:rsidRPr="00275FBD" w14:paraId="4C0ED035" w14:textId="77777777" w:rsidTr="00012087">
        <w:trPr>
          <w:trHeight w:val="258"/>
        </w:trPr>
        <w:tc>
          <w:tcPr>
            <w:tcW w:w="3465" w:type="dxa"/>
            <w:tcBorders>
              <w:top w:val="single" w:sz="2" w:space="0" w:color="000000"/>
              <w:left w:val="single" w:sz="12" w:space="0" w:color="000000"/>
              <w:bottom w:val="single" w:sz="2" w:space="0" w:color="000000"/>
              <w:right w:val="single" w:sz="2" w:space="0" w:color="000000"/>
            </w:tcBorders>
            <w:shd w:val="clear" w:color="auto" w:fill="auto"/>
          </w:tcPr>
          <w:p w14:paraId="5E9A3E3B" w14:textId="1E196ADC" w:rsidR="00012087" w:rsidRPr="00275FBD" w:rsidRDefault="00351F0F" w:rsidP="00012087">
            <w:pPr>
              <w:jc w:val="left"/>
              <w:rPr>
                <w:color w:val="000000"/>
                <w:szCs w:val="20"/>
                <w:lang w:val="sl-SI" w:eastAsia="hr-BA"/>
              </w:rPr>
            </w:pPr>
            <w:r w:rsidRPr="00275FBD">
              <w:rPr>
                <w:color w:val="000000"/>
                <w:lang w:val="sl-SI"/>
              </w:rPr>
              <w:t>Notranji požari</w:t>
            </w:r>
          </w:p>
        </w:tc>
        <w:tc>
          <w:tcPr>
            <w:tcW w:w="1761" w:type="dxa"/>
            <w:tcBorders>
              <w:top w:val="single" w:sz="2" w:space="0" w:color="000000"/>
              <w:left w:val="single" w:sz="2" w:space="0" w:color="000000"/>
              <w:bottom w:val="single" w:sz="2" w:space="0" w:color="000000"/>
              <w:right w:val="single" w:sz="2" w:space="0" w:color="000000"/>
            </w:tcBorders>
            <w:shd w:val="clear" w:color="auto" w:fill="auto"/>
          </w:tcPr>
          <w:p w14:paraId="5E52432F" w14:textId="77777777" w:rsidR="00012087" w:rsidRPr="00275FBD" w:rsidRDefault="00012087" w:rsidP="00012087">
            <w:pPr>
              <w:jc w:val="left"/>
              <w:rPr>
                <w:color w:val="000000"/>
                <w:szCs w:val="20"/>
                <w:lang w:val="sl-SI" w:eastAsia="hr-BA"/>
              </w:rPr>
            </w:pPr>
            <w:r w:rsidRPr="00275FBD">
              <w:rPr>
                <w:lang w:val="sl-SI"/>
              </w:rPr>
              <w:t>7.5E-09</w:t>
            </w:r>
          </w:p>
        </w:tc>
        <w:tc>
          <w:tcPr>
            <w:tcW w:w="1672" w:type="dxa"/>
            <w:tcBorders>
              <w:top w:val="single" w:sz="2" w:space="0" w:color="000000"/>
              <w:left w:val="single" w:sz="2" w:space="0" w:color="000000"/>
              <w:bottom w:val="single" w:sz="2" w:space="0" w:color="000000"/>
              <w:right w:val="single" w:sz="12" w:space="0" w:color="000000"/>
            </w:tcBorders>
          </w:tcPr>
          <w:p w14:paraId="30266574" w14:textId="67D06E06" w:rsidR="00012087" w:rsidRPr="00275FBD" w:rsidRDefault="00012087" w:rsidP="00012087">
            <w:pPr>
              <w:jc w:val="left"/>
              <w:rPr>
                <w:color w:val="000000"/>
                <w:szCs w:val="20"/>
                <w:lang w:val="sl-SI" w:eastAsia="hr-BA"/>
              </w:rPr>
            </w:pPr>
            <w:r w:rsidRPr="00275FBD">
              <w:rPr>
                <w:lang w:val="sl-SI"/>
              </w:rPr>
              <w:t>0.6%</w:t>
            </w:r>
          </w:p>
        </w:tc>
      </w:tr>
      <w:tr w:rsidR="00012087" w:rsidRPr="00275FBD" w14:paraId="5FB1BB31" w14:textId="77777777" w:rsidTr="00012087">
        <w:trPr>
          <w:trHeight w:val="107"/>
        </w:trPr>
        <w:tc>
          <w:tcPr>
            <w:tcW w:w="3465" w:type="dxa"/>
            <w:tcBorders>
              <w:top w:val="single" w:sz="2" w:space="0" w:color="000000"/>
              <w:left w:val="single" w:sz="12" w:space="0" w:color="000000"/>
              <w:bottom w:val="single" w:sz="12" w:space="0" w:color="000000"/>
              <w:right w:val="single" w:sz="2" w:space="0" w:color="000000"/>
            </w:tcBorders>
            <w:shd w:val="clear" w:color="auto" w:fill="auto"/>
          </w:tcPr>
          <w:p w14:paraId="6F565C84" w14:textId="556794CB" w:rsidR="00012087" w:rsidRPr="00275FBD" w:rsidRDefault="00351F0F" w:rsidP="00012087">
            <w:pPr>
              <w:jc w:val="left"/>
              <w:rPr>
                <w:color w:val="000000"/>
                <w:szCs w:val="20"/>
                <w:lang w:val="sl-SI" w:eastAsia="hr-BA"/>
              </w:rPr>
            </w:pPr>
            <w:r w:rsidRPr="00275FBD">
              <w:rPr>
                <w:color w:val="000000"/>
                <w:lang w:val="sl-SI"/>
              </w:rPr>
              <w:t>Notranje poplave</w:t>
            </w:r>
          </w:p>
        </w:tc>
        <w:tc>
          <w:tcPr>
            <w:tcW w:w="1761" w:type="dxa"/>
            <w:tcBorders>
              <w:top w:val="single" w:sz="2" w:space="0" w:color="000000"/>
              <w:left w:val="single" w:sz="2" w:space="0" w:color="000000"/>
              <w:bottom w:val="single" w:sz="12" w:space="0" w:color="000000"/>
              <w:right w:val="single" w:sz="2" w:space="0" w:color="000000"/>
            </w:tcBorders>
            <w:shd w:val="clear" w:color="auto" w:fill="auto"/>
          </w:tcPr>
          <w:p w14:paraId="5F2816EF" w14:textId="77777777" w:rsidR="00012087" w:rsidRPr="00275FBD" w:rsidRDefault="00012087" w:rsidP="00012087">
            <w:pPr>
              <w:jc w:val="left"/>
              <w:rPr>
                <w:color w:val="000000"/>
                <w:szCs w:val="20"/>
                <w:lang w:val="sl-SI" w:eastAsia="hr-BA"/>
              </w:rPr>
            </w:pPr>
            <w:r w:rsidRPr="00275FBD">
              <w:rPr>
                <w:lang w:val="sl-SI"/>
              </w:rPr>
              <w:t>3.0E-10</w:t>
            </w:r>
          </w:p>
        </w:tc>
        <w:tc>
          <w:tcPr>
            <w:tcW w:w="1672" w:type="dxa"/>
            <w:tcBorders>
              <w:top w:val="single" w:sz="2" w:space="0" w:color="000000"/>
              <w:left w:val="single" w:sz="2" w:space="0" w:color="000000"/>
              <w:bottom w:val="single" w:sz="12" w:space="0" w:color="000000"/>
              <w:right w:val="single" w:sz="12" w:space="0" w:color="000000"/>
            </w:tcBorders>
          </w:tcPr>
          <w:p w14:paraId="6D7C96CA" w14:textId="651B6BF8" w:rsidR="00012087" w:rsidRPr="00275FBD" w:rsidRDefault="00012087" w:rsidP="00012087">
            <w:pPr>
              <w:jc w:val="left"/>
              <w:rPr>
                <w:color w:val="000000"/>
                <w:szCs w:val="20"/>
                <w:lang w:val="sl-SI" w:eastAsia="hr-BA"/>
              </w:rPr>
            </w:pPr>
            <m:oMath>
              <m:r>
                <w:rPr>
                  <w:rFonts w:ascii="Cambria Math" w:hAnsi="Cambria Math"/>
                  <w:lang w:val="sl-SI"/>
                </w:rPr>
                <m:t>≈</m:t>
              </m:r>
            </m:oMath>
            <w:r w:rsidRPr="00275FBD">
              <w:rPr>
                <w:lang w:val="sl-SI"/>
              </w:rPr>
              <w:t>0.0%</w:t>
            </w:r>
          </w:p>
        </w:tc>
      </w:tr>
      <w:tr w:rsidR="00012087" w:rsidRPr="00275FBD" w14:paraId="6067C0B8" w14:textId="77777777" w:rsidTr="00012087">
        <w:trPr>
          <w:trHeight w:val="107"/>
        </w:trPr>
        <w:tc>
          <w:tcPr>
            <w:tcW w:w="3465" w:type="dxa"/>
            <w:tcBorders>
              <w:top w:val="single" w:sz="12" w:space="0" w:color="000000"/>
            </w:tcBorders>
            <w:shd w:val="clear" w:color="auto" w:fill="auto"/>
          </w:tcPr>
          <w:p w14:paraId="406731B9" w14:textId="061B538C" w:rsidR="00012087" w:rsidRPr="00275FBD" w:rsidRDefault="00525A29" w:rsidP="00345DEF">
            <w:pPr>
              <w:jc w:val="left"/>
              <w:rPr>
                <w:lang w:val="sl-SI"/>
              </w:rPr>
            </w:pPr>
            <w:r w:rsidRPr="00275FBD">
              <w:rPr>
                <w:lang w:val="sl-SI"/>
              </w:rPr>
              <w:t>Skupno</w:t>
            </w:r>
          </w:p>
        </w:tc>
        <w:tc>
          <w:tcPr>
            <w:tcW w:w="1761" w:type="dxa"/>
            <w:tcBorders>
              <w:top w:val="single" w:sz="12" w:space="0" w:color="000000"/>
            </w:tcBorders>
            <w:shd w:val="clear" w:color="auto" w:fill="auto"/>
          </w:tcPr>
          <w:p w14:paraId="51EB67C3" w14:textId="77777777" w:rsidR="00012087" w:rsidRPr="00275FBD" w:rsidRDefault="00012087" w:rsidP="00345DEF">
            <w:pPr>
              <w:jc w:val="left"/>
              <w:rPr>
                <w:lang w:val="sl-SI"/>
              </w:rPr>
            </w:pPr>
            <w:r w:rsidRPr="00275FBD">
              <w:rPr>
                <w:lang w:val="sl-SI"/>
              </w:rPr>
              <w:t>1.2E-06</w:t>
            </w:r>
          </w:p>
        </w:tc>
        <w:tc>
          <w:tcPr>
            <w:tcW w:w="1672" w:type="dxa"/>
            <w:tcBorders>
              <w:top w:val="single" w:sz="12" w:space="0" w:color="000000"/>
            </w:tcBorders>
          </w:tcPr>
          <w:p w14:paraId="30D46D09" w14:textId="292429B2" w:rsidR="00012087" w:rsidRPr="00275FBD" w:rsidRDefault="00012087" w:rsidP="00345DEF">
            <w:pPr>
              <w:jc w:val="left"/>
              <w:rPr>
                <w:lang w:val="sl-SI"/>
              </w:rPr>
            </w:pPr>
            <w:r w:rsidRPr="00275FBD">
              <w:rPr>
                <w:lang w:val="sl-SI"/>
              </w:rPr>
              <w:t>100%</w:t>
            </w:r>
          </w:p>
        </w:tc>
      </w:tr>
    </w:tbl>
    <w:p w14:paraId="07593381" w14:textId="77777777" w:rsidR="009A2971" w:rsidRPr="00275FBD" w:rsidRDefault="009A2971" w:rsidP="009A2971">
      <w:pPr>
        <w:rPr>
          <w:rFonts w:cs="TimesNewRomanPSMT"/>
          <w:szCs w:val="20"/>
          <w:lang w:val="sl-SI" w:eastAsia="en-GB"/>
        </w:rPr>
      </w:pPr>
    </w:p>
    <w:p w14:paraId="1D7E4145" w14:textId="4D71B3F6" w:rsidR="00525A29" w:rsidRPr="00275FBD" w:rsidRDefault="00525A29" w:rsidP="00525A29">
      <w:pPr>
        <w:rPr>
          <w:rFonts w:cs="TimesNewRomanPSMT"/>
          <w:szCs w:val="20"/>
          <w:lang w:val="sl-SI" w:eastAsia="en-GB"/>
        </w:rPr>
      </w:pPr>
      <w:r w:rsidRPr="00275FBD">
        <w:rPr>
          <w:rFonts w:cs="TimesNewRomanPSMT"/>
          <w:szCs w:val="20"/>
          <w:lang w:val="sl-SI" w:eastAsia="en-GB"/>
        </w:rPr>
        <w:t xml:space="preserve">Največji delež k tveganju zaradi SFP predstavlja potresna nevarnost, </w:t>
      </w:r>
      <w:r w:rsidR="00750719" w:rsidRPr="00275FBD">
        <w:rPr>
          <w:rFonts w:cs="TimesNewRomanPSMT"/>
          <w:szCs w:val="20"/>
          <w:lang w:val="sl-SI" w:eastAsia="en-GB"/>
        </w:rPr>
        <w:t>k</w:t>
      </w:r>
      <w:r w:rsidR="00750719">
        <w:rPr>
          <w:rFonts w:cs="TimesNewRomanPSMT"/>
          <w:szCs w:val="20"/>
          <w:lang w:val="sl-SI" w:eastAsia="en-GB"/>
        </w:rPr>
        <w:t>ar</w:t>
      </w:r>
      <w:r w:rsidR="00750719" w:rsidRPr="00275FBD">
        <w:rPr>
          <w:rFonts w:cs="TimesNewRomanPSMT"/>
          <w:szCs w:val="20"/>
          <w:lang w:val="sl-SI" w:eastAsia="en-GB"/>
        </w:rPr>
        <w:t xml:space="preserve"> </w:t>
      </w:r>
      <w:r w:rsidRPr="00275FBD">
        <w:rPr>
          <w:rFonts w:cs="TimesNewRomanPSMT"/>
          <w:szCs w:val="20"/>
          <w:lang w:val="sl-SI" w:eastAsia="en-GB"/>
        </w:rPr>
        <w:t xml:space="preserve">je </w:t>
      </w:r>
      <w:r w:rsidR="00750719" w:rsidRPr="00275FBD">
        <w:rPr>
          <w:rFonts w:cs="TimesNewRomanPSMT"/>
          <w:szCs w:val="20"/>
          <w:lang w:val="sl-SI" w:eastAsia="en-GB"/>
        </w:rPr>
        <w:t>značiln</w:t>
      </w:r>
      <w:r w:rsidR="00750719">
        <w:rPr>
          <w:rFonts w:cs="TimesNewRomanPSMT"/>
          <w:szCs w:val="20"/>
          <w:lang w:val="sl-SI" w:eastAsia="en-GB"/>
        </w:rPr>
        <w:t>o</w:t>
      </w:r>
      <w:r w:rsidR="00750719" w:rsidRPr="00275FBD">
        <w:rPr>
          <w:rFonts w:cs="TimesNewRomanPSMT"/>
          <w:szCs w:val="20"/>
          <w:lang w:val="sl-SI" w:eastAsia="en-GB"/>
        </w:rPr>
        <w:t xml:space="preserve"> </w:t>
      </w:r>
      <w:r w:rsidRPr="00275FBD">
        <w:rPr>
          <w:rFonts w:cs="TimesNewRomanPSMT"/>
          <w:szCs w:val="20"/>
          <w:lang w:val="sl-SI" w:eastAsia="en-GB"/>
        </w:rPr>
        <w:t>za generacijo elektrarn, v katero sodi NEK.</w:t>
      </w:r>
    </w:p>
    <w:p w14:paraId="4C4C85C0" w14:textId="1D2421FC" w:rsidR="009A2971" w:rsidRPr="00275FBD" w:rsidRDefault="00525A29" w:rsidP="00400B86">
      <w:pPr>
        <w:tabs>
          <w:tab w:val="left" w:pos="1134"/>
        </w:tabs>
        <w:rPr>
          <w:rFonts w:cs="TimesNewRomanPSMT"/>
          <w:szCs w:val="20"/>
          <w:lang w:val="sl-SI" w:eastAsia="en-GB"/>
        </w:rPr>
      </w:pPr>
      <w:r w:rsidRPr="00275FBD">
        <w:rPr>
          <w:rFonts w:cs="TimesNewRomanPSMT"/>
          <w:szCs w:val="20"/>
          <w:lang w:val="sl-SI" w:eastAsia="en-GB"/>
        </w:rPr>
        <w:t xml:space="preserve">Tveganje </w:t>
      </w:r>
      <w:r w:rsidR="00400B86">
        <w:rPr>
          <w:rFonts w:cs="TimesNewRomanPSMT"/>
          <w:szCs w:val="20"/>
          <w:lang w:val="sl-SI" w:eastAsia="en-GB"/>
        </w:rPr>
        <w:t>zaradi</w:t>
      </w:r>
      <w:r w:rsidR="00400B86" w:rsidRPr="00275FBD">
        <w:rPr>
          <w:rFonts w:cs="TimesNewRomanPSMT"/>
          <w:szCs w:val="20"/>
          <w:lang w:val="sl-SI" w:eastAsia="en-GB"/>
        </w:rPr>
        <w:t xml:space="preserve"> </w:t>
      </w:r>
      <w:r w:rsidRPr="00275FBD">
        <w:rPr>
          <w:rFonts w:cs="TimesNewRomanPSMT"/>
          <w:szCs w:val="20"/>
          <w:lang w:val="sl-SI" w:eastAsia="en-GB"/>
        </w:rPr>
        <w:t xml:space="preserve">suhega skladišča </w:t>
      </w:r>
      <w:r w:rsidR="00400B86">
        <w:rPr>
          <w:rFonts w:cs="TimesNewRomanPSMT"/>
          <w:szCs w:val="20"/>
          <w:lang w:val="sl-SI" w:eastAsia="en-GB"/>
        </w:rPr>
        <w:t xml:space="preserve">izrabljenega goriva </w:t>
      </w:r>
      <w:r w:rsidRPr="00275FBD">
        <w:rPr>
          <w:rFonts w:cs="TimesNewRomanPSMT"/>
          <w:szCs w:val="20"/>
          <w:lang w:val="sl-SI" w:eastAsia="en-GB"/>
        </w:rPr>
        <w:t>v NEK je bilo ovrednoteno v posebni študiji. Kvantitativni rezultati tveganj</w:t>
      </w:r>
      <w:r w:rsidR="00B87137">
        <w:rPr>
          <w:rFonts w:cs="TimesNewRomanPSMT"/>
          <w:szCs w:val="20"/>
          <w:lang w:val="sl-SI" w:eastAsia="en-GB"/>
        </w:rPr>
        <w:t>a</w:t>
      </w:r>
      <w:r w:rsidRPr="00275FBD">
        <w:rPr>
          <w:rFonts w:cs="TimesNewRomanPSMT"/>
          <w:szCs w:val="20"/>
          <w:lang w:val="sl-SI" w:eastAsia="en-GB"/>
        </w:rPr>
        <w:t xml:space="preserve"> za </w:t>
      </w:r>
      <w:r w:rsidR="00750719">
        <w:rPr>
          <w:rFonts w:cs="TimesNewRomanPSMT"/>
          <w:szCs w:val="20"/>
          <w:lang w:val="sl-SI" w:eastAsia="en-GB"/>
        </w:rPr>
        <w:t>prebivalstvo</w:t>
      </w:r>
      <w:r w:rsidRPr="00275FBD">
        <w:rPr>
          <w:rFonts w:cs="TimesNewRomanPSMT"/>
          <w:szCs w:val="20"/>
          <w:lang w:val="sl-SI" w:eastAsia="en-GB"/>
        </w:rPr>
        <w:t xml:space="preserve"> so predstavljeni v smislu letne verjetnosti latentne smrtnosti zaradi raka, ki je bila ocenjena na velikostni red 1E-12 </w:t>
      </w:r>
      <w:r w:rsidR="00400B86">
        <w:rPr>
          <w:rFonts w:cs="TimesNewRomanPSMT"/>
          <w:szCs w:val="20"/>
          <w:lang w:val="sl-SI" w:eastAsia="en-GB"/>
        </w:rPr>
        <w:t xml:space="preserve">na </w:t>
      </w:r>
      <w:r w:rsidRPr="00275FBD">
        <w:rPr>
          <w:rFonts w:cs="TimesNewRomanPSMT"/>
          <w:szCs w:val="20"/>
          <w:lang w:val="sl-SI" w:eastAsia="en-GB"/>
        </w:rPr>
        <w:t xml:space="preserve">leto. Ocenjeno je bilo, da največji del tveganja izhaja iz scenarijev, povezanih z ročnim </w:t>
      </w:r>
      <w:r w:rsidR="00B87137">
        <w:rPr>
          <w:rFonts w:cs="TimesNewRomanPSMT"/>
          <w:szCs w:val="20"/>
          <w:lang w:val="sl-SI" w:eastAsia="en-GB"/>
        </w:rPr>
        <w:t>delom</w:t>
      </w:r>
      <w:r w:rsidR="00B87137" w:rsidRPr="00275FBD">
        <w:rPr>
          <w:rFonts w:cs="TimesNewRomanPSMT"/>
          <w:szCs w:val="20"/>
          <w:lang w:val="sl-SI" w:eastAsia="en-GB"/>
        </w:rPr>
        <w:t xml:space="preserve"> </w:t>
      </w:r>
      <w:r w:rsidRPr="00275FBD">
        <w:rPr>
          <w:rFonts w:cs="TimesNewRomanPSMT"/>
          <w:szCs w:val="20"/>
          <w:lang w:val="sl-SI" w:eastAsia="en-GB"/>
        </w:rPr>
        <w:t>in transportom.</w:t>
      </w:r>
    </w:p>
    <w:p w14:paraId="25423498" w14:textId="77777777" w:rsidR="00525A29" w:rsidRPr="00275FBD" w:rsidRDefault="00525A29" w:rsidP="00ED1A59">
      <w:pPr>
        <w:rPr>
          <w:rFonts w:cs="TimesNewRomanPSMT"/>
          <w:szCs w:val="20"/>
          <w:lang w:val="sl-SI" w:eastAsia="en-GB"/>
        </w:rPr>
      </w:pPr>
    </w:p>
    <w:p w14:paraId="2B344EF1" w14:textId="71C87E4D" w:rsidR="00ED1A59" w:rsidRPr="00275FBD" w:rsidRDefault="007C67D8" w:rsidP="00ED1A59">
      <w:pPr>
        <w:pStyle w:val="Naslov2"/>
        <w:rPr>
          <w:lang w:val="sl-SI" w:eastAsia="en-GB"/>
        </w:rPr>
      </w:pPr>
      <w:bookmarkStart w:id="90" w:name="_Toc371786478"/>
      <w:bookmarkStart w:id="91" w:name="_Ref132729403"/>
      <w:bookmarkStart w:id="92" w:name="_Toc133264117"/>
      <w:bookmarkStart w:id="93" w:name="_Ref135842292"/>
      <w:bookmarkStart w:id="94" w:name="_Ref138335197"/>
      <w:bookmarkStart w:id="95" w:name="_Ref138341590"/>
      <w:bookmarkStart w:id="96" w:name="_Toc163197430"/>
      <w:r>
        <w:rPr>
          <w:lang w:val="sl-SI" w:eastAsia="en-GB"/>
        </w:rPr>
        <w:t>Ocena</w:t>
      </w:r>
      <w:r w:rsidR="00E72C5E" w:rsidRPr="00275FBD">
        <w:rPr>
          <w:lang w:val="sl-SI" w:eastAsia="en-GB"/>
        </w:rPr>
        <w:t xml:space="preserve"> </w:t>
      </w:r>
      <w:r w:rsidRPr="00275FBD">
        <w:rPr>
          <w:lang w:val="sl-SI" w:eastAsia="en-GB"/>
        </w:rPr>
        <w:t>vpliv</w:t>
      </w:r>
      <w:r>
        <w:rPr>
          <w:lang w:val="sl-SI" w:eastAsia="en-GB"/>
        </w:rPr>
        <w:t>a</w:t>
      </w:r>
      <w:r w:rsidRPr="00275FBD">
        <w:rPr>
          <w:lang w:val="sl-SI" w:eastAsia="en-GB"/>
        </w:rPr>
        <w:t xml:space="preserve"> </w:t>
      </w:r>
      <w:r w:rsidR="00AB2D8B" w:rsidRPr="00275FBD">
        <w:rPr>
          <w:lang w:val="sl-SI" w:eastAsia="en-GB"/>
        </w:rPr>
        <w:t>najdb</w:t>
      </w:r>
      <w:r w:rsidR="00C82D8E" w:rsidRPr="00275FBD">
        <w:rPr>
          <w:lang w:val="sl-SI" w:eastAsia="en-GB"/>
        </w:rPr>
        <w:t xml:space="preserve"> iz</w:t>
      </w:r>
      <w:r w:rsidR="00ED1A59" w:rsidRPr="00275FBD">
        <w:rPr>
          <w:lang w:val="sl-SI" w:eastAsia="en-GB"/>
        </w:rPr>
        <w:t xml:space="preserve"> PSR3</w:t>
      </w:r>
      <w:bookmarkEnd w:id="90"/>
      <w:bookmarkEnd w:id="91"/>
      <w:bookmarkEnd w:id="92"/>
      <w:bookmarkEnd w:id="93"/>
      <w:bookmarkEnd w:id="94"/>
      <w:bookmarkEnd w:id="95"/>
      <w:bookmarkEnd w:id="96"/>
    </w:p>
    <w:p w14:paraId="0B30D775" w14:textId="14FBE128" w:rsidR="00650BDC" w:rsidRPr="00275FBD" w:rsidRDefault="00650BDC" w:rsidP="00650BDC">
      <w:pPr>
        <w:rPr>
          <w:lang w:val="sl-SI" w:eastAsia="en-GB"/>
        </w:rPr>
      </w:pPr>
      <w:r w:rsidRPr="00275FBD">
        <w:rPr>
          <w:lang w:val="sl-SI" w:eastAsia="en-GB"/>
        </w:rPr>
        <w:t xml:space="preserve">V </w:t>
      </w:r>
      <w:r w:rsidR="00052E53" w:rsidRPr="00275FBD">
        <w:rPr>
          <w:lang w:val="sl-SI" w:eastAsia="en-GB"/>
        </w:rPr>
        <w:t xml:space="preserve">poglavjih </w:t>
      </w:r>
      <w:r w:rsidRPr="00275FBD">
        <w:rPr>
          <w:lang w:val="sl-SI" w:eastAsia="en-GB"/>
        </w:rPr>
        <w:fldChar w:fldCharType="begin"/>
      </w:r>
      <w:r w:rsidRPr="00275FBD">
        <w:rPr>
          <w:lang w:val="sl-SI" w:eastAsia="en-GB"/>
        </w:rPr>
        <w:instrText xml:space="preserve"> REF _Ref138424277 \r \h </w:instrText>
      </w:r>
      <w:r w:rsidRPr="00275FBD">
        <w:rPr>
          <w:lang w:val="sl-SI" w:eastAsia="en-GB"/>
        </w:rPr>
      </w:r>
      <w:r w:rsidRPr="00275FBD">
        <w:rPr>
          <w:lang w:val="sl-SI" w:eastAsia="en-GB"/>
        </w:rPr>
        <w:fldChar w:fldCharType="separate"/>
      </w:r>
      <w:r w:rsidR="00BA25CD">
        <w:rPr>
          <w:lang w:val="sl-SI" w:eastAsia="en-GB"/>
        </w:rPr>
        <w:t>5.1</w:t>
      </w:r>
      <w:r w:rsidRPr="00275FBD">
        <w:rPr>
          <w:lang w:val="sl-SI" w:eastAsia="en-GB"/>
        </w:rPr>
        <w:fldChar w:fldCharType="end"/>
      </w:r>
      <w:r w:rsidRPr="00275FBD">
        <w:rPr>
          <w:lang w:val="sl-SI" w:eastAsia="en-GB"/>
        </w:rPr>
        <w:t xml:space="preserve"> in </w:t>
      </w:r>
      <w:r w:rsidRPr="00275FBD">
        <w:rPr>
          <w:lang w:val="sl-SI" w:eastAsia="en-GB"/>
        </w:rPr>
        <w:fldChar w:fldCharType="begin"/>
      </w:r>
      <w:r w:rsidRPr="00275FBD">
        <w:rPr>
          <w:lang w:val="sl-SI" w:eastAsia="en-GB"/>
        </w:rPr>
        <w:instrText xml:space="preserve"> REF _Ref138424290 \r \h </w:instrText>
      </w:r>
      <w:r w:rsidRPr="00275FBD">
        <w:rPr>
          <w:lang w:val="sl-SI" w:eastAsia="en-GB"/>
        </w:rPr>
      </w:r>
      <w:r w:rsidRPr="00275FBD">
        <w:rPr>
          <w:lang w:val="sl-SI" w:eastAsia="en-GB"/>
        </w:rPr>
        <w:fldChar w:fldCharType="separate"/>
      </w:r>
      <w:r w:rsidR="00BA25CD">
        <w:rPr>
          <w:lang w:val="sl-SI" w:eastAsia="en-GB"/>
        </w:rPr>
        <w:t>5.2</w:t>
      </w:r>
      <w:r w:rsidRPr="00275FBD">
        <w:rPr>
          <w:lang w:val="sl-SI" w:eastAsia="en-GB"/>
        </w:rPr>
        <w:fldChar w:fldCharType="end"/>
      </w:r>
      <w:r w:rsidRPr="00275FBD">
        <w:rPr>
          <w:lang w:val="sl-SI" w:eastAsia="en-GB"/>
        </w:rPr>
        <w:t xml:space="preserve"> zgoraj je bila predstavljena ocena referenčnega ali nominalnega stanja </w:t>
      </w:r>
      <w:r w:rsidR="00E72C5E" w:rsidRPr="00275FBD">
        <w:rPr>
          <w:lang w:val="sl-SI" w:eastAsia="en-GB"/>
        </w:rPr>
        <w:t xml:space="preserve">objekta </w:t>
      </w:r>
      <w:r w:rsidRPr="00275FBD">
        <w:rPr>
          <w:lang w:val="sl-SI" w:eastAsia="en-GB"/>
        </w:rPr>
        <w:t xml:space="preserve">pri PSR3 v smislu </w:t>
      </w:r>
      <w:r w:rsidR="00750719">
        <w:rPr>
          <w:lang w:val="sl-SI" w:eastAsia="en-GB"/>
        </w:rPr>
        <w:t>zagotavljanja</w:t>
      </w:r>
      <w:r w:rsidR="00CF4C27">
        <w:rPr>
          <w:lang w:val="sl-SI" w:eastAsia="en-GB"/>
        </w:rPr>
        <w:t xml:space="preserve"> </w:t>
      </w:r>
      <w:r w:rsidRPr="00275FBD">
        <w:rPr>
          <w:lang w:val="sl-SI" w:eastAsia="en-GB"/>
        </w:rPr>
        <w:t>obrambe</w:t>
      </w:r>
      <w:r w:rsidR="00B87137">
        <w:rPr>
          <w:lang w:val="sl-SI" w:eastAsia="en-GB"/>
        </w:rPr>
        <w:t xml:space="preserve"> v globino</w:t>
      </w:r>
      <w:r w:rsidRPr="00275FBD">
        <w:rPr>
          <w:lang w:val="sl-SI" w:eastAsia="en-GB"/>
        </w:rPr>
        <w:t xml:space="preserve"> in ocene tveganja. Referenčni status je treba oceniti glede na možni vpliv </w:t>
      </w:r>
      <w:r w:rsidR="00BD5705" w:rsidRPr="00275FBD">
        <w:rPr>
          <w:lang w:val="sl-SI" w:eastAsia="en-GB"/>
        </w:rPr>
        <w:t>najdb,</w:t>
      </w:r>
      <w:r w:rsidRPr="00275FBD">
        <w:rPr>
          <w:lang w:val="sl-SI" w:eastAsia="en-GB"/>
        </w:rPr>
        <w:t xml:space="preserve"> </w:t>
      </w:r>
      <w:r w:rsidR="00DC549D">
        <w:rPr>
          <w:lang w:val="sl-SI" w:eastAsia="en-GB"/>
        </w:rPr>
        <w:t>določ</w:t>
      </w:r>
      <w:r w:rsidR="00DC549D" w:rsidRPr="00275FBD">
        <w:rPr>
          <w:lang w:val="sl-SI" w:eastAsia="en-GB"/>
        </w:rPr>
        <w:t xml:space="preserve">enih </w:t>
      </w:r>
      <w:r w:rsidRPr="00275FBD">
        <w:rPr>
          <w:lang w:val="sl-SI" w:eastAsia="en-GB"/>
        </w:rPr>
        <w:t>v fazi pregleda PSR3</w:t>
      </w:r>
      <w:r w:rsidR="00750719">
        <w:rPr>
          <w:lang w:val="sl-SI" w:eastAsia="en-GB"/>
        </w:rPr>
        <w:t>,</w:t>
      </w:r>
      <w:r w:rsidR="00750719" w:rsidRPr="00275FBD">
        <w:rPr>
          <w:lang w:val="sl-SI" w:eastAsia="en-GB"/>
        </w:rPr>
        <w:t xml:space="preserve"> </w:t>
      </w:r>
      <w:r w:rsidR="00750719">
        <w:rPr>
          <w:lang w:val="sl-SI" w:eastAsia="en-GB"/>
        </w:rPr>
        <w:t>kar</w:t>
      </w:r>
      <w:r w:rsidR="00750719" w:rsidRPr="00275FBD">
        <w:rPr>
          <w:lang w:val="sl-SI" w:eastAsia="en-GB"/>
        </w:rPr>
        <w:t xml:space="preserve"> </w:t>
      </w:r>
      <w:r w:rsidRPr="00275FBD">
        <w:rPr>
          <w:lang w:val="sl-SI" w:eastAsia="en-GB"/>
        </w:rPr>
        <w:t xml:space="preserve">je </w:t>
      </w:r>
      <w:r w:rsidR="00400B86">
        <w:rPr>
          <w:lang w:val="sl-SI" w:eastAsia="en-GB"/>
        </w:rPr>
        <w:t>podrobneje</w:t>
      </w:r>
      <w:r w:rsidR="00400B86" w:rsidRPr="00275FBD">
        <w:rPr>
          <w:lang w:val="sl-SI" w:eastAsia="en-GB"/>
        </w:rPr>
        <w:t xml:space="preserve"> </w:t>
      </w:r>
      <w:r w:rsidRPr="00275FBD">
        <w:rPr>
          <w:lang w:val="sl-SI" w:eastAsia="en-GB"/>
        </w:rPr>
        <w:t>obravnavano spodaj.</w:t>
      </w:r>
    </w:p>
    <w:p w14:paraId="6BC64957" w14:textId="3A2442ED" w:rsidR="00650BDC" w:rsidRPr="00275FBD" w:rsidRDefault="00750719" w:rsidP="00650BDC">
      <w:pPr>
        <w:rPr>
          <w:lang w:val="sl-SI" w:eastAsia="en-GB"/>
        </w:rPr>
      </w:pPr>
      <w:r>
        <w:rPr>
          <w:lang w:val="sl-SI" w:eastAsia="en-GB"/>
        </w:rPr>
        <w:t>Po končani</w:t>
      </w:r>
      <w:r w:rsidRPr="00275FBD">
        <w:rPr>
          <w:lang w:val="sl-SI" w:eastAsia="en-GB"/>
        </w:rPr>
        <w:t xml:space="preserve"> </w:t>
      </w:r>
      <w:r w:rsidR="00650BDC" w:rsidRPr="00275FBD">
        <w:rPr>
          <w:lang w:val="sl-SI" w:eastAsia="en-GB"/>
        </w:rPr>
        <w:t>faz</w:t>
      </w:r>
      <w:r>
        <w:rPr>
          <w:lang w:val="sl-SI" w:eastAsia="en-GB"/>
        </w:rPr>
        <w:t>i</w:t>
      </w:r>
      <w:r w:rsidR="00650BDC" w:rsidRPr="00275FBD">
        <w:rPr>
          <w:lang w:val="sl-SI" w:eastAsia="en-GB"/>
        </w:rPr>
        <w:t xml:space="preserve"> </w:t>
      </w:r>
      <w:r w:rsidR="00400B86">
        <w:rPr>
          <w:lang w:val="sl-SI" w:eastAsia="en-GB"/>
        </w:rPr>
        <w:t xml:space="preserve">izvedbe </w:t>
      </w:r>
      <w:r w:rsidR="00650BDC" w:rsidRPr="00275FBD">
        <w:rPr>
          <w:lang w:val="sl-SI" w:eastAsia="en-GB"/>
        </w:rPr>
        <w:t xml:space="preserve">pregleda </w:t>
      </w:r>
      <w:r w:rsidR="00400B86">
        <w:rPr>
          <w:lang w:val="sl-SI" w:eastAsia="en-GB"/>
        </w:rPr>
        <w:t xml:space="preserve">v </w:t>
      </w:r>
      <w:r w:rsidR="00650BDC" w:rsidRPr="00275FBD">
        <w:rPr>
          <w:lang w:val="sl-SI" w:eastAsia="en-GB"/>
        </w:rPr>
        <w:t xml:space="preserve">PSR3 je bil najprej </w:t>
      </w:r>
      <w:r w:rsidR="00400B86">
        <w:rPr>
          <w:lang w:val="sl-SI" w:eastAsia="en-GB"/>
        </w:rPr>
        <w:t>zbran</w:t>
      </w:r>
      <w:r w:rsidR="00400B86" w:rsidRPr="00275FBD">
        <w:rPr>
          <w:lang w:val="sl-SI" w:eastAsia="en-GB"/>
        </w:rPr>
        <w:t xml:space="preserve"> </w:t>
      </w:r>
      <w:r w:rsidR="00650BDC" w:rsidRPr="00275FBD">
        <w:rPr>
          <w:lang w:val="sl-SI" w:eastAsia="en-GB"/>
        </w:rPr>
        <w:t xml:space="preserve">celoten "inventar" </w:t>
      </w:r>
      <w:r w:rsidR="00BD5705" w:rsidRPr="00275FBD">
        <w:rPr>
          <w:lang w:val="sl-SI" w:eastAsia="en-GB"/>
        </w:rPr>
        <w:t xml:space="preserve">najdb </w:t>
      </w:r>
      <w:r w:rsidR="00650BDC" w:rsidRPr="00275FBD">
        <w:rPr>
          <w:lang w:val="sl-SI" w:eastAsia="en-GB"/>
        </w:rPr>
        <w:t xml:space="preserve">z </w:t>
      </w:r>
      <w:r w:rsidR="00400B86">
        <w:rPr>
          <w:lang w:val="sl-SI" w:eastAsia="en-GB"/>
        </w:rPr>
        <w:t>naborom</w:t>
      </w:r>
      <w:r w:rsidR="00400B86" w:rsidRPr="00275FBD">
        <w:rPr>
          <w:lang w:val="sl-SI" w:eastAsia="en-GB"/>
        </w:rPr>
        <w:t xml:space="preserve"> </w:t>
      </w:r>
      <w:r w:rsidR="00650BDC" w:rsidRPr="00275FBD">
        <w:rPr>
          <w:lang w:val="sl-SI" w:eastAsia="en-GB"/>
        </w:rPr>
        <w:t xml:space="preserve">vseh </w:t>
      </w:r>
      <w:r w:rsidR="00BD5705" w:rsidRPr="00275FBD">
        <w:rPr>
          <w:lang w:val="sl-SI" w:eastAsia="en-GB"/>
        </w:rPr>
        <w:t xml:space="preserve">najdb </w:t>
      </w:r>
      <w:r w:rsidR="00650BDC" w:rsidRPr="00275FBD">
        <w:rPr>
          <w:lang w:val="sl-SI" w:eastAsia="en-GB"/>
        </w:rPr>
        <w:t xml:space="preserve">iz tematskih poročil o varnostnih </w:t>
      </w:r>
      <w:r w:rsidR="00E1088E">
        <w:rPr>
          <w:lang w:val="sl-SI"/>
        </w:rPr>
        <w:t>vsebinah</w:t>
      </w:r>
      <w:r w:rsidR="00650BDC" w:rsidRPr="00275FBD">
        <w:rPr>
          <w:lang w:val="sl-SI" w:eastAsia="en-GB"/>
        </w:rPr>
        <w:t>. Vsak</w:t>
      </w:r>
      <w:r w:rsidR="00EC5401" w:rsidRPr="00275FBD">
        <w:rPr>
          <w:lang w:val="sl-SI" w:eastAsia="en-GB"/>
        </w:rPr>
        <w:t>a</w:t>
      </w:r>
      <w:r w:rsidR="00650BDC" w:rsidRPr="00275FBD">
        <w:rPr>
          <w:lang w:val="sl-SI" w:eastAsia="en-GB"/>
        </w:rPr>
        <w:t xml:space="preserve"> </w:t>
      </w:r>
      <w:r w:rsidR="00EC5401" w:rsidRPr="00275FBD">
        <w:rPr>
          <w:lang w:val="sl-SI" w:eastAsia="en-GB"/>
        </w:rPr>
        <w:t>najdba</w:t>
      </w:r>
      <w:r w:rsidR="00650BDC" w:rsidRPr="00275FBD">
        <w:rPr>
          <w:lang w:val="sl-SI" w:eastAsia="en-GB"/>
        </w:rPr>
        <w:t xml:space="preserve"> iz popisa je bil</w:t>
      </w:r>
      <w:r w:rsidR="00EC5401" w:rsidRPr="00275FBD">
        <w:rPr>
          <w:lang w:val="sl-SI" w:eastAsia="en-GB"/>
        </w:rPr>
        <w:t>a</w:t>
      </w:r>
      <w:r w:rsidR="00650BDC" w:rsidRPr="00275FBD">
        <w:rPr>
          <w:lang w:val="sl-SI" w:eastAsia="en-GB"/>
        </w:rPr>
        <w:t xml:space="preserve"> nato ocenjena glede na njen</w:t>
      </w:r>
      <w:r w:rsidR="00400B86">
        <w:rPr>
          <w:lang w:val="sl-SI" w:eastAsia="en-GB"/>
        </w:rPr>
        <w:t>o</w:t>
      </w:r>
      <w:r w:rsidR="00650BDC" w:rsidRPr="00275FBD">
        <w:rPr>
          <w:lang w:val="sl-SI" w:eastAsia="en-GB"/>
        </w:rPr>
        <w:t xml:space="preserve"> </w:t>
      </w:r>
      <w:r w:rsidR="00400B86" w:rsidRPr="00275FBD">
        <w:rPr>
          <w:lang w:val="sl-SI" w:eastAsia="en-GB"/>
        </w:rPr>
        <w:t>varnostn</w:t>
      </w:r>
      <w:r w:rsidR="00400B86">
        <w:rPr>
          <w:lang w:val="sl-SI" w:eastAsia="en-GB"/>
        </w:rPr>
        <w:t>o</w:t>
      </w:r>
      <w:r w:rsidR="00400B86" w:rsidRPr="00275FBD">
        <w:rPr>
          <w:lang w:val="sl-SI" w:eastAsia="en-GB"/>
        </w:rPr>
        <w:t xml:space="preserve"> </w:t>
      </w:r>
      <w:bookmarkStart w:id="97" w:name="_Hlk161571288"/>
      <w:r w:rsidR="00400B86" w:rsidRPr="00275FBD">
        <w:rPr>
          <w:lang w:val="sl-SI" w:eastAsia="en-GB"/>
        </w:rPr>
        <w:t>pome</w:t>
      </w:r>
      <w:r w:rsidR="00400B86">
        <w:rPr>
          <w:lang w:val="sl-SI" w:eastAsia="en-GB"/>
        </w:rPr>
        <w:t>mbnost</w:t>
      </w:r>
      <w:bookmarkEnd w:id="97"/>
      <w:r w:rsidR="00650BDC" w:rsidRPr="00275FBD">
        <w:rPr>
          <w:lang w:val="sl-SI" w:eastAsia="en-GB"/>
        </w:rPr>
        <w:t>, na podlagi česar se je razvrstila na lestvici pomembnosti za varnost.</w:t>
      </w:r>
    </w:p>
    <w:p w14:paraId="4539C6D8" w14:textId="05F647F6" w:rsidR="00650BDC" w:rsidRPr="00275FBD" w:rsidRDefault="00650BDC" w:rsidP="00650BDC">
      <w:pPr>
        <w:rPr>
          <w:lang w:val="sl-SI" w:eastAsia="en-GB"/>
        </w:rPr>
      </w:pPr>
      <w:r w:rsidRPr="00750719">
        <w:rPr>
          <w:lang w:val="sl-SI" w:eastAsia="en-GB"/>
        </w:rPr>
        <w:t xml:space="preserve">Postopek razvrščanja </w:t>
      </w:r>
      <w:r w:rsidR="00750719">
        <w:rPr>
          <w:lang w:val="sl-SI" w:eastAsia="en-GB"/>
        </w:rPr>
        <w:t>določe</w:t>
      </w:r>
      <w:r w:rsidR="00750719" w:rsidRPr="00750719">
        <w:rPr>
          <w:lang w:val="sl-SI" w:eastAsia="en-GB"/>
        </w:rPr>
        <w:t xml:space="preserve">nih </w:t>
      </w:r>
      <w:r w:rsidR="00BD5705" w:rsidRPr="00750719">
        <w:rPr>
          <w:lang w:val="sl-SI" w:eastAsia="en-GB"/>
        </w:rPr>
        <w:t xml:space="preserve">najdb </w:t>
      </w:r>
      <w:r w:rsidRPr="00750719">
        <w:rPr>
          <w:lang w:val="sl-SI" w:eastAsia="en-GB"/>
        </w:rPr>
        <w:t>PSR3 glede na njihov</w:t>
      </w:r>
      <w:r w:rsidR="00400B86" w:rsidRPr="00750719">
        <w:rPr>
          <w:lang w:val="sl-SI" w:eastAsia="en-GB"/>
        </w:rPr>
        <w:t>o</w:t>
      </w:r>
      <w:r w:rsidRPr="00750719">
        <w:rPr>
          <w:lang w:val="sl-SI" w:eastAsia="en-GB"/>
        </w:rPr>
        <w:t xml:space="preserve"> </w:t>
      </w:r>
      <w:r w:rsidR="00400B86" w:rsidRPr="00750719">
        <w:rPr>
          <w:lang w:val="sl-SI" w:eastAsia="en-GB"/>
        </w:rPr>
        <w:t>varnostno pomembnost</w:t>
      </w:r>
      <w:r w:rsidR="00400B86">
        <w:rPr>
          <w:lang w:val="sl-SI" w:eastAsia="en-GB"/>
        </w:rPr>
        <w:t xml:space="preserve"> </w:t>
      </w:r>
      <w:r w:rsidRPr="00275FBD">
        <w:rPr>
          <w:lang w:val="sl-SI" w:eastAsia="en-GB"/>
        </w:rPr>
        <w:t xml:space="preserve">je podrobneje opisan v poročilu PSR3-NEK-9.1 </w:t>
      </w:r>
      <w:r w:rsidRPr="00275FBD">
        <w:rPr>
          <w:lang w:val="sl-SI" w:eastAsia="en-GB"/>
        </w:rPr>
        <w:fldChar w:fldCharType="begin"/>
      </w:r>
      <w:r w:rsidRPr="00275FBD">
        <w:rPr>
          <w:lang w:val="sl-SI" w:eastAsia="en-GB"/>
        </w:rPr>
        <w:instrText xml:space="preserve"> REF _Ref131143634 \r \h </w:instrText>
      </w:r>
      <w:r w:rsidRPr="00275FBD">
        <w:rPr>
          <w:lang w:val="sl-SI" w:eastAsia="en-GB"/>
        </w:rPr>
      </w:r>
      <w:r w:rsidRPr="00275FBD">
        <w:rPr>
          <w:lang w:val="sl-SI" w:eastAsia="en-GB"/>
        </w:rPr>
        <w:fldChar w:fldCharType="separate"/>
      </w:r>
      <w:r w:rsidR="00BA25CD">
        <w:rPr>
          <w:lang w:val="sl-SI" w:eastAsia="en-GB"/>
        </w:rPr>
        <w:t>[9]</w:t>
      </w:r>
      <w:r w:rsidRPr="00275FBD">
        <w:rPr>
          <w:lang w:val="sl-SI" w:eastAsia="en-GB"/>
        </w:rPr>
        <w:fldChar w:fldCharType="end"/>
      </w:r>
      <w:r w:rsidRPr="00275FBD">
        <w:rPr>
          <w:lang w:val="sl-SI" w:eastAsia="en-GB"/>
        </w:rPr>
        <w:t xml:space="preserve">. Prvi korak v procesu, ki je sledil zbiranju </w:t>
      </w:r>
      <w:r w:rsidR="00BD5705" w:rsidRPr="00275FBD">
        <w:rPr>
          <w:lang w:val="sl-SI" w:eastAsia="en-GB"/>
        </w:rPr>
        <w:t xml:space="preserve">najdb </w:t>
      </w:r>
      <w:r w:rsidRPr="00275FBD">
        <w:rPr>
          <w:lang w:val="sl-SI" w:eastAsia="en-GB"/>
        </w:rPr>
        <w:t xml:space="preserve">iz </w:t>
      </w:r>
      <w:r w:rsidR="00750719">
        <w:rPr>
          <w:lang w:val="sl-SI" w:eastAsia="en-GB"/>
        </w:rPr>
        <w:t>tematskih</w:t>
      </w:r>
      <w:r w:rsidR="00750719" w:rsidRPr="00275FBD">
        <w:rPr>
          <w:lang w:val="sl-SI" w:eastAsia="en-GB"/>
        </w:rPr>
        <w:t xml:space="preserve"> </w:t>
      </w:r>
      <w:r w:rsidRPr="00275FBD">
        <w:rPr>
          <w:lang w:val="sl-SI" w:eastAsia="en-GB"/>
        </w:rPr>
        <w:t xml:space="preserve">poročil o varnostnih </w:t>
      </w:r>
      <w:r w:rsidR="00E1088E">
        <w:rPr>
          <w:lang w:val="sl-SI"/>
        </w:rPr>
        <w:t>vsebinah</w:t>
      </w:r>
      <w:r w:rsidRPr="00275FBD">
        <w:rPr>
          <w:lang w:val="sl-SI" w:eastAsia="en-GB"/>
        </w:rPr>
        <w:t xml:space="preserve">, je bila končna široka razvrstitev, kjer je bila predhodna široka </w:t>
      </w:r>
      <w:r w:rsidR="00E72C5E" w:rsidRPr="00275FBD">
        <w:rPr>
          <w:lang w:val="sl-SI" w:eastAsia="en-GB"/>
        </w:rPr>
        <w:t xml:space="preserve">razvrstitev </w:t>
      </w:r>
      <w:r w:rsidRPr="00275FBD">
        <w:rPr>
          <w:lang w:val="sl-SI" w:eastAsia="en-GB"/>
        </w:rPr>
        <w:t xml:space="preserve">vsake </w:t>
      </w:r>
      <w:r w:rsidR="00CB6B10">
        <w:rPr>
          <w:lang w:val="sl-SI" w:eastAsia="en-GB"/>
        </w:rPr>
        <w:t>najdbe</w:t>
      </w:r>
      <w:r w:rsidR="00CB6B10" w:rsidRPr="00275FBD">
        <w:rPr>
          <w:lang w:val="sl-SI" w:eastAsia="en-GB"/>
        </w:rPr>
        <w:t xml:space="preserve"> </w:t>
      </w:r>
      <w:r w:rsidRPr="00275FBD">
        <w:rPr>
          <w:lang w:val="sl-SI" w:eastAsia="en-GB"/>
        </w:rPr>
        <w:t xml:space="preserve">iz katerega koli </w:t>
      </w:r>
      <w:r w:rsidR="00750719">
        <w:rPr>
          <w:lang w:val="sl-SI" w:eastAsia="en-GB"/>
        </w:rPr>
        <w:t>tematskega</w:t>
      </w:r>
      <w:r w:rsidR="00750719" w:rsidRPr="00275FBD">
        <w:rPr>
          <w:lang w:val="sl-SI" w:eastAsia="en-GB"/>
        </w:rPr>
        <w:t xml:space="preserve"> </w:t>
      </w:r>
      <w:r w:rsidRPr="00275FBD">
        <w:rPr>
          <w:lang w:val="sl-SI" w:eastAsia="en-GB"/>
        </w:rPr>
        <w:t xml:space="preserve">poročila o varnostnih </w:t>
      </w:r>
      <w:r w:rsidR="00E1088E">
        <w:rPr>
          <w:lang w:val="sl-SI"/>
        </w:rPr>
        <w:t>vsebinah</w:t>
      </w:r>
      <w:r w:rsidR="00E1088E" w:rsidRPr="00275FBD">
        <w:rPr>
          <w:lang w:val="sl-SI"/>
        </w:rPr>
        <w:t xml:space="preserve"> </w:t>
      </w:r>
      <w:r w:rsidRPr="00275FBD">
        <w:rPr>
          <w:lang w:val="sl-SI" w:eastAsia="en-GB"/>
        </w:rPr>
        <w:t xml:space="preserve">upoštevana v luči drugih </w:t>
      </w:r>
      <w:r w:rsidR="00BD5705" w:rsidRPr="00275FBD">
        <w:rPr>
          <w:lang w:val="sl-SI" w:eastAsia="en-GB"/>
        </w:rPr>
        <w:t xml:space="preserve">najdb </w:t>
      </w:r>
      <w:r w:rsidRPr="00275FBD">
        <w:rPr>
          <w:lang w:val="sl-SI" w:eastAsia="en-GB"/>
        </w:rPr>
        <w:t xml:space="preserve">(iz različnih </w:t>
      </w:r>
      <w:r w:rsidR="00750719">
        <w:rPr>
          <w:lang w:val="sl-SI" w:eastAsia="en-GB"/>
        </w:rPr>
        <w:t xml:space="preserve">varnostnih </w:t>
      </w:r>
      <w:r w:rsidR="00E1088E">
        <w:rPr>
          <w:lang w:val="sl-SI" w:eastAsia="en-GB"/>
        </w:rPr>
        <w:t>vsebin</w:t>
      </w:r>
      <w:r w:rsidRPr="00275FBD">
        <w:rPr>
          <w:lang w:val="sl-SI" w:eastAsia="en-GB"/>
        </w:rPr>
        <w:t xml:space="preserve">), ki so lahko </w:t>
      </w:r>
      <w:r w:rsidR="00750719" w:rsidRPr="00275FBD">
        <w:rPr>
          <w:lang w:val="sl-SI" w:eastAsia="en-GB"/>
        </w:rPr>
        <w:t>sorodn</w:t>
      </w:r>
      <w:r w:rsidR="00750719">
        <w:rPr>
          <w:lang w:val="sl-SI" w:eastAsia="en-GB"/>
        </w:rPr>
        <w:t>e</w:t>
      </w:r>
      <w:r w:rsidR="00750719" w:rsidRPr="00275FBD">
        <w:rPr>
          <w:lang w:val="sl-SI" w:eastAsia="en-GB"/>
        </w:rPr>
        <w:t xml:space="preserve"> </w:t>
      </w:r>
      <w:r w:rsidRPr="00275FBD">
        <w:rPr>
          <w:lang w:val="sl-SI" w:eastAsia="en-GB"/>
        </w:rPr>
        <w:t xml:space="preserve">oziroma </w:t>
      </w:r>
      <w:r w:rsidR="00750719" w:rsidRPr="00275FBD">
        <w:rPr>
          <w:lang w:val="sl-SI" w:eastAsia="en-GB"/>
        </w:rPr>
        <w:t>povezan</w:t>
      </w:r>
      <w:r w:rsidR="00750719">
        <w:rPr>
          <w:lang w:val="sl-SI" w:eastAsia="en-GB"/>
        </w:rPr>
        <w:t>e</w:t>
      </w:r>
      <w:r w:rsidRPr="00275FBD">
        <w:rPr>
          <w:lang w:val="sl-SI" w:eastAsia="en-GB"/>
        </w:rPr>
        <w:t>.</w:t>
      </w:r>
    </w:p>
    <w:p w14:paraId="2FC10C1C" w14:textId="4FB609A6" w:rsidR="00650BDC" w:rsidRPr="00275FBD" w:rsidRDefault="00650BDC" w:rsidP="00650BDC">
      <w:pPr>
        <w:rPr>
          <w:rFonts w:cs="TimesNewRomanPSMT"/>
          <w:szCs w:val="20"/>
          <w:lang w:val="sl-SI" w:eastAsia="en-GB"/>
        </w:rPr>
      </w:pPr>
      <w:r w:rsidRPr="00275FBD">
        <w:rPr>
          <w:rFonts w:cs="TimesNewRomanPSMT"/>
          <w:szCs w:val="20"/>
          <w:lang w:val="sl-SI" w:eastAsia="en-GB"/>
        </w:rPr>
        <w:t xml:space="preserve">Naslednji korak je bil začetni izločilni pregled </w:t>
      </w:r>
      <w:r w:rsidR="00BD5705" w:rsidRPr="00275FBD">
        <w:rPr>
          <w:rFonts w:cs="TimesNewRomanPSMT"/>
          <w:szCs w:val="20"/>
          <w:lang w:val="sl-SI" w:eastAsia="en-GB"/>
        </w:rPr>
        <w:t>najdb,</w:t>
      </w:r>
      <w:r w:rsidRPr="00275FBD">
        <w:rPr>
          <w:rFonts w:cs="TimesNewRomanPSMT"/>
          <w:szCs w:val="20"/>
          <w:lang w:val="sl-SI" w:eastAsia="en-GB"/>
        </w:rPr>
        <w:t xml:space="preserve"> ki </w:t>
      </w:r>
      <w:r w:rsidR="00750719">
        <w:rPr>
          <w:rFonts w:cs="TimesNewRomanPSMT"/>
          <w:szCs w:val="20"/>
          <w:lang w:val="sl-SI" w:eastAsia="en-GB"/>
        </w:rPr>
        <w:t xml:space="preserve">naj </w:t>
      </w:r>
      <w:r w:rsidRPr="00275FBD">
        <w:rPr>
          <w:rFonts w:cs="TimesNewRomanPSMT"/>
          <w:szCs w:val="20"/>
          <w:lang w:val="sl-SI" w:eastAsia="en-GB"/>
        </w:rPr>
        <w:t xml:space="preserve">bi </w:t>
      </w:r>
      <w:r w:rsidR="00750719" w:rsidRPr="00275FBD">
        <w:rPr>
          <w:rFonts w:cs="TimesNewRomanPSMT"/>
          <w:szCs w:val="20"/>
          <w:lang w:val="sl-SI" w:eastAsia="en-GB"/>
        </w:rPr>
        <w:t>bil</w:t>
      </w:r>
      <w:r w:rsidR="00750719">
        <w:rPr>
          <w:rFonts w:cs="TimesNewRomanPSMT"/>
          <w:szCs w:val="20"/>
          <w:lang w:val="sl-SI" w:eastAsia="en-GB"/>
        </w:rPr>
        <w:t>e</w:t>
      </w:r>
      <w:r w:rsidR="00750719" w:rsidRPr="00275FBD">
        <w:rPr>
          <w:rFonts w:cs="TimesNewRomanPSMT"/>
          <w:szCs w:val="20"/>
          <w:lang w:val="sl-SI" w:eastAsia="en-GB"/>
        </w:rPr>
        <w:t xml:space="preserve"> </w:t>
      </w:r>
      <w:r w:rsidR="00750719">
        <w:rPr>
          <w:rFonts w:cs="TimesNewRomanPSMT"/>
          <w:szCs w:val="20"/>
          <w:lang w:val="sl-SI" w:eastAsia="en-GB"/>
        </w:rPr>
        <w:t>vključene</w:t>
      </w:r>
      <w:r w:rsidR="00750719" w:rsidRPr="00275FBD">
        <w:rPr>
          <w:rFonts w:cs="TimesNewRomanPSMT"/>
          <w:szCs w:val="20"/>
          <w:lang w:val="sl-SI" w:eastAsia="en-GB"/>
        </w:rPr>
        <w:t xml:space="preserve"> </w:t>
      </w:r>
      <w:r w:rsidRPr="00275FBD">
        <w:rPr>
          <w:rFonts w:cs="TimesNewRomanPSMT"/>
          <w:szCs w:val="20"/>
          <w:lang w:val="sl-SI" w:eastAsia="en-GB"/>
        </w:rPr>
        <w:t>neposredno v program korektivnih ukrepov (CAP). Vnaprej pregledan</w:t>
      </w:r>
      <w:r w:rsidR="000C7C28">
        <w:rPr>
          <w:rFonts w:cs="TimesNewRomanPSMT"/>
          <w:szCs w:val="20"/>
          <w:lang w:val="sl-SI" w:eastAsia="en-GB"/>
        </w:rPr>
        <w:t>e</w:t>
      </w:r>
      <w:r w:rsidRPr="00275FBD">
        <w:rPr>
          <w:rFonts w:cs="TimesNewRomanPSMT"/>
          <w:szCs w:val="20"/>
          <w:lang w:val="sl-SI" w:eastAsia="en-GB"/>
        </w:rPr>
        <w:t xml:space="preserve"> in neposredno vnesen</w:t>
      </w:r>
      <w:r w:rsidR="000C7C28">
        <w:rPr>
          <w:rFonts w:cs="TimesNewRomanPSMT"/>
          <w:szCs w:val="20"/>
          <w:lang w:val="sl-SI" w:eastAsia="en-GB"/>
        </w:rPr>
        <w:t>e</w:t>
      </w:r>
      <w:r w:rsidRPr="00275FBD">
        <w:rPr>
          <w:rFonts w:cs="TimesNewRomanPSMT"/>
          <w:szCs w:val="20"/>
          <w:lang w:val="sl-SI" w:eastAsia="en-GB"/>
        </w:rPr>
        <w:t xml:space="preserve"> v CAP bi bil</w:t>
      </w:r>
      <w:r w:rsidR="00EC5401" w:rsidRPr="00275FBD">
        <w:rPr>
          <w:rFonts w:cs="TimesNewRomanPSMT"/>
          <w:szCs w:val="20"/>
          <w:lang w:val="sl-SI" w:eastAsia="en-GB"/>
        </w:rPr>
        <w:t>e</w:t>
      </w:r>
      <w:r w:rsidRPr="00275FBD">
        <w:rPr>
          <w:rFonts w:cs="TimesNewRomanPSMT"/>
          <w:szCs w:val="20"/>
          <w:lang w:val="sl-SI" w:eastAsia="en-GB"/>
        </w:rPr>
        <w:t xml:space="preserve"> </w:t>
      </w:r>
      <w:r w:rsidR="00EC5401" w:rsidRPr="00275FBD">
        <w:rPr>
          <w:rFonts w:cs="TimesNewRomanPSMT"/>
          <w:szCs w:val="20"/>
          <w:lang w:val="sl-SI" w:eastAsia="en-GB"/>
        </w:rPr>
        <w:t>najdbe</w:t>
      </w:r>
      <w:r w:rsidRPr="00275FBD">
        <w:rPr>
          <w:rFonts w:cs="TimesNewRomanPSMT"/>
          <w:szCs w:val="20"/>
          <w:lang w:val="sl-SI" w:eastAsia="en-GB"/>
        </w:rPr>
        <w:t xml:space="preserve">, ki zahtevajo takojšnjo (ali pa razmerno hitro) </w:t>
      </w:r>
      <w:r w:rsidR="00750719">
        <w:rPr>
          <w:rFonts w:cs="TimesNewRomanPSMT"/>
          <w:szCs w:val="20"/>
          <w:lang w:val="sl-SI" w:eastAsia="en-GB"/>
        </w:rPr>
        <w:t>obravnavo</w:t>
      </w:r>
      <w:r w:rsidR="00750719" w:rsidRPr="00275FBD">
        <w:rPr>
          <w:rFonts w:cs="TimesNewRomanPSMT"/>
          <w:szCs w:val="20"/>
          <w:lang w:val="sl-SI" w:eastAsia="en-GB"/>
        </w:rPr>
        <w:t xml:space="preserve"> </w:t>
      </w:r>
      <w:r w:rsidRPr="00275FBD">
        <w:rPr>
          <w:rFonts w:cs="TimesNewRomanPSMT"/>
          <w:szCs w:val="20"/>
          <w:lang w:val="sl-SI" w:eastAsia="en-GB"/>
        </w:rPr>
        <w:t xml:space="preserve">in </w:t>
      </w:r>
      <w:r w:rsidR="00750719">
        <w:rPr>
          <w:rFonts w:cs="TimesNewRomanPSMT"/>
          <w:szCs w:val="20"/>
          <w:lang w:val="sl-SI" w:eastAsia="en-GB"/>
        </w:rPr>
        <w:t>raz</w:t>
      </w:r>
      <w:r w:rsidRPr="00275FBD">
        <w:rPr>
          <w:rFonts w:cs="TimesNewRomanPSMT"/>
          <w:szCs w:val="20"/>
          <w:lang w:val="sl-SI" w:eastAsia="en-GB"/>
        </w:rPr>
        <w:t xml:space="preserve">rešitev, ter </w:t>
      </w:r>
      <w:r w:rsidR="00EC5401" w:rsidRPr="00275FBD">
        <w:rPr>
          <w:rFonts w:cs="TimesNewRomanPSMT"/>
          <w:szCs w:val="20"/>
          <w:lang w:val="sl-SI" w:eastAsia="en-GB"/>
        </w:rPr>
        <w:t>najdbe</w:t>
      </w:r>
      <w:r w:rsidRPr="00275FBD">
        <w:rPr>
          <w:rFonts w:cs="TimesNewRomanPSMT"/>
          <w:szCs w:val="20"/>
          <w:lang w:val="sl-SI" w:eastAsia="en-GB"/>
        </w:rPr>
        <w:t>, za kater</w:t>
      </w:r>
      <w:r w:rsidR="000C7C28">
        <w:rPr>
          <w:rFonts w:cs="TimesNewRomanPSMT"/>
          <w:szCs w:val="20"/>
          <w:lang w:val="sl-SI" w:eastAsia="en-GB"/>
        </w:rPr>
        <w:t>e</w:t>
      </w:r>
      <w:r w:rsidRPr="00275FBD">
        <w:rPr>
          <w:rFonts w:cs="TimesNewRomanPSMT"/>
          <w:szCs w:val="20"/>
          <w:lang w:val="sl-SI" w:eastAsia="en-GB"/>
        </w:rPr>
        <w:t xml:space="preserve"> se šteje, da </w:t>
      </w:r>
      <w:r w:rsidR="00A7693C">
        <w:rPr>
          <w:rFonts w:cs="TimesNewRomanPSMT"/>
          <w:szCs w:val="20"/>
          <w:lang w:val="sl-SI" w:eastAsia="en-GB"/>
        </w:rPr>
        <w:t>so izvedljive</w:t>
      </w:r>
      <w:r w:rsidRPr="00275FBD">
        <w:rPr>
          <w:rFonts w:cs="TimesNewRomanPSMT"/>
          <w:szCs w:val="20"/>
          <w:lang w:val="sl-SI" w:eastAsia="en-GB"/>
        </w:rPr>
        <w:t xml:space="preserve"> z </w:t>
      </w:r>
      <w:r w:rsidR="00477FBC" w:rsidRPr="00275FBD">
        <w:rPr>
          <w:rFonts w:cs="TimesNewRomanPSMT"/>
          <w:szCs w:val="20"/>
          <w:lang w:val="sl-SI" w:eastAsia="en-GB"/>
        </w:rPr>
        <w:t>ma</w:t>
      </w:r>
      <w:r w:rsidR="00477FBC">
        <w:rPr>
          <w:rFonts w:cs="TimesNewRomanPSMT"/>
          <w:szCs w:val="20"/>
          <w:lang w:val="sl-SI" w:eastAsia="en-GB"/>
        </w:rPr>
        <w:t>jhnim</w:t>
      </w:r>
      <w:r w:rsidR="00477FBC" w:rsidRPr="00275FBD">
        <w:rPr>
          <w:rFonts w:cs="TimesNewRomanPSMT"/>
          <w:szCs w:val="20"/>
          <w:lang w:val="sl-SI" w:eastAsia="en-GB"/>
        </w:rPr>
        <w:t xml:space="preserve"> </w:t>
      </w:r>
      <w:r w:rsidR="00C3765D">
        <w:rPr>
          <w:rFonts w:cs="TimesNewRomanPSMT"/>
          <w:szCs w:val="20"/>
          <w:lang w:val="sl-SI" w:eastAsia="en-GB"/>
        </w:rPr>
        <w:t>napor</w:t>
      </w:r>
      <w:r w:rsidR="00477FBC">
        <w:rPr>
          <w:rFonts w:cs="TimesNewRomanPSMT"/>
          <w:szCs w:val="20"/>
          <w:lang w:val="sl-SI" w:eastAsia="en-GB"/>
        </w:rPr>
        <w:t>om</w:t>
      </w:r>
      <w:r w:rsidRPr="00275FBD">
        <w:rPr>
          <w:rFonts w:cs="TimesNewRomanPSMT"/>
          <w:szCs w:val="20"/>
          <w:lang w:val="sl-SI" w:eastAsia="en-GB"/>
        </w:rPr>
        <w:t>.</w:t>
      </w:r>
    </w:p>
    <w:p w14:paraId="1BFA4DF0" w14:textId="63156DF0" w:rsidR="00650BDC" w:rsidRPr="00275FBD" w:rsidRDefault="00650BDC" w:rsidP="00650BDC">
      <w:pPr>
        <w:rPr>
          <w:rFonts w:cs="TimesNewRomanPSMT"/>
          <w:szCs w:val="20"/>
          <w:lang w:val="sl-SI" w:eastAsia="en-GB"/>
        </w:rPr>
      </w:pPr>
      <w:r w:rsidRPr="00275FBD">
        <w:rPr>
          <w:rFonts w:cs="TimesNewRomanPSMT"/>
          <w:szCs w:val="20"/>
          <w:lang w:val="sl-SI" w:eastAsia="en-GB"/>
        </w:rPr>
        <w:t>Vs</w:t>
      </w:r>
      <w:r w:rsidR="00EC5401" w:rsidRPr="00275FBD">
        <w:rPr>
          <w:rFonts w:cs="TimesNewRomanPSMT"/>
          <w:szCs w:val="20"/>
          <w:lang w:val="sl-SI" w:eastAsia="en-GB"/>
        </w:rPr>
        <w:t>e</w:t>
      </w:r>
      <w:r w:rsidRPr="00275FBD">
        <w:rPr>
          <w:rFonts w:cs="TimesNewRomanPSMT"/>
          <w:szCs w:val="20"/>
          <w:lang w:val="sl-SI" w:eastAsia="en-GB"/>
        </w:rPr>
        <w:t xml:space="preserve"> </w:t>
      </w:r>
      <w:r w:rsidR="00EC5401" w:rsidRPr="00275FBD">
        <w:rPr>
          <w:rFonts w:cs="TimesNewRomanPSMT"/>
          <w:szCs w:val="20"/>
          <w:lang w:val="sl-SI" w:eastAsia="en-GB"/>
        </w:rPr>
        <w:t>najdbe</w:t>
      </w:r>
      <w:r w:rsidRPr="00275FBD">
        <w:rPr>
          <w:rFonts w:cs="TimesNewRomanPSMT"/>
          <w:szCs w:val="20"/>
          <w:lang w:val="sl-SI" w:eastAsia="en-GB"/>
        </w:rPr>
        <w:t xml:space="preserve">, ki so </w:t>
      </w:r>
      <w:r w:rsidR="000C7C28" w:rsidRPr="00275FBD">
        <w:rPr>
          <w:rFonts w:cs="TimesNewRomanPSMT"/>
          <w:szCs w:val="20"/>
          <w:lang w:val="sl-SI" w:eastAsia="en-GB"/>
        </w:rPr>
        <w:t>pre</w:t>
      </w:r>
      <w:r w:rsidR="000C7C28">
        <w:rPr>
          <w:rFonts w:cs="TimesNewRomanPSMT"/>
          <w:szCs w:val="20"/>
          <w:lang w:val="sl-SI" w:eastAsia="en-GB"/>
        </w:rPr>
        <w:t>sta</w:t>
      </w:r>
      <w:r w:rsidR="000C7C28" w:rsidRPr="00275FBD">
        <w:rPr>
          <w:rFonts w:cs="TimesNewRomanPSMT"/>
          <w:szCs w:val="20"/>
          <w:lang w:val="sl-SI" w:eastAsia="en-GB"/>
        </w:rPr>
        <w:t xml:space="preserve">le </w:t>
      </w:r>
      <w:r w:rsidRPr="00275FBD">
        <w:rPr>
          <w:rFonts w:cs="TimesNewRomanPSMT"/>
          <w:szCs w:val="20"/>
          <w:lang w:val="sl-SI" w:eastAsia="en-GB"/>
        </w:rPr>
        <w:t>izločilni pregled, so bil</w:t>
      </w:r>
      <w:r w:rsidR="00EC5401" w:rsidRPr="00275FBD">
        <w:rPr>
          <w:rFonts w:cs="TimesNewRomanPSMT"/>
          <w:szCs w:val="20"/>
          <w:lang w:val="sl-SI" w:eastAsia="en-GB"/>
        </w:rPr>
        <w:t>e</w:t>
      </w:r>
      <w:r w:rsidRPr="00275FBD">
        <w:rPr>
          <w:rFonts w:cs="TimesNewRomanPSMT"/>
          <w:szCs w:val="20"/>
          <w:lang w:val="sl-SI" w:eastAsia="en-GB"/>
        </w:rPr>
        <w:t xml:space="preserve"> predmet </w:t>
      </w:r>
      <w:r w:rsidR="00750719">
        <w:rPr>
          <w:rFonts w:cs="TimesNewRomanPSMT"/>
          <w:szCs w:val="20"/>
          <w:lang w:val="sl-SI" w:eastAsia="en-GB"/>
        </w:rPr>
        <w:t>podrobn</w:t>
      </w:r>
      <w:r w:rsidR="00750719" w:rsidRPr="00275FBD">
        <w:rPr>
          <w:rFonts w:cs="TimesNewRomanPSMT"/>
          <w:szCs w:val="20"/>
          <w:lang w:val="sl-SI" w:eastAsia="en-GB"/>
        </w:rPr>
        <w:t xml:space="preserve">ega </w:t>
      </w:r>
      <w:proofErr w:type="spellStart"/>
      <w:r w:rsidRPr="00275FBD">
        <w:rPr>
          <w:rFonts w:cs="TimesNewRomanPSMT"/>
          <w:szCs w:val="20"/>
          <w:lang w:val="sl-SI" w:eastAsia="en-GB"/>
        </w:rPr>
        <w:t>rangiranja</w:t>
      </w:r>
      <w:proofErr w:type="spellEnd"/>
      <w:r w:rsidRPr="00275FBD">
        <w:rPr>
          <w:rFonts w:cs="TimesNewRomanPSMT"/>
          <w:szCs w:val="20"/>
          <w:lang w:val="sl-SI" w:eastAsia="en-GB"/>
        </w:rPr>
        <w:t xml:space="preserve">, ki je bil drugi splošni korak v procesu končnega </w:t>
      </w:r>
      <w:proofErr w:type="spellStart"/>
      <w:r w:rsidRPr="00275FBD">
        <w:rPr>
          <w:rFonts w:cs="TimesNewRomanPSMT"/>
          <w:szCs w:val="20"/>
          <w:lang w:val="sl-SI" w:eastAsia="en-GB"/>
        </w:rPr>
        <w:t>rangiranja</w:t>
      </w:r>
      <w:proofErr w:type="spellEnd"/>
      <w:r w:rsidRPr="00275FBD">
        <w:rPr>
          <w:rFonts w:cs="TimesNewRomanPSMT"/>
          <w:szCs w:val="20"/>
          <w:lang w:val="sl-SI" w:eastAsia="en-GB"/>
        </w:rPr>
        <w:t xml:space="preserve"> najdb. Za namen podrobnejšega razvrščanja so bil</w:t>
      </w:r>
      <w:r w:rsidR="00910B6F" w:rsidRPr="00275FBD">
        <w:rPr>
          <w:rFonts w:cs="TimesNewRomanPSMT"/>
          <w:szCs w:val="20"/>
          <w:lang w:val="sl-SI" w:eastAsia="en-GB"/>
        </w:rPr>
        <w:t>e</w:t>
      </w:r>
      <w:r w:rsidRPr="00275FBD">
        <w:rPr>
          <w:rFonts w:cs="TimesNewRomanPSMT"/>
          <w:szCs w:val="20"/>
          <w:lang w:val="sl-SI" w:eastAsia="en-GB"/>
        </w:rPr>
        <w:t xml:space="preserve"> </w:t>
      </w:r>
      <w:r w:rsidR="00910B6F" w:rsidRPr="00275FBD">
        <w:rPr>
          <w:rFonts w:cs="TimesNewRomanPSMT"/>
          <w:szCs w:val="20"/>
          <w:lang w:val="sl-SI" w:eastAsia="en-GB"/>
        </w:rPr>
        <w:t>najdbe</w:t>
      </w:r>
      <w:r w:rsidRPr="00275FBD">
        <w:rPr>
          <w:rFonts w:cs="TimesNewRomanPSMT"/>
          <w:szCs w:val="20"/>
          <w:lang w:val="sl-SI" w:eastAsia="en-GB"/>
        </w:rPr>
        <w:t xml:space="preserve"> razporejen</w:t>
      </w:r>
      <w:r w:rsidR="00910B6F" w:rsidRPr="00275FBD">
        <w:rPr>
          <w:rFonts w:cs="TimesNewRomanPSMT"/>
          <w:szCs w:val="20"/>
          <w:lang w:val="sl-SI" w:eastAsia="en-GB"/>
        </w:rPr>
        <w:t>e</w:t>
      </w:r>
      <w:r w:rsidRPr="00275FBD">
        <w:rPr>
          <w:rFonts w:cs="TimesNewRomanPSMT"/>
          <w:szCs w:val="20"/>
          <w:lang w:val="sl-SI" w:eastAsia="en-GB"/>
        </w:rPr>
        <w:t xml:space="preserve"> v kategorije (na podlagi primarnih atributov):</w:t>
      </w:r>
    </w:p>
    <w:p w14:paraId="6C8CB9C4" w14:textId="584C85D4" w:rsidR="00650BDC" w:rsidRPr="00275FBD" w:rsidRDefault="000C7C28" w:rsidP="00650BDC">
      <w:pPr>
        <w:numPr>
          <w:ilvl w:val="0"/>
          <w:numId w:val="11"/>
        </w:numPr>
        <w:rPr>
          <w:lang w:val="sl-SI" w:eastAsia="en-GB"/>
        </w:rPr>
      </w:pPr>
      <w:r w:rsidRPr="00275FBD">
        <w:rPr>
          <w:lang w:val="sl-SI" w:eastAsia="en-GB"/>
        </w:rPr>
        <w:t>neposred</w:t>
      </w:r>
      <w:r>
        <w:rPr>
          <w:lang w:val="sl-SI" w:eastAsia="en-GB"/>
        </w:rPr>
        <w:t>en</w:t>
      </w:r>
      <w:r w:rsidRPr="00275FBD">
        <w:rPr>
          <w:lang w:val="sl-SI" w:eastAsia="en-GB"/>
        </w:rPr>
        <w:t xml:space="preserve"> </w:t>
      </w:r>
      <w:r>
        <w:rPr>
          <w:lang w:val="sl-SI" w:eastAsia="en-GB"/>
        </w:rPr>
        <w:t>vpliv</w:t>
      </w:r>
      <w:r w:rsidRPr="00275FBD">
        <w:rPr>
          <w:lang w:val="sl-SI" w:eastAsia="en-GB"/>
        </w:rPr>
        <w:t xml:space="preserve"> </w:t>
      </w:r>
      <w:r>
        <w:rPr>
          <w:lang w:val="sl-SI" w:eastAsia="en-GB"/>
        </w:rPr>
        <w:t>na</w:t>
      </w:r>
      <w:r w:rsidR="00650BDC" w:rsidRPr="00275FBD">
        <w:rPr>
          <w:lang w:val="sl-SI" w:eastAsia="en-GB"/>
        </w:rPr>
        <w:t xml:space="preserve"> jedrsko varnost (ali je za obravnavano </w:t>
      </w:r>
      <w:r w:rsidR="00EC5401" w:rsidRPr="00275FBD">
        <w:rPr>
          <w:lang w:val="sl-SI" w:eastAsia="en-GB"/>
        </w:rPr>
        <w:t>najdbo</w:t>
      </w:r>
      <w:r w:rsidR="00650BDC" w:rsidRPr="00275FBD">
        <w:rPr>
          <w:lang w:val="sl-SI" w:eastAsia="en-GB"/>
        </w:rPr>
        <w:t xml:space="preserve"> mogoče vzpostaviti neposredno povezavo z jedrsko varnostjo) (»DL«);</w:t>
      </w:r>
    </w:p>
    <w:p w14:paraId="6DBF7C47" w14:textId="473B9C15" w:rsidR="00650BDC" w:rsidRPr="00275FBD" w:rsidRDefault="00650BDC" w:rsidP="00650BDC">
      <w:pPr>
        <w:numPr>
          <w:ilvl w:val="0"/>
          <w:numId w:val="11"/>
        </w:numPr>
        <w:rPr>
          <w:lang w:val="sl-SI" w:eastAsia="en-GB"/>
        </w:rPr>
      </w:pPr>
      <w:r w:rsidRPr="00275FBD">
        <w:rPr>
          <w:lang w:val="sl-SI" w:eastAsia="en-GB"/>
        </w:rPr>
        <w:t>ponovna ocena osnove jedrske varnosti (ali zadeva predstavlja ponovno oceno osnove jedrske varnosti) (»RE«);</w:t>
      </w:r>
    </w:p>
    <w:p w14:paraId="660F952B" w14:textId="4C8C0FB6" w:rsidR="00650BDC" w:rsidRPr="00275FBD" w:rsidRDefault="00EC5401" w:rsidP="00650BDC">
      <w:pPr>
        <w:numPr>
          <w:ilvl w:val="0"/>
          <w:numId w:val="11"/>
        </w:numPr>
        <w:rPr>
          <w:lang w:val="sl-SI" w:eastAsia="en-GB"/>
        </w:rPr>
      </w:pPr>
      <w:r w:rsidRPr="00275FBD">
        <w:rPr>
          <w:lang w:val="sl-SI" w:eastAsia="en-GB"/>
        </w:rPr>
        <w:lastRenderedPageBreak/>
        <w:t>najdba</w:t>
      </w:r>
      <w:r w:rsidR="00650BDC" w:rsidRPr="00275FBD">
        <w:rPr>
          <w:lang w:val="sl-SI" w:eastAsia="en-GB"/>
        </w:rPr>
        <w:t xml:space="preserve"> v zvezi z "mehkimi dejavniki" ali drugimi področji, ki niso neposredno povezana z jedrsko varnostjo ali njeno ponovno oceno v zgornjem smislu ("SF").</w:t>
      </w:r>
    </w:p>
    <w:p w14:paraId="5DE478DF" w14:textId="522ED571" w:rsidR="00650BDC" w:rsidRPr="00275FBD" w:rsidRDefault="00650BDC" w:rsidP="00650BDC">
      <w:pPr>
        <w:rPr>
          <w:rFonts w:cs="TimesNewRomanPSMT"/>
          <w:szCs w:val="20"/>
          <w:lang w:val="sl-SI" w:eastAsia="en-GB"/>
        </w:rPr>
      </w:pPr>
      <w:r w:rsidRPr="00275FBD">
        <w:rPr>
          <w:rFonts w:cs="TimesNewRomanPSMT"/>
          <w:szCs w:val="20"/>
          <w:lang w:val="sl-SI" w:eastAsia="en-GB"/>
        </w:rPr>
        <w:t xml:space="preserve">Vrednotenja, na katerih temelji podrobni postopek razvrščanja, so bila izvedena </w:t>
      </w:r>
      <w:r w:rsidR="00E72C5E" w:rsidRPr="00275FBD">
        <w:rPr>
          <w:rFonts w:cs="TimesNewRomanPSMT"/>
          <w:szCs w:val="20"/>
          <w:lang w:val="sl-SI" w:eastAsia="en-GB"/>
        </w:rPr>
        <w:t xml:space="preserve">po </w:t>
      </w:r>
      <w:r w:rsidRPr="00275FBD">
        <w:rPr>
          <w:rFonts w:cs="TimesNewRomanPSMT"/>
          <w:szCs w:val="20"/>
          <w:lang w:val="sl-SI" w:eastAsia="en-GB"/>
        </w:rPr>
        <w:t xml:space="preserve">ločenih poteh za </w:t>
      </w:r>
      <w:r w:rsidR="00910B6F" w:rsidRPr="00275FBD">
        <w:rPr>
          <w:rFonts w:cs="TimesNewRomanPSMT"/>
          <w:szCs w:val="20"/>
          <w:lang w:val="sl-SI" w:eastAsia="en-GB"/>
        </w:rPr>
        <w:t xml:space="preserve">najdbe </w:t>
      </w:r>
      <w:r w:rsidRPr="00275FBD">
        <w:rPr>
          <w:rFonts w:cs="TimesNewRomanPSMT"/>
          <w:szCs w:val="20"/>
          <w:lang w:val="sl-SI" w:eastAsia="en-GB"/>
        </w:rPr>
        <w:t xml:space="preserve">iz treh zgornjih kategorij. Vrednotenje katere koli </w:t>
      </w:r>
      <w:r w:rsidR="00910B6F" w:rsidRPr="00275FBD">
        <w:rPr>
          <w:rFonts w:cs="TimesNewRomanPSMT"/>
          <w:szCs w:val="20"/>
          <w:lang w:val="sl-SI" w:eastAsia="en-GB"/>
        </w:rPr>
        <w:t xml:space="preserve">najdbe </w:t>
      </w:r>
      <w:r w:rsidRPr="00275FBD">
        <w:rPr>
          <w:rFonts w:cs="TimesNewRomanPSMT"/>
          <w:szCs w:val="20"/>
          <w:lang w:val="sl-SI" w:eastAsia="en-GB"/>
        </w:rPr>
        <w:t xml:space="preserve">je obravnavalo </w:t>
      </w:r>
      <w:r w:rsidR="00750719" w:rsidRPr="00275FBD">
        <w:rPr>
          <w:rFonts w:cs="TimesNewRomanPSMT"/>
          <w:szCs w:val="20"/>
          <w:lang w:val="sl-SI" w:eastAsia="en-GB"/>
        </w:rPr>
        <w:t>nje</w:t>
      </w:r>
      <w:r w:rsidR="00750719">
        <w:rPr>
          <w:rFonts w:cs="TimesNewRomanPSMT"/>
          <w:szCs w:val="20"/>
          <w:lang w:val="sl-SI" w:eastAsia="en-GB"/>
        </w:rPr>
        <w:t>n</w:t>
      </w:r>
      <w:r w:rsidR="00750719" w:rsidRPr="00275FBD">
        <w:rPr>
          <w:rFonts w:cs="TimesNewRomanPSMT"/>
          <w:szCs w:val="20"/>
          <w:lang w:val="sl-SI" w:eastAsia="en-GB"/>
        </w:rPr>
        <w:t xml:space="preserve"> </w:t>
      </w:r>
      <w:r w:rsidRPr="00275FBD">
        <w:rPr>
          <w:rFonts w:cs="TimesNewRomanPSMT"/>
          <w:szCs w:val="20"/>
          <w:lang w:val="sl-SI" w:eastAsia="en-GB"/>
        </w:rPr>
        <w:t>vpliv na referenčni</w:t>
      </w:r>
      <w:r w:rsidR="005F1A82" w:rsidRPr="00275FBD">
        <w:rPr>
          <w:rFonts w:cs="TimesNewRomanPSMT"/>
          <w:szCs w:val="20"/>
          <w:lang w:val="sl-SI" w:eastAsia="en-GB"/>
        </w:rPr>
        <w:t xml:space="preserve"> </w:t>
      </w:r>
      <w:r w:rsidRPr="00275FBD">
        <w:rPr>
          <w:rFonts w:cs="TimesNewRomanPSMT"/>
          <w:szCs w:val="20"/>
          <w:lang w:val="sl-SI" w:eastAsia="en-GB"/>
        </w:rPr>
        <w:t>/</w:t>
      </w:r>
      <w:r w:rsidR="005F1A82" w:rsidRPr="00275FBD">
        <w:rPr>
          <w:rFonts w:cs="TimesNewRomanPSMT"/>
          <w:szCs w:val="20"/>
          <w:lang w:val="sl-SI" w:eastAsia="en-GB"/>
        </w:rPr>
        <w:t xml:space="preserve"> </w:t>
      </w:r>
      <w:r w:rsidRPr="00275FBD">
        <w:rPr>
          <w:rFonts w:cs="TimesNewRomanPSMT"/>
          <w:szCs w:val="20"/>
          <w:lang w:val="sl-SI" w:eastAsia="en-GB"/>
        </w:rPr>
        <w:t xml:space="preserve">nominalni status </w:t>
      </w:r>
      <w:r w:rsidR="005F1A82" w:rsidRPr="00275FBD">
        <w:rPr>
          <w:rFonts w:cs="TimesNewRomanPSMT"/>
          <w:szCs w:val="20"/>
          <w:lang w:val="sl-SI" w:eastAsia="en-GB"/>
        </w:rPr>
        <w:t>elektrarne</w:t>
      </w:r>
      <w:r w:rsidRPr="00275FBD">
        <w:rPr>
          <w:rFonts w:cs="TimesNewRomanPSMT"/>
          <w:szCs w:val="20"/>
          <w:lang w:val="sl-SI" w:eastAsia="en-GB"/>
        </w:rPr>
        <w:t xml:space="preserve"> in je vključevalo tudi </w:t>
      </w:r>
      <w:r w:rsidR="00750719">
        <w:rPr>
          <w:rFonts w:cs="TimesNewRomanPSMT"/>
          <w:szCs w:val="20"/>
          <w:lang w:val="sl-SI" w:eastAsia="en-GB"/>
        </w:rPr>
        <w:t>upoštevanje</w:t>
      </w:r>
      <w:r w:rsidRPr="00275FBD">
        <w:rPr>
          <w:rFonts w:cs="TimesNewRomanPSMT"/>
          <w:szCs w:val="20"/>
          <w:lang w:val="sl-SI" w:eastAsia="en-GB"/>
        </w:rPr>
        <w:t xml:space="preserve"> morebitnih kumulativnih</w:t>
      </w:r>
      <w:r w:rsidR="005F1A82" w:rsidRPr="00275FBD">
        <w:rPr>
          <w:rFonts w:cs="TimesNewRomanPSMT"/>
          <w:szCs w:val="20"/>
          <w:lang w:val="sl-SI" w:eastAsia="en-GB"/>
        </w:rPr>
        <w:t xml:space="preserve"> </w:t>
      </w:r>
      <w:r w:rsidRPr="00275FBD">
        <w:rPr>
          <w:rFonts w:cs="TimesNewRomanPSMT"/>
          <w:szCs w:val="20"/>
          <w:lang w:val="sl-SI" w:eastAsia="en-GB"/>
        </w:rPr>
        <w:t>/</w:t>
      </w:r>
      <w:r w:rsidR="005F1A82" w:rsidRPr="00275FBD">
        <w:rPr>
          <w:rFonts w:cs="TimesNewRomanPSMT"/>
          <w:szCs w:val="20"/>
          <w:lang w:val="sl-SI" w:eastAsia="en-GB"/>
        </w:rPr>
        <w:t xml:space="preserve"> </w:t>
      </w:r>
      <w:proofErr w:type="spellStart"/>
      <w:r w:rsidRPr="00275FBD">
        <w:rPr>
          <w:rFonts w:cs="TimesNewRomanPSMT"/>
          <w:szCs w:val="20"/>
          <w:lang w:val="sl-SI" w:eastAsia="en-GB"/>
        </w:rPr>
        <w:t>sinergijskih</w:t>
      </w:r>
      <w:proofErr w:type="spellEnd"/>
      <w:r w:rsidRPr="00275FBD">
        <w:rPr>
          <w:rFonts w:cs="TimesNewRomanPSMT"/>
          <w:szCs w:val="20"/>
          <w:lang w:val="sl-SI" w:eastAsia="en-GB"/>
        </w:rPr>
        <w:t xml:space="preserve"> vpliv</w:t>
      </w:r>
      <w:r w:rsidR="00750719">
        <w:rPr>
          <w:rFonts w:cs="TimesNewRomanPSMT"/>
          <w:szCs w:val="20"/>
          <w:lang w:val="sl-SI" w:eastAsia="en-GB"/>
        </w:rPr>
        <w:t>ov</w:t>
      </w:r>
      <w:r w:rsidRPr="00275FBD">
        <w:rPr>
          <w:rFonts w:cs="TimesNewRomanPSMT"/>
          <w:szCs w:val="20"/>
          <w:lang w:val="sl-SI" w:eastAsia="en-GB"/>
        </w:rPr>
        <w:t xml:space="preserve"> povezanih </w:t>
      </w:r>
      <w:r w:rsidR="00BD5705" w:rsidRPr="00275FBD">
        <w:rPr>
          <w:rFonts w:cs="TimesNewRomanPSMT"/>
          <w:szCs w:val="20"/>
          <w:lang w:val="sl-SI" w:eastAsia="en-GB"/>
        </w:rPr>
        <w:t xml:space="preserve">najdb </w:t>
      </w:r>
      <w:r w:rsidRPr="00275FBD">
        <w:rPr>
          <w:rFonts w:cs="TimesNewRomanPSMT"/>
          <w:szCs w:val="20"/>
          <w:lang w:val="sl-SI" w:eastAsia="en-GB"/>
        </w:rPr>
        <w:t xml:space="preserve">(če je primerno), kot je </w:t>
      </w:r>
      <w:r w:rsidR="00750719">
        <w:rPr>
          <w:rFonts w:cs="TimesNewRomanPSMT"/>
          <w:szCs w:val="20"/>
          <w:lang w:val="sl-SI" w:eastAsia="en-GB"/>
        </w:rPr>
        <w:t>opisano</w:t>
      </w:r>
      <w:r w:rsidR="00750719" w:rsidRPr="00275FBD">
        <w:rPr>
          <w:rFonts w:cs="TimesNewRomanPSMT"/>
          <w:szCs w:val="20"/>
          <w:lang w:val="sl-SI" w:eastAsia="en-GB"/>
        </w:rPr>
        <w:t xml:space="preserve"> </w:t>
      </w:r>
      <w:r w:rsidRPr="00275FBD">
        <w:rPr>
          <w:rFonts w:cs="TimesNewRomanPSMT"/>
          <w:szCs w:val="20"/>
          <w:lang w:val="sl-SI" w:eastAsia="en-GB"/>
        </w:rPr>
        <w:t xml:space="preserve">v </w:t>
      </w:r>
      <w:r w:rsidR="00052E53" w:rsidRPr="00275FBD">
        <w:rPr>
          <w:rFonts w:cs="TimesNewRomanPSMT"/>
          <w:szCs w:val="20"/>
          <w:lang w:val="sl-SI" w:eastAsia="en-GB"/>
        </w:rPr>
        <w:t xml:space="preserve">poglavju </w:t>
      </w:r>
      <w:r w:rsidR="005F1A82" w:rsidRPr="00275FBD">
        <w:rPr>
          <w:rFonts w:cs="TimesNewRomanPSMT"/>
          <w:szCs w:val="20"/>
          <w:lang w:val="sl-SI" w:eastAsia="en-GB"/>
        </w:rPr>
        <w:fldChar w:fldCharType="begin"/>
      </w:r>
      <w:r w:rsidR="005F1A82" w:rsidRPr="00275FBD">
        <w:rPr>
          <w:rFonts w:cs="TimesNewRomanPSMT"/>
          <w:szCs w:val="20"/>
          <w:lang w:val="sl-SI" w:eastAsia="en-GB"/>
        </w:rPr>
        <w:instrText xml:space="preserve"> REF _Ref138424885 \r \h </w:instrText>
      </w:r>
      <w:r w:rsidR="005F1A82" w:rsidRPr="00275FBD">
        <w:rPr>
          <w:rFonts w:cs="TimesNewRomanPSMT"/>
          <w:szCs w:val="20"/>
          <w:lang w:val="sl-SI" w:eastAsia="en-GB"/>
        </w:rPr>
      </w:r>
      <w:r w:rsidR="005F1A82" w:rsidRPr="00275FBD">
        <w:rPr>
          <w:rFonts w:cs="TimesNewRomanPSMT"/>
          <w:szCs w:val="20"/>
          <w:lang w:val="sl-SI" w:eastAsia="en-GB"/>
        </w:rPr>
        <w:fldChar w:fldCharType="separate"/>
      </w:r>
      <w:r w:rsidR="00BA25CD">
        <w:rPr>
          <w:rFonts w:cs="TimesNewRomanPSMT"/>
          <w:szCs w:val="20"/>
          <w:lang w:val="sl-SI" w:eastAsia="en-GB"/>
        </w:rPr>
        <w:t>4</w:t>
      </w:r>
      <w:r w:rsidR="005F1A82" w:rsidRPr="00275FBD">
        <w:rPr>
          <w:rFonts w:cs="TimesNewRomanPSMT"/>
          <w:szCs w:val="20"/>
          <w:lang w:val="sl-SI" w:eastAsia="en-GB"/>
        </w:rPr>
        <w:fldChar w:fldCharType="end"/>
      </w:r>
      <w:r w:rsidR="005F1A82" w:rsidRPr="00275FBD">
        <w:rPr>
          <w:rFonts w:cs="TimesNewRomanPSMT"/>
          <w:szCs w:val="20"/>
          <w:lang w:val="sl-SI" w:eastAsia="en-GB"/>
        </w:rPr>
        <w:t xml:space="preserve"> zgoraj</w:t>
      </w:r>
      <w:r w:rsidRPr="00275FBD">
        <w:rPr>
          <w:rFonts w:cs="TimesNewRomanPSMT"/>
          <w:szCs w:val="20"/>
          <w:lang w:val="sl-SI" w:eastAsia="en-GB"/>
        </w:rPr>
        <w:t xml:space="preserve">. V zadnjem koraku so bile </w:t>
      </w:r>
      <w:r w:rsidR="00750719">
        <w:rPr>
          <w:rFonts w:cs="TimesNewRomanPSMT"/>
          <w:szCs w:val="20"/>
          <w:lang w:val="sl-SI" w:eastAsia="en-GB"/>
        </w:rPr>
        <w:t xml:space="preserve">te </w:t>
      </w:r>
      <w:r w:rsidRPr="00275FBD">
        <w:rPr>
          <w:rFonts w:cs="TimesNewRomanPSMT"/>
          <w:szCs w:val="20"/>
          <w:lang w:val="sl-SI" w:eastAsia="en-GB"/>
        </w:rPr>
        <w:t>tri poti združene, da bi ustvarili seznam prednostnih predlaganih korektivnih ukrepov.</w:t>
      </w:r>
    </w:p>
    <w:p w14:paraId="1ECD264B" w14:textId="65524606" w:rsidR="005F1A82" w:rsidRPr="00275FBD" w:rsidRDefault="005F1A82" w:rsidP="005F1A82">
      <w:pPr>
        <w:rPr>
          <w:rFonts w:cs="TimesNewRomanPSMT"/>
          <w:szCs w:val="20"/>
          <w:lang w:val="sl-SI" w:eastAsia="en-GB"/>
        </w:rPr>
      </w:pPr>
      <w:r w:rsidRPr="00275FBD">
        <w:rPr>
          <w:rFonts w:cs="TimesNewRomanPSMT"/>
          <w:szCs w:val="20"/>
          <w:lang w:val="sl-SI" w:eastAsia="en-GB"/>
        </w:rPr>
        <w:t xml:space="preserve">Celoten seznam je sestavljalo 254 </w:t>
      </w:r>
      <w:r w:rsidR="00BD5705" w:rsidRPr="00275FBD">
        <w:rPr>
          <w:rFonts w:cs="TimesNewRomanPSMT"/>
          <w:szCs w:val="20"/>
          <w:lang w:val="sl-SI" w:eastAsia="en-GB"/>
        </w:rPr>
        <w:t>najdb,</w:t>
      </w:r>
      <w:r w:rsidRPr="00275FBD">
        <w:rPr>
          <w:rFonts w:cs="TimesNewRomanPSMT"/>
          <w:szCs w:val="20"/>
          <w:lang w:val="sl-SI" w:eastAsia="en-GB"/>
        </w:rPr>
        <w:t xml:space="preserve"> zbranih iz tematskih poročil o varnostnih </w:t>
      </w:r>
      <w:r w:rsidR="000C7C28">
        <w:rPr>
          <w:lang w:val="sl-SI"/>
        </w:rPr>
        <w:t>vsebinah</w:t>
      </w:r>
      <w:r w:rsidR="000C7C28" w:rsidRPr="00275FBD">
        <w:rPr>
          <w:lang w:val="sl-SI"/>
        </w:rPr>
        <w:t xml:space="preserve"> </w:t>
      </w:r>
      <w:r w:rsidRPr="00275FBD">
        <w:rPr>
          <w:rFonts w:cs="TimesNewRomanPSMT"/>
          <w:szCs w:val="20"/>
          <w:lang w:val="sl-SI" w:eastAsia="en-GB"/>
        </w:rPr>
        <w:t xml:space="preserve">(kot je tudi povzeto v </w:t>
      </w:r>
      <w:r w:rsidR="00052E53" w:rsidRPr="00275FBD">
        <w:rPr>
          <w:rFonts w:cs="TimesNewRomanPSMT"/>
          <w:szCs w:val="20"/>
          <w:lang w:val="sl-SI" w:eastAsia="en-GB"/>
        </w:rPr>
        <w:t xml:space="preserve">poglavju </w:t>
      </w:r>
      <w:r w:rsidRPr="00275FBD">
        <w:rPr>
          <w:rFonts w:cs="TimesNewRomanPSMT"/>
          <w:szCs w:val="20"/>
          <w:lang w:val="sl-SI" w:eastAsia="en-GB"/>
        </w:rPr>
        <w:fldChar w:fldCharType="begin"/>
      </w:r>
      <w:r w:rsidRPr="00275FBD">
        <w:rPr>
          <w:rFonts w:cs="TimesNewRomanPSMT"/>
          <w:szCs w:val="20"/>
          <w:lang w:val="sl-SI" w:eastAsia="en-GB"/>
        </w:rPr>
        <w:instrText xml:space="preserve"> REF _Ref138425098 \r \h </w:instrText>
      </w:r>
      <w:r w:rsidRPr="00275FBD">
        <w:rPr>
          <w:rFonts w:cs="TimesNewRomanPSMT"/>
          <w:szCs w:val="20"/>
          <w:lang w:val="sl-SI" w:eastAsia="en-GB"/>
        </w:rPr>
      </w:r>
      <w:r w:rsidRPr="00275FBD">
        <w:rPr>
          <w:rFonts w:cs="TimesNewRomanPSMT"/>
          <w:szCs w:val="20"/>
          <w:lang w:val="sl-SI" w:eastAsia="en-GB"/>
        </w:rPr>
        <w:fldChar w:fldCharType="separate"/>
      </w:r>
      <w:r w:rsidR="00BA25CD">
        <w:rPr>
          <w:rFonts w:cs="TimesNewRomanPSMT"/>
          <w:szCs w:val="20"/>
          <w:lang w:val="sl-SI" w:eastAsia="en-GB"/>
        </w:rPr>
        <w:t>3</w:t>
      </w:r>
      <w:r w:rsidRPr="00275FBD">
        <w:rPr>
          <w:rFonts w:cs="TimesNewRomanPSMT"/>
          <w:szCs w:val="20"/>
          <w:lang w:val="sl-SI" w:eastAsia="en-GB"/>
        </w:rPr>
        <w:fldChar w:fldCharType="end"/>
      </w:r>
      <w:r w:rsidRPr="00275FBD">
        <w:rPr>
          <w:rFonts w:cs="TimesNewRomanPSMT"/>
          <w:szCs w:val="20"/>
          <w:lang w:val="sl-SI" w:eastAsia="en-GB"/>
        </w:rPr>
        <w:t xml:space="preserve">.) Od tega števila je bilo mogoče 28 </w:t>
      </w:r>
      <w:r w:rsidR="00BD5705" w:rsidRPr="00275FBD">
        <w:rPr>
          <w:rFonts w:cs="TimesNewRomanPSMT"/>
          <w:szCs w:val="20"/>
          <w:lang w:val="sl-SI" w:eastAsia="en-GB"/>
        </w:rPr>
        <w:t xml:space="preserve">najdb </w:t>
      </w:r>
      <w:r w:rsidRPr="00275FBD">
        <w:rPr>
          <w:rFonts w:cs="TimesNewRomanPSMT"/>
          <w:szCs w:val="20"/>
          <w:lang w:val="sl-SI" w:eastAsia="en-GB"/>
        </w:rPr>
        <w:t>odstraniti iz postopka razvrščanja</w:t>
      </w:r>
      <w:r w:rsidR="00750719">
        <w:rPr>
          <w:rFonts w:cs="TimesNewRomanPSMT"/>
          <w:szCs w:val="20"/>
          <w:lang w:val="sl-SI" w:eastAsia="en-GB"/>
        </w:rPr>
        <w:t>,</w:t>
      </w:r>
      <w:r w:rsidRPr="00275FBD">
        <w:rPr>
          <w:rFonts w:cs="TimesNewRomanPSMT"/>
          <w:szCs w:val="20"/>
          <w:lang w:val="sl-SI" w:eastAsia="en-GB"/>
        </w:rPr>
        <w:t xml:space="preserve"> saj so bile </w:t>
      </w:r>
      <w:r w:rsidR="00750719">
        <w:rPr>
          <w:rFonts w:cs="TimesNewRomanPSMT"/>
          <w:szCs w:val="20"/>
          <w:lang w:val="sl-SI" w:eastAsia="en-GB"/>
        </w:rPr>
        <w:t xml:space="preserve">že </w:t>
      </w:r>
      <w:r w:rsidR="00720355">
        <w:rPr>
          <w:rFonts w:cs="TimesNewRomanPSMT"/>
          <w:szCs w:val="20"/>
          <w:lang w:val="sl-SI" w:eastAsia="en-GB"/>
        </w:rPr>
        <w:t>raz</w:t>
      </w:r>
      <w:r w:rsidRPr="00275FBD">
        <w:rPr>
          <w:rFonts w:cs="TimesNewRomanPSMT"/>
          <w:szCs w:val="20"/>
          <w:lang w:val="sl-SI" w:eastAsia="en-GB"/>
        </w:rPr>
        <w:t xml:space="preserve">rešene med dokončanjem tematskih poročil o varnostnih </w:t>
      </w:r>
      <w:r w:rsidR="000C7C28">
        <w:rPr>
          <w:lang w:val="sl-SI"/>
        </w:rPr>
        <w:t>vsebinah</w:t>
      </w:r>
      <w:r w:rsidR="000C7C28" w:rsidRPr="00275FBD">
        <w:rPr>
          <w:lang w:val="sl-SI"/>
        </w:rPr>
        <w:t xml:space="preserve"> </w:t>
      </w:r>
      <w:r w:rsidRPr="00275FBD">
        <w:rPr>
          <w:rFonts w:cs="TimesNewRomanPSMT"/>
          <w:szCs w:val="20"/>
          <w:lang w:val="sl-SI" w:eastAsia="en-GB"/>
        </w:rPr>
        <w:t xml:space="preserve">iz faze pregleda PSR. </w:t>
      </w:r>
      <w:r w:rsidR="00750719" w:rsidRPr="00275FBD">
        <w:rPr>
          <w:rFonts w:cs="TimesNewRomanPSMT"/>
          <w:szCs w:val="20"/>
          <w:lang w:val="sl-SI" w:eastAsia="en-GB"/>
        </w:rPr>
        <w:t>Vs</w:t>
      </w:r>
      <w:r w:rsidR="00750719">
        <w:rPr>
          <w:rFonts w:cs="TimesNewRomanPSMT"/>
          <w:szCs w:val="20"/>
          <w:lang w:val="sl-SI" w:eastAsia="en-GB"/>
        </w:rPr>
        <w:t>e te</w:t>
      </w:r>
      <w:r w:rsidR="00750719" w:rsidRPr="00275FBD">
        <w:rPr>
          <w:rFonts w:cs="TimesNewRomanPSMT"/>
          <w:szCs w:val="20"/>
          <w:lang w:val="sl-SI" w:eastAsia="en-GB"/>
        </w:rPr>
        <w:t xml:space="preserve"> </w:t>
      </w:r>
      <w:r w:rsidRPr="00275FBD">
        <w:rPr>
          <w:rFonts w:cs="TimesNewRomanPSMT"/>
          <w:szCs w:val="20"/>
          <w:lang w:val="sl-SI" w:eastAsia="en-GB"/>
        </w:rPr>
        <w:t xml:space="preserve">so </w:t>
      </w:r>
      <w:r w:rsidR="00750719" w:rsidRPr="00275FBD">
        <w:rPr>
          <w:rFonts w:cs="TimesNewRomanPSMT"/>
          <w:szCs w:val="20"/>
          <w:lang w:val="sl-SI" w:eastAsia="en-GB"/>
        </w:rPr>
        <w:t>bil</w:t>
      </w:r>
      <w:r w:rsidR="00750719">
        <w:rPr>
          <w:rFonts w:cs="TimesNewRomanPSMT"/>
          <w:szCs w:val="20"/>
          <w:lang w:val="sl-SI" w:eastAsia="en-GB"/>
        </w:rPr>
        <w:t>e</w:t>
      </w:r>
      <w:r w:rsidR="00750719" w:rsidRPr="00275FBD">
        <w:rPr>
          <w:rFonts w:cs="TimesNewRomanPSMT"/>
          <w:szCs w:val="20"/>
          <w:lang w:val="sl-SI" w:eastAsia="en-GB"/>
        </w:rPr>
        <w:t xml:space="preserve"> </w:t>
      </w:r>
      <w:r w:rsidRPr="00275FBD">
        <w:rPr>
          <w:rFonts w:cs="TimesNewRomanPSMT"/>
          <w:szCs w:val="20"/>
          <w:lang w:val="sl-SI" w:eastAsia="en-GB"/>
        </w:rPr>
        <w:t>razvrščen</w:t>
      </w:r>
      <w:r w:rsidR="00750719">
        <w:rPr>
          <w:rFonts w:cs="TimesNewRomanPSMT"/>
          <w:szCs w:val="20"/>
          <w:lang w:val="sl-SI" w:eastAsia="en-GB"/>
        </w:rPr>
        <w:t>e</w:t>
      </w:r>
      <w:r w:rsidRPr="00275FBD">
        <w:rPr>
          <w:rFonts w:cs="TimesNewRomanPSMT"/>
          <w:szCs w:val="20"/>
          <w:lang w:val="sl-SI" w:eastAsia="en-GB"/>
        </w:rPr>
        <w:t xml:space="preserve"> </w:t>
      </w:r>
      <w:r w:rsidR="00750719">
        <w:rPr>
          <w:rFonts w:cs="TimesNewRomanPSMT"/>
          <w:szCs w:val="20"/>
          <w:lang w:val="sl-SI" w:eastAsia="en-GB"/>
        </w:rPr>
        <w:t>v kategorijo</w:t>
      </w:r>
      <w:r w:rsidR="00750719" w:rsidRPr="00275FBD">
        <w:rPr>
          <w:rFonts w:cs="TimesNewRomanPSMT"/>
          <w:szCs w:val="20"/>
          <w:lang w:val="sl-SI" w:eastAsia="en-GB"/>
        </w:rPr>
        <w:t xml:space="preserve"> </w:t>
      </w:r>
      <w:r w:rsidRPr="00275FBD">
        <w:rPr>
          <w:rFonts w:cs="TimesNewRomanPSMT"/>
          <w:szCs w:val="20"/>
          <w:lang w:val="sl-SI" w:eastAsia="en-GB"/>
        </w:rPr>
        <w:t xml:space="preserve">"mehki dejavniki". Zaradi doslednosti številčenja pa so bili </w:t>
      </w:r>
      <w:r w:rsidR="00750719">
        <w:rPr>
          <w:rFonts w:cs="TimesNewRomanPSMT"/>
          <w:szCs w:val="20"/>
          <w:lang w:val="sl-SI" w:eastAsia="en-GB"/>
        </w:rPr>
        <w:t>ohranjene</w:t>
      </w:r>
      <w:r w:rsidR="00750719" w:rsidRPr="00275FBD">
        <w:rPr>
          <w:rFonts w:cs="TimesNewRomanPSMT"/>
          <w:szCs w:val="20"/>
          <w:lang w:val="sl-SI" w:eastAsia="en-GB"/>
        </w:rPr>
        <w:t xml:space="preserve"> </w:t>
      </w:r>
      <w:r w:rsidRPr="00275FBD">
        <w:rPr>
          <w:rFonts w:cs="TimesNewRomanPSMT"/>
          <w:szCs w:val="20"/>
          <w:lang w:val="sl-SI" w:eastAsia="en-GB"/>
        </w:rPr>
        <w:t>v seznamu. En</w:t>
      </w:r>
      <w:r w:rsidR="00EC5401" w:rsidRPr="00275FBD">
        <w:rPr>
          <w:rFonts w:cs="TimesNewRomanPSMT"/>
          <w:szCs w:val="20"/>
          <w:lang w:val="sl-SI" w:eastAsia="en-GB"/>
        </w:rPr>
        <w:t>a</w:t>
      </w:r>
      <w:r w:rsidRPr="00275FBD">
        <w:rPr>
          <w:rFonts w:cs="TimesNewRomanPSMT"/>
          <w:szCs w:val="20"/>
          <w:lang w:val="sl-SI" w:eastAsia="en-GB"/>
        </w:rPr>
        <w:t xml:space="preserve"> </w:t>
      </w:r>
      <w:r w:rsidR="00EC5401" w:rsidRPr="00275FBD">
        <w:rPr>
          <w:rFonts w:cs="TimesNewRomanPSMT"/>
          <w:szCs w:val="20"/>
          <w:lang w:val="sl-SI" w:eastAsia="en-GB"/>
        </w:rPr>
        <w:t>najdba</w:t>
      </w:r>
      <w:r w:rsidRPr="00275FBD">
        <w:rPr>
          <w:rFonts w:cs="TimesNewRomanPSMT"/>
          <w:szCs w:val="20"/>
          <w:lang w:val="sl-SI" w:eastAsia="en-GB"/>
        </w:rPr>
        <w:t xml:space="preserve"> (6.1-023) je povezan</w:t>
      </w:r>
      <w:r w:rsidR="00EC5401" w:rsidRPr="00275FBD">
        <w:rPr>
          <w:rFonts w:cs="TimesNewRomanPSMT"/>
          <w:szCs w:val="20"/>
          <w:lang w:val="sl-SI" w:eastAsia="en-GB"/>
        </w:rPr>
        <w:t>a</w:t>
      </w:r>
      <w:r w:rsidRPr="00275FBD">
        <w:rPr>
          <w:rFonts w:cs="TimesNewRomanPSMT"/>
          <w:szCs w:val="20"/>
          <w:lang w:val="sl-SI" w:eastAsia="en-GB"/>
        </w:rPr>
        <w:t xml:space="preserve"> s </w:t>
      </w:r>
      <w:r w:rsidR="003E70ED" w:rsidRPr="00275FBD">
        <w:rPr>
          <w:rFonts w:cs="TimesNewRomanPSMT"/>
          <w:szCs w:val="20"/>
          <w:lang w:val="sl-SI" w:eastAsia="en-GB"/>
        </w:rPr>
        <w:t>fizičn</w:t>
      </w:r>
      <w:r w:rsidR="003E70ED">
        <w:rPr>
          <w:rFonts w:cs="TimesNewRomanPSMT"/>
          <w:szCs w:val="20"/>
          <w:lang w:val="sl-SI" w:eastAsia="en-GB"/>
        </w:rPr>
        <w:t>im</w:t>
      </w:r>
      <w:r w:rsidR="003E70ED" w:rsidRPr="00275FBD">
        <w:rPr>
          <w:rFonts w:cs="TimesNewRomanPSMT"/>
          <w:szCs w:val="20"/>
          <w:lang w:val="sl-SI" w:eastAsia="en-GB"/>
        </w:rPr>
        <w:t xml:space="preserve"> </w:t>
      </w:r>
      <w:r w:rsidR="003E70ED">
        <w:rPr>
          <w:rFonts w:cs="TimesNewRomanPSMT"/>
          <w:szCs w:val="20"/>
          <w:lang w:val="sl-SI" w:eastAsia="en-GB"/>
        </w:rPr>
        <w:t>varovanjem</w:t>
      </w:r>
      <w:r w:rsidR="003E70ED" w:rsidRPr="00275FBD">
        <w:rPr>
          <w:rFonts w:cs="TimesNewRomanPSMT"/>
          <w:szCs w:val="20"/>
          <w:lang w:val="sl-SI" w:eastAsia="en-GB"/>
        </w:rPr>
        <w:t xml:space="preserve"> </w:t>
      </w:r>
      <w:r w:rsidRPr="00275FBD">
        <w:rPr>
          <w:rFonts w:cs="TimesNewRomanPSMT"/>
          <w:szCs w:val="20"/>
          <w:lang w:val="sl-SI" w:eastAsia="en-GB"/>
        </w:rPr>
        <w:t>elektrarne (SF 17)</w:t>
      </w:r>
      <w:r w:rsidR="00750719">
        <w:rPr>
          <w:rFonts w:cs="TimesNewRomanPSMT"/>
          <w:szCs w:val="20"/>
          <w:lang w:val="sl-SI" w:eastAsia="en-GB"/>
        </w:rPr>
        <w:t xml:space="preserve"> in</w:t>
      </w:r>
      <w:r w:rsidRPr="00275FBD">
        <w:rPr>
          <w:rFonts w:cs="TimesNewRomanPSMT"/>
          <w:szCs w:val="20"/>
          <w:lang w:val="sl-SI" w:eastAsia="en-GB"/>
        </w:rPr>
        <w:t xml:space="preserve"> </w:t>
      </w:r>
      <w:r w:rsidR="00DE6E8B">
        <w:rPr>
          <w:rFonts w:cs="TimesNewRomanPSMT"/>
          <w:szCs w:val="20"/>
          <w:lang w:val="sl-SI" w:eastAsia="en-GB"/>
        </w:rPr>
        <w:t>je</w:t>
      </w:r>
      <w:r w:rsidR="00DE6E8B" w:rsidRPr="00275FBD">
        <w:rPr>
          <w:rFonts w:cs="TimesNewRomanPSMT"/>
          <w:szCs w:val="20"/>
          <w:lang w:val="sl-SI" w:eastAsia="en-GB"/>
        </w:rPr>
        <w:t xml:space="preserve"> </w:t>
      </w:r>
      <w:r w:rsidRPr="00275FBD">
        <w:rPr>
          <w:rFonts w:cs="TimesNewRomanPSMT"/>
          <w:szCs w:val="20"/>
          <w:lang w:val="sl-SI" w:eastAsia="en-GB"/>
        </w:rPr>
        <w:t>šl</w:t>
      </w:r>
      <w:r w:rsidR="00EC5401" w:rsidRPr="00275FBD">
        <w:rPr>
          <w:rFonts w:cs="TimesNewRomanPSMT"/>
          <w:szCs w:val="20"/>
          <w:lang w:val="sl-SI" w:eastAsia="en-GB"/>
        </w:rPr>
        <w:t>a</w:t>
      </w:r>
      <w:r w:rsidRPr="00275FBD">
        <w:rPr>
          <w:rFonts w:cs="TimesNewRomanPSMT"/>
          <w:szCs w:val="20"/>
          <w:lang w:val="sl-SI" w:eastAsia="en-GB"/>
        </w:rPr>
        <w:t xml:space="preserve"> v izvedbo brez formalnega postopka razvrščanja.</w:t>
      </w:r>
    </w:p>
    <w:p w14:paraId="3F42D3B4" w14:textId="7EB0DEB6" w:rsidR="005F1A82" w:rsidRPr="00275FBD" w:rsidRDefault="005F1A82" w:rsidP="005F1A82">
      <w:pPr>
        <w:rPr>
          <w:rFonts w:cs="TimesNewRomanPSMT"/>
          <w:szCs w:val="20"/>
          <w:lang w:val="sl-SI" w:eastAsia="en-GB"/>
        </w:rPr>
      </w:pPr>
      <w:r w:rsidRPr="00275FBD">
        <w:rPr>
          <w:rFonts w:cs="TimesNewRomanPSMT"/>
          <w:szCs w:val="20"/>
          <w:lang w:val="sl-SI" w:eastAsia="en-GB"/>
        </w:rPr>
        <w:t xml:space="preserve">Tako je skupno 225 </w:t>
      </w:r>
      <w:r w:rsidR="00BD5705" w:rsidRPr="00275FBD">
        <w:rPr>
          <w:rFonts w:cs="TimesNewRomanPSMT"/>
          <w:szCs w:val="20"/>
          <w:lang w:val="sl-SI" w:eastAsia="en-GB"/>
        </w:rPr>
        <w:t xml:space="preserve">najdb </w:t>
      </w:r>
      <w:r w:rsidRPr="00275FBD">
        <w:rPr>
          <w:rFonts w:cs="TimesNewRomanPSMT"/>
          <w:szCs w:val="20"/>
          <w:lang w:val="sl-SI" w:eastAsia="en-GB"/>
        </w:rPr>
        <w:t>vstopilo v postopek nadaljnjega ocenjevanja.</w:t>
      </w:r>
    </w:p>
    <w:p w14:paraId="6B28FBCB" w14:textId="7A45DDA5" w:rsidR="005F1A82" w:rsidRPr="00275FBD" w:rsidRDefault="005F1A82" w:rsidP="005F1A82">
      <w:pPr>
        <w:rPr>
          <w:rFonts w:cs="TimesNewRomanPSMT"/>
          <w:szCs w:val="20"/>
          <w:lang w:val="sl-SI" w:eastAsia="en-GB"/>
        </w:rPr>
      </w:pPr>
      <w:r w:rsidRPr="00275FBD">
        <w:rPr>
          <w:rFonts w:cs="TimesNewRomanPSMT"/>
          <w:szCs w:val="20"/>
          <w:lang w:val="sl-SI" w:eastAsia="en-GB"/>
        </w:rPr>
        <w:t xml:space="preserve">Od tega je bilo 33 </w:t>
      </w:r>
      <w:r w:rsidR="00BD5705" w:rsidRPr="00275FBD">
        <w:rPr>
          <w:rFonts w:cs="TimesNewRomanPSMT"/>
          <w:szCs w:val="20"/>
          <w:lang w:val="sl-SI" w:eastAsia="en-GB"/>
        </w:rPr>
        <w:t xml:space="preserve">najdb </w:t>
      </w:r>
      <w:r w:rsidRPr="00275FBD">
        <w:rPr>
          <w:rFonts w:cs="TimesNewRomanPSMT"/>
          <w:szCs w:val="20"/>
          <w:lang w:val="sl-SI" w:eastAsia="en-GB"/>
        </w:rPr>
        <w:t xml:space="preserve">obravnavanih kot </w:t>
      </w:r>
      <w:r w:rsidR="00910B6F" w:rsidRPr="00275FBD">
        <w:rPr>
          <w:rFonts w:cs="TimesNewRomanPSMT"/>
          <w:szCs w:val="20"/>
          <w:lang w:val="sl-SI" w:eastAsia="en-GB"/>
        </w:rPr>
        <w:t>najdbe</w:t>
      </w:r>
      <w:r w:rsidR="00882E76">
        <w:rPr>
          <w:rFonts w:cs="TimesNewRomanPSMT"/>
          <w:szCs w:val="20"/>
          <w:lang w:val="sl-SI" w:eastAsia="en-GB"/>
        </w:rPr>
        <w:t>,</w:t>
      </w:r>
      <w:r w:rsidR="00910B6F" w:rsidRPr="00275FBD">
        <w:rPr>
          <w:rFonts w:cs="TimesNewRomanPSMT"/>
          <w:szCs w:val="20"/>
          <w:lang w:val="sl-SI" w:eastAsia="en-GB"/>
        </w:rPr>
        <w:t xml:space="preserve"> </w:t>
      </w:r>
      <w:r w:rsidR="00435AD7">
        <w:rPr>
          <w:rFonts w:cs="TimesNewRomanPSMT"/>
          <w:szCs w:val="20"/>
          <w:lang w:val="sl-SI" w:eastAsia="en-GB"/>
        </w:rPr>
        <w:t xml:space="preserve">izvedljive </w:t>
      </w:r>
      <w:r w:rsidRPr="00275FBD">
        <w:rPr>
          <w:rFonts w:cs="TimesNewRomanPSMT"/>
          <w:szCs w:val="20"/>
          <w:lang w:val="sl-SI" w:eastAsia="en-GB"/>
        </w:rPr>
        <w:t xml:space="preserve">z </w:t>
      </w:r>
      <w:r w:rsidR="00435AD7">
        <w:rPr>
          <w:rFonts w:cs="TimesNewRomanPSMT"/>
          <w:szCs w:val="20"/>
          <w:lang w:val="sl-SI" w:eastAsia="en-GB"/>
        </w:rPr>
        <w:t>majhnim</w:t>
      </w:r>
      <w:r w:rsidR="00435AD7" w:rsidRPr="00275FBD">
        <w:rPr>
          <w:rFonts w:cs="TimesNewRomanPSMT"/>
          <w:szCs w:val="20"/>
          <w:lang w:val="sl-SI" w:eastAsia="en-GB"/>
        </w:rPr>
        <w:t xml:space="preserve"> </w:t>
      </w:r>
      <w:r w:rsidRPr="00275FBD">
        <w:rPr>
          <w:rFonts w:cs="TimesNewRomanPSMT"/>
          <w:szCs w:val="20"/>
          <w:lang w:val="sl-SI" w:eastAsia="en-GB"/>
        </w:rPr>
        <w:t xml:space="preserve">naporom (vrsta »LE«), 15 </w:t>
      </w:r>
      <w:r w:rsidR="00BD5705" w:rsidRPr="00275FBD">
        <w:rPr>
          <w:rFonts w:cs="TimesNewRomanPSMT"/>
          <w:szCs w:val="20"/>
          <w:lang w:val="sl-SI" w:eastAsia="en-GB"/>
        </w:rPr>
        <w:t xml:space="preserve">najdb </w:t>
      </w:r>
      <w:r w:rsidRPr="00275FBD">
        <w:rPr>
          <w:rFonts w:cs="TimesNewRomanPSMT"/>
          <w:szCs w:val="20"/>
          <w:lang w:val="sl-SI" w:eastAsia="en-GB"/>
        </w:rPr>
        <w:t xml:space="preserve">pa je bilo obravnavanih kot takšnih, ki zahtevajo takojšnjo </w:t>
      </w:r>
      <w:r w:rsidR="005C0015">
        <w:rPr>
          <w:rFonts w:cs="TimesNewRomanPSMT"/>
          <w:szCs w:val="20"/>
          <w:lang w:val="sl-SI" w:eastAsia="en-GB"/>
        </w:rPr>
        <w:t>razrešitev</w:t>
      </w:r>
      <w:r w:rsidRPr="00275FBD">
        <w:rPr>
          <w:rFonts w:cs="TimesNewRomanPSMT"/>
          <w:szCs w:val="20"/>
          <w:lang w:val="sl-SI" w:eastAsia="en-GB"/>
        </w:rPr>
        <w:t xml:space="preserve"> (</w:t>
      </w:r>
      <w:r w:rsidR="00DE6E8B">
        <w:rPr>
          <w:rFonts w:cs="TimesNewRomanPSMT"/>
          <w:szCs w:val="20"/>
          <w:lang w:val="sl-SI" w:eastAsia="en-GB"/>
        </w:rPr>
        <w:t>vrsta</w:t>
      </w:r>
      <w:r w:rsidRPr="00275FBD">
        <w:rPr>
          <w:rFonts w:cs="TimesNewRomanPSMT"/>
          <w:szCs w:val="20"/>
          <w:lang w:val="sl-SI" w:eastAsia="en-GB"/>
        </w:rPr>
        <w:t xml:space="preserve"> »IRR«). Skupini »LE« in »IRR« sta bili </w:t>
      </w:r>
      <w:r w:rsidR="00DC549D">
        <w:rPr>
          <w:rFonts w:cs="TimesNewRomanPSMT"/>
          <w:szCs w:val="20"/>
          <w:lang w:val="sl-SI" w:eastAsia="en-GB"/>
        </w:rPr>
        <w:t>določ</w:t>
      </w:r>
      <w:r w:rsidR="00DC549D" w:rsidRPr="00275FBD">
        <w:rPr>
          <w:rFonts w:cs="TimesNewRomanPSMT"/>
          <w:szCs w:val="20"/>
          <w:lang w:val="sl-SI" w:eastAsia="en-GB"/>
        </w:rPr>
        <w:t xml:space="preserve">eni </w:t>
      </w:r>
      <w:r w:rsidRPr="00275FBD">
        <w:rPr>
          <w:rFonts w:cs="TimesNewRomanPSMT"/>
          <w:szCs w:val="20"/>
          <w:lang w:val="sl-SI" w:eastAsia="en-GB"/>
        </w:rPr>
        <w:t xml:space="preserve">kot neposreden vnos v CAP, ne da bi ju bilo treba posebej obravnavati v postopku podrobnega razvrščanja. Tako je ostalo </w:t>
      </w:r>
      <w:r w:rsidR="00DE6E8B">
        <w:rPr>
          <w:rFonts w:cs="TimesNewRomanPSMT"/>
          <w:szCs w:val="20"/>
          <w:lang w:val="sl-SI" w:eastAsia="en-GB"/>
        </w:rPr>
        <w:t xml:space="preserve">še </w:t>
      </w:r>
      <w:r w:rsidRPr="00275FBD">
        <w:rPr>
          <w:rFonts w:cs="TimesNewRomanPSMT"/>
          <w:szCs w:val="20"/>
          <w:lang w:val="sl-SI" w:eastAsia="en-GB"/>
        </w:rPr>
        <w:t xml:space="preserve">177 </w:t>
      </w:r>
      <w:r w:rsidR="00BD5705" w:rsidRPr="00275FBD">
        <w:rPr>
          <w:rFonts w:cs="TimesNewRomanPSMT"/>
          <w:szCs w:val="20"/>
          <w:lang w:val="sl-SI" w:eastAsia="en-GB"/>
        </w:rPr>
        <w:t xml:space="preserve">najdb </w:t>
      </w:r>
      <w:r w:rsidRPr="00275FBD">
        <w:rPr>
          <w:rFonts w:cs="TimesNewRomanPSMT"/>
          <w:szCs w:val="20"/>
          <w:lang w:val="sl-SI" w:eastAsia="en-GB"/>
        </w:rPr>
        <w:t>za nadaljnjo obdelavo</w:t>
      </w:r>
      <w:r w:rsidR="00DE6E8B">
        <w:rPr>
          <w:rFonts w:cs="TimesNewRomanPSMT"/>
          <w:szCs w:val="20"/>
          <w:lang w:val="sl-SI" w:eastAsia="en-GB"/>
        </w:rPr>
        <w:t>, o</w:t>
      </w:r>
      <w:r w:rsidRPr="00275FBD">
        <w:rPr>
          <w:rFonts w:cs="TimesNewRomanPSMT"/>
          <w:szCs w:val="20"/>
          <w:lang w:val="sl-SI" w:eastAsia="en-GB"/>
        </w:rPr>
        <w:t xml:space="preserve">d </w:t>
      </w:r>
      <w:r w:rsidR="00DE6E8B">
        <w:rPr>
          <w:rFonts w:cs="TimesNewRomanPSMT"/>
          <w:szCs w:val="20"/>
          <w:lang w:val="sl-SI" w:eastAsia="en-GB"/>
        </w:rPr>
        <w:t>ka</w:t>
      </w:r>
      <w:r w:rsidRPr="00275FBD">
        <w:rPr>
          <w:rFonts w:cs="TimesNewRomanPSMT"/>
          <w:szCs w:val="20"/>
          <w:lang w:val="sl-SI" w:eastAsia="en-GB"/>
        </w:rPr>
        <w:t>te</w:t>
      </w:r>
      <w:r w:rsidR="00DE6E8B">
        <w:rPr>
          <w:rFonts w:cs="TimesNewRomanPSMT"/>
          <w:szCs w:val="20"/>
          <w:lang w:val="sl-SI" w:eastAsia="en-GB"/>
        </w:rPr>
        <w:t>ri</w:t>
      </w:r>
      <w:r w:rsidRPr="00275FBD">
        <w:rPr>
          <w:rFonts w:cs="TimesNewRomanPSMT"/>
          <w:szCs w:val="20"/>
          <w:lang w:val="sl-SI" w:eastAsia="en-GB"/>
        </w:rPr>
        <w:t xml:space="preserve">h je ena </w:t>
      </w:r>
      <w:r w:rsidR="00CB6B10">
        <w:rPr>
          <w:rFonts w:cs="TimesNewRomanPSMT"/>
          <w:szCs w:val="20"/>
          <w:lang w:val="sl-SI" w:eastAsia="en-GB"/>
        </w:rPr>
        <w:t>najdba</w:t>
      </w:r>
      <w:r w:rsidR="00CB6B10" w:rsidRPr="00275FBD">
        <w:rPr>
          <w:rFonts w:cs="TimesNewRomanPSMT"/>
          <w:szCs w:val="20"/>
          <w:lang w:val="sl-SI" w:eastAsia="en-GB"/>
        </w:rPr>
        <w:t xml:space="preserve"> </w:t>
      </w:r>
      <w:r w:rsidRPr="00275FBD">
        <w:rPr>
          <w:rFonts w:cs="TimesNewRomanPSMT"/>
          <w:szCs w:val="20"/>
          <w:lang w:val="sl-SI" w:eastAsia="en-GB"/>
        </w:rPr>
        <w:t>(1.1-005) dejansko predstavljala pozitivno ugotovitev, ki ni zahtevala kakršne koli nadaljnje</w:t>
      </w:r>
      <w:r w:rsidR="0024285D" w:rsidRPr="00275FBD">
        <w:rPr>
          <w:rFonts w:cs="TimesNewRomanPSMT"/>
          <w:szCs w:val="20"/>
          <w:lang w:val="sl-SI" w:eastAsia="en-GB"/>
        </w:rPr>
        <w:t xml:space="preserve"> obravnave</w:t>
      </w:r>
      <w:r w:rsidRPr="00275FBD">
        <w:rPr>
          <w:rFonts w:cs="TimesNewRomanPSMT"/>
          <w:szCs w:val="20"/>
          <w:lang w:val="sl-SI" w:eastAsia="en-GB"/>
        </w:rPr>
        <w:t xml:space="preserve"> ali </w:t>
      </w:r>
      <w:r w:rsidR="00CB6B10">
        <w:rPr>
          <w:rFonts w:cs="TimesNewRomanPSMT"/>
          <w:szCs w:val="20"/>
          <w:lang w:val="sl-SI" w:eastAsia="en-GB"/>
        </w:rPr>
        <w:t>raz</w:t>
      </w:r>
      <w:r w:rsidRPr="00275FBD">
        <w:rPr>
          <w:rFonts w:cs="TimesNewRomanPSMT"/>
          <w:szCs w:val="20"/>
          <w:lang w:val="sl-SI" w:eastAsia="en-GB"/>
        </w:rPr>
        <w:t>rešitve.</w:t>
      </w:r>
    </w:p>
    <w:p w14:paraId="66C784B0" w14:textId="44EA33EC" w:rsidR="0024285D" w:rsidRPr="00275FBD" w:rsidRDefault="0024285D" w:rsidP="0024285D">
      <w:pPr>
        <w:rPr>
          <w:rFonts w:cs="TimesNewRomanPSMT"/>
          <w:szCs w:val="20"/>
          <w:lang w:val="sl-SI" w:eastAsia="en-GB"/>
        </w:rPr>
      </w:pPr>
      <w:r w:rsidRPr="00275FBD">
        <w:rPr>
          <w:rFonts w:cs="TimesNewRomanPSMT"/>
          <w:szCs w:val="20"/>
          <w:lang w:val="sl-SI" w:eastAsia="en-GB"/>
        </w:rPr>
        <w:t xml:space="preserve">Na ta način je preostalo skupaj 176 </w:t>
      </w:r>
      <w:r w:rsidR="00BD5705" w:rsidRPr="00275FBD">
        <w:rPr>
          <w:rFonts w:cs="TimesNewRomanPSMT"/>
          <w:szCs w:val="20"/>
          <w:lang w:val="sl-SI" w:eastAsia="en-GB"/>
        </w:rPr>
        <w:t xml:space="preserve">najdb </w:t>
      </w:r>
      <w:r w:rsidRPr="00275FBD">
        <w:rPr>
          <w:rFonts w:cs="TimesNewRomanPSMT"/>
          <w:szCs w:val="20"/>
          <w:lang w:val="sl-SI" w:eastAsia="en-GB"/>
        </w:rPr>
        <w:t>za vključitev v podrobno razvrstitev</w:t>
      </w:r>
      <w:r w:rsidR="00DE6E8B">
        <w:rPr>
          <w:rFonts w:cs="TimesNewRomanPSMT"/>
          <w:szCs w:val="20"/>
          <w:lang w:val="sl-SI" w:eastAsia="en-GB"/>
        </w:rPr>
        <w:t>,</w:t>
      </w:r>
      <w:r w:rsidRPr="00275FBD">
        <w:rPr>
          <w:rFonts w:cs="TimesNewRomanPSMT"/>
          <w:szCs w:val="20"/>
          <w:lang w:val="sl-SI" w:eastAsia="en-GB"/>
        </w:rPr>
        <w:t xml:space="preserve"> v kateri jim je bil dodeljen končni rang.</w:t>
      </w:r>
    </w:p>
    <w:p w14:paraId="6BEE6014" w14:textId="547FFA00" w:rsidR="00ED1A59" w:rsidRPr="00275FBD" w:rsidRDefault="0024285D" w:rsidP="0024285D">
      <w:pPr>
        <w:rPr>
          <w:rFonts w:cs="TimesNewRomanPSMT"/>
          <w:szCs w:val="20"/>
          <w:lang w:val="sl-SI" w:eastAsia="en-GB"/>
        </w:rPr>
      </w:pPr>
      <w:r w:rsidRPr="00275FBD">
        <w:rPr>
          <w:rFonts w:cs="TimesNewRomanPSMT"/>
          <w:szCs w:val="20"/>
          <w:lang w:val="sl-SI" w:eastAsia="en-GB"/>
        </w:rPr>
        <w:t>Ta del postopka je povzet v spodnji tabeli (</w:t>
      </w:r>
      <w:r w:rsidRPr="00275FBD">
        <w:rPr>
          <w:rFonts w:cs="TimesNewRomanPSMT"/>
          <w:szCs w:val="20"/>
          <w:lang w:val="sl-SI" w:eastAsia="en-GB"/>
        </w:rPr>
        <w:fldChar w:fldCharType="begin"/>
      </w:r>
      <w:r w:rsidRPr="00275FBD">
        <w:rPr>
          <w:rFonts w:cs="TimesNewRomanPSMT"/>
          <w:szCs w:val="20"/>
          <w:lang w:val="sl-SI" w:eastAsia="en-GB"/>
        </w:rPr>
        <w:instrText xml:space="preserve"> REF _Ref138425853 \h </w:instrText>
      </w:r>
      <w:r w:rsidRPr="00275FBD">
        <w:rPr>
          <w:rFonts w:cs="TimesNewRomanPSMT"/>
          <w:szCs w:val="20"/>
          <w:lang w:val="sl-SI" w:eastAsia="en-GB"/>
        </w:rPr>
      </w:r>
      <w:r w:rsidRPr="00275FBD">
        <w:rPr>
          <w:rFonts w:cs="TimesNewRomanPSMT"/>
          <w:szCs w:val="20"/>
          <w:lang w:val="sl-SI" w:eastAsia="en-GB"/>
        </w:rPr>
        <w:fldChar w:fldCharType="separate"/>
      </w:r>
      <w:r w:rsidR="00BA25CD" w:rsidRPr="00275FBD">
        <w:rPr>
          <w:lang w:val="sl-SI" w:eastAsia="en-GB"/>
        </w:rPr>
        <w:t xml:space="preserve">Tabela </w:t>
      </w:r>
      <w:r w:rsidR="00BA25CD">
        <w:rPr>
          <w:noProof/>
          <w:lang w:val="sl-SI" w:eastAsia="en-GB"/>
        </w:rPr>
        <w:t>5</w:t>
      </w:r>
      <w:r w:rsidR="00BA25CD" w:rsidRPr="00275FBD">
        <w:rPr>
          <w:lang w:val="sl-SI" w:eastAsia="en-GB"/>
        </w:rPr>
        <w:noBreakHyphen/>
      </w:r>
      <w:r w:rsidR="00BA25CD">
        <w:rPr>
          <w:noProof/>
          <w:lang w:val="sl-SI" w:eastAsia="en-GB"/>
        </w:rPr>
        <w:t>2</w:t>
      </w:r>
      <w:r w:rsidRPr="00275FBD">
        <w:rPr>
          <w:rFonts w:cs="TimesNewRomanPSMT"/>
          <w:szCs w:val="20"/>
          <w:lang w:val="sl-SI" w:eastAsia="en-GB"/>
        </w:rPr>
        <w:fldChar w:fldCharType="end"/>
      </w:r>
      <w:r w:rsidRPr="00275FBD">
        <w:rPr>
          <w:rFonts w:cs="TimesNewRomanPSMT"/>
          <w:szCs w:val="20"/>
          <w:lang w:val="sl-SI" w:eastAsia="en-GB"/>
        </w:rPr>
        <w:t xml:space="preserve">), ki prikazuje tudi razčlenitev </w:t>
      </w:r>
      <w:r w:rsidR="00BD5705" w:rsidRPr="00275FBD">
        <w:rPr>
          <w:rFonts w:cs="TimesNewRomanPSMT"/>
          <w:szCs w:val="20"/>
          <w:lang w:val="sl-SI" w:eastAsia="en-GB"/>
        </w:rPr>
        <w:t>najdb,</w:t>
      </w:r>
      <w:r w:rsidRPr="00275FBD">
        <w:rPr>
          <w:rFonts w:cs="TimesNewRomanPSMT"/>
          <w:szCs w:val="20"/>
          <w:lang w:val="sl-SI" w:eastAsia="en-GB"/>
        </w:rPr>
        <w:t xml:space="preserve"> zbranih v treh zgoraj omenjenih primarnih kategorijah atributov (»DL«, »RE« in »SF«).</w:t>
      </w:r>
    </w:p>
    <w:p w14:paraId="5C48C62F" w14:textId="5E6EE49C" w:rsidR="0024285D" w:rsidRPr="00275FBD" w:rsidRDefault="0024285D" w:rsidP="0024285D">
      <w:pPr>
        <w:rPr>
          <w:rFonts w:cs="TimesNewRomanPSMT"/>
          <w:szCs w:val="20"/>
          <w:lang w:val="sl-SI" w:eastAsia="en-GB"/>
        </w:rPr>
      </w:pPr>
    </w:p>
    <w:p w14:paraId="713B7D45" w14:textId="3AD97120" w:rsidR="008E60C6" w:rsidRPr="00275FBD" w:rsidRDefault="008E60C6" w:rsidP="008E60C6">
      <w:pPr>
        <w:pStyle w:val="Napis"/>
        <w:rPr>
          <w:lang w:val="sl-SI" w:eastAsia="en-GB"/>
        </w:rPr>
      </w:pPr>
      <w:bookmarkStart w:id="98" w:name="_Ref138425853"/>
      <w:bookmarkStart w:id="99" w:name="_Toc163197441"/>
      <w:r w:rsidRPr="00275FBD">
        <w:rPr>
          <w:lang w:val="sl-SI" w:eastAsia="en-GB"/>
        </w:rPr>
        <w:t xml:space="preserve">Tabela </w:t>
      </w:r>
      <w:r w:rsidR="00D51CB7" w:rsidRPr="00275FBD">
        <w:rPr>
          <w:lang w:val="sl-SI" w:eastAsia="en-GB"/>
        </w:rPr>
        <w:fldChar w:fldCharType="begin"/>
      </w:r>
      <w:r w:rsidR="00D51CB7" w:rsidRPr="00275FBD">
        <w:rPr>
          <w:lang w:val="sl-SI" w:eastAsia="en-GB"/>
        </w:rPr>
        <w:instrText xml:space="preserve"> STYLEREF 1 \s </w:instrText>
      </w:r>
      <w:r w:rsidR="00D51CB7" w:rsidRPr="00275FBD">
        <w:rPr>
          <w:lang w:val="sl-SI" w:eastAsia="en-GB"/>
        </w:rPr>
        <w:fldChar w:fldCharType="separate"/>
      </w:r>
      <w:r w:rsidR="00BA25CD">
        <w:rPr>
          <w:noProof/>
          <w:lang w:val="sl-SI" w:eastAsia="en-GB"/>
        </w:rPr>
        <w:t>5</w:t>
      </w:r>
      <w:r w:rsidR="00D51CB7" w:rsidRPr="00275FBD">
        <w:rPr>
          <w:lang w:val="sl-SI" w:eastAsia="en-GB"/>
        </w:rPr>
        <w:fldChar w:fldCharType="end"/>
      </w:r>
      <w:r w:rsidR="00D51CB7" w:rsidRPr="00275FBD">
        <w:rPr>
          <w:lang w:val="sl-SI" w:eastAsia="en-GB"/>
        </w:rPr>
        <w:noBreakHyphen/>
      </w:r>
      <w:r w:rsidR="00D51CB7" w:rsidRPr="00275FBD">
        <w:rPr>
          <w:lang w:val="sl-SI" w:eastAsia="en-GB"/>
        </w:rPr>
        <w:fldChar w:fldCharType="begin"/>
      </w:r>
      <w:r w:rsidR="00D51CB7" w:rsidRPr="00275FBD">
        <w:rPr>
          <w:lang w:val="sl-SI" w:eastAsia="en-GB"/>
        </w:rPr>
        <w:instrText xml:space="preserve"> SEQ Tabela \* ARABIC \s 1 </w:instrText>
      </w:r>
      <w:r w:rsidR="00D51CB7" w:rsidRPr="00275FBD">
        <w:rPr>
          <w:lang w:val="sl-SI" w:eastAsia="en-GB"/>
        </w:rPr>
        <w:fldChar w:fldCharType="separate"/>
      </w:r>
      <w:r w:rsidR="00BA25CD">
        <w:rPr>
          <w:noProof/>
          <w:lang w:val="sl-SI" w:eastAsia="en-GB"/>
        </w:rPr>
        <w:t>2</w:t>
      </w:r>
      <w:r w:rsidR="00D51CB7" w:rsidRPr="00275FBD">
        <w:rPr>
          <w:lang w:val="sl-SI" w:eastAsia="en-GB"/>
        </w:rPr>
        <w:fldChar w:fldCharType="end"/>
      </w:r>
      <w:bookmarkEnd w:id="98"/>
      <w:r w:rsidRPr="00275FBD">
        <w:rPr>
          <w:lang w:val="sl-SI" w:eastAsia="en-GB"/>
        </w:rPr>
        <w:t xml:space="preserve">: Povzetek razvrstitve vseh </w:t>
      </w:r>
      <w:r w:rsidR="00BD5705" w:rsidRPr="00275FBD">
        <w:rPr>
          <w:lang w:val="sl-SI" w:eastAsia="en-GB"/>
        </w:rPr>
        <w:t xml:space="preserve">najdb </w:t>
      </w:r>
      <w:r w:rsidRPr="00275FBD">
        <w:rPr>
          <w:lang w:val="sl-SI" w:eastAsia="en-GB"/>
        </w:rPr>
        <w:t>zbranih iz tematskih poročil v kategorije primarnih atributov</w:t>
      </w:r>
      <w:bookmarkEnd w:id="99"/>
    </w:p>
    <w:tbl>
      <w:tblPr>
        <w:tblW w:w="0" w:type="auto"/>
        <w:jc w:val="center"/>
        <w:tblLayout w:type="fixed"/>
        <w:tblLook w:val="04A0" w:firstRow="1" w:lastRow="0" w:firstColumn="1" w:lastColumn="0" w:noHBand="0" w:noVBand="1"/>
      </w:tblPr>
      <w:tblGrid>
        <w:gridCol w:w="2403"/>
        <w:gridCol w:w="1291"/>
        <w:gridCol w:w="1799"/>
        <w:gridCol w:w="1165"/>
        <w:gridCol w:w="850"/>
        <w:gridCol w:w="1554"/>
      </w:tblGrid>
      <w:tr w:rsidR="00ED1A59" w:rsidRPr="00716249" w14:paraId="0E6648EA" w14:textId="77777777" w:rsidTr="00435AD7">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9B89E5" w14:textId="6AF6B56E"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Primar</w:t>
            </w:r>
            <w:r w:rsidR="0024285D" w:rsidRPr="00275FBD">
              <w:rPr>
                <w:rFonts w:ascii="Calibri" w:hAnsi="Calibri"/>
                <w:color w:val="000000"/>
                <w:sz w:val="22"/>
                <w:szCs w:val="22"/>
                <w:lang w:val="sl-SI" w:eastAsia="en-US" w:bidi="hi-IN"/>
              </w:rPr>
              <w:t>ni</w:t>
            </w:r>
            <w:r w:rsidRPr="00275FBD">
              <w:rPr>
                <w:rFonts w:ascii="Calibri" w:hAnsi="Calibri"/>
                <w:color w:val="000000"/>
                <w:sz w:val="22"/>
                <w:szCs w:val="22"/>
                <w:lang w:val="sl-SI" w:eastAsia="en-US" w:bidi="hi-IN"/>
              </w:rPr>
              <w:t xml:space="preserve"> </w:t>
            </w:r>
            <w:r w:rsidR="0024285D" w:rsidRPr="00275FBD">
              <w:rPr>
                <w:rFonts w:ascii="Calibri" w:hAnsi="Calibri"/>
                <w:color w:val="000000"/>
                <w:sz w:val="22"/>
                <w:szCs w:val="22"/>
                <w:lang w:val="sl-SI" w:eastAsia="en-US" w:bidi="hi-IN"/>
              </w:rPr>
              <w:t>a</w:t>
            </w:r>
            <w:r w:rsidRPr="00275FBD">
              <w:rPr>
                <w:rFonts w:ascii="Calibri" w:hAnsi="Calibri"/>
                <w:color w:val="000000"/>
                <w:sz w:val="22"/>
                <w:szCs w:val="22"/>
                <w:lang w:val="sl-SI" w:eastAsia="en-US" w:bidi="hi-IN"/>
              </w:rPr>
              <w:t xml:space="preserve">tribut / </w:t>
            </w:r>
            <w:r w:rsidR="0024285D" w:rsidRPr="00275FBD">
              <w:rPr>
                <w:rFonts w:ascii="Calibri" w:hAnsi="Calibri"/>
                <w:color w:val="000000"/>
                <w:sz w:val="22"/>
                <w:szCs w:val="22"/>
                <w:lang w:val="sl-SI" w:eastAsia="en-US" w:bidi="hi-IN"/>
              </w:rPr>
              <w:t>k</w:t>
            </w:r>
            <w:r w:rsidRPr="00275FBD">
              <w:rPr>
                <w:rFonts w:ascii="Calibri" w:hAnsi="Calibri"/>
                <w:color w:val="000000"/>
                <w:sz w:val="22"/>
                <w:szCs w:val="22"/>
                <w:lang w:val="sl-SI" w:eastAsia="en-US" w:bidi="hi-IN"/>
              </w:rPr>
              <w:t>ategor</w:t>
            </w:r>
            <w:r w:rsidR="0024285D" w:rsidRPr="00275FBD">
              <w:rPr>
                <w:rFonts w:ascii="Calibri" w:hAnsi="Calibri"/>
                <w:color w:val="000000"/>
                <w:sz w:val="22"/>
                <w:szCs w:val="22"/>
                <w:lang w:val="sl-SI" w:eastAsia="en-US" w:bidi="hi-IN"/>
              </w:rPr>
              <w:t>ija</w:t>
            </w:r>
          </w:p>
        </w:tc>
        <w:tc>
          <w:tcPr>
            <w:tcW w:w="12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05DD5F" w14:textId="7A891167" w:rsidR="00ED1A59" w:rsidRPr="00275FBD" w:rsidRDefault="0024285D"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 xml:space="preserve">Število </w:t>
            </w:r>
            <w:r w:rsidR="00EC5401" w:rsidRPr="00275FBD">
              <w:rPr>
                <w:rFonts w:ascii="Calibri" w:hAnsi="Calibri"/>
                <w:color w:val="000000"/>
                <w:sz w:val="22"/>
                <w:szCs w:val="22"/>
                <w:lang w:val="sl-SI" w:eastAsia="en-US" w:bidi="hi-IN"/>
              </w:rPr>
              <w:t>najdb</w:t>
            </w:r>
          </w:p>
        </w:tc>
        <w:tc>
          <w:tcPr>
            <w:tcW w:w="1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0A74C7" w14:textId="036487F7" w:rsidR="00ED1A59" w:rsidRPr="00275FBD" w:rsidRDefault="0024285D" w:rsidP="0024285D">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 xml:space="preserve">Rešenih med dokončevanjem </w:t>
            </w:r>
            <w:r w:rsidR="00DE6E8B">
              <w:rPr>
                <w:rFonts w:ascii="Calibri" w:hAnsi="Calibri"/>
                <w:color w:val="000000"/>
                <w:sz w:val="22"/>
                <w:szCs w:val="22"/>
                <w:lang w:val="sl-SI" w:eastAsia="en-US" w:bidi="hi-IN"/>
              </w:rPr>
              <w:t>tematsk</w:t>
            </w:r>
            <w:r w:rsidR="00DE6E8B" w:rsidRPr="00275FBD">
              <w:rPr>
                <w:rFonts w:ascii="Calibri" w:hAnsi="Calibri"/>
                <w:color w:val="000000"/>
                <w:sz w:val="22"/>
                <w:szCs w:val="22"/>
                <w:lang w:val="sl-SI" w:eastAsia="en-US" w:bidi="hi-IN"/>
              </w:rPr>
              <w:t xml:space="preserve">ih </w:t>
            </w:r>
            <w:r w:rsidRPr="00275FBD">
              <w:rPr>
                <w:rFonts w:ascii="Calibri" w:hAnsi="Calibri"/>
                <w:color w:val="000000"/>
                <w:sz w:val="22"/>
                <w:szCs w:val="22"/>
                <w:lang w:val="sl-SI" w:eastAsia="en-US" w:bidi="hi-IN"/>
              </w:rPr>
              <w:t>poročil</w:t>
            </w:r>
          </w:p>
        </w:tc>
        <w:tc>
          <w:tcPr>
            <w:tcW w:w="1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2EEC75" w14:textId="75A5854A" w:rsidR="00ED1A59" w:rsidRPr="00275FBD" w:rsidRDefault="00435AD7" w:rsidP="00B47BFF">
            <w:pPr>
              <w:jc w:val="center"/>
              <w:rPr>
                <w:rFonts w:ascii="Calibri" w:hAnsi="Calibri"/>
                <w:color w:val="000000"/>
                <w:sz w:val="22"/>
                <w:szCs w:val="22"/>
                <w:lang w:val="sl-SI" w:eastAsia="en-US" w:bidi="hi-IN"/>
              </w:rPr>
            </w:pPr>
            <w:r>
              <w:rPr>
                <w:rFonts w:ascii="Calibri" w:hAnsi="Calibri"/>
                <w:color w:val="000000"/>
                <w:sz w:val="22"/>
                <w:szCs w:val="22"/>
                <w:lang w:val="sl-SI" w:eastAsia="en-US" w:bidi="hi-IN"/>
              </w:rPr>
              <w:t>Izvedljive z m</w:t>
            </w:r>
            <w:r w:rsidR="0024285D" w:rsidRPr="00275FBD">
              <w:rPr>
                <w:rFonts w:ascii="Calibri" w:hAnsi="Calibri"/>
                <w:color w:val="000000"/>
                <w:sz w:val="22"/>
                <w:szCs w:val="22"/>
                <w:lang w:val="sl-SI" w:eastAsia="en-US" w:bidi="hi-IN"/>
              </w:rPr>
              <w:t>ajh</w:t>
            </w:r>
            <w:r>
              <w:rPr>
                <w:rFonts w:ascii="Calibri" w:hAnsi="Calibri"/>
                <w:color w:val="000000"/>
                <w:sz w:val="22"/>
                <w:szCs w:val="22"/>
                <w:lang w:val="sl-SI" w:eastAsia="en-US" w:bidi="hi-IN"/>
              </w:rPr>
              <w:t>nim</w:t>
            </w:r>
            <w:r w:rsidR="0024285D" w:rsidRPr="00275FBD">
              <w:rPr>
                <w:rFonts w:ascii="Calibri" w:hAnsi="Calibri"/>
                <w:color w:val="000000"/>
                <w:sz w:val="22"/>
                <w:szCs w:val="22"/>
                <w:lang w:val="sl-SI" w:eastAsia="en-US" w:bidi="hi-IN"/>
              </w:rPr>
              <w:t xml:space="preserve"> napor</w:t>
            </w:r>
            <w:r>
              <w:rPr>
                <w:rFonts w:ascii="Calibri" w:hAnsi="Calibri"/>
                <w:color w:val="000000"/>
                <w:sz w:val="22"/>
                <w:szCs w:val="22"/>
                <w:lang w:val="sl-SI" w:eastAsia="en-US" w:bidi="hi-IN"/>
              </w:rPr>
              <w:t>om</w:t>
            </w:r>
            <w:r w:rsidR="00DE6E8B">
              <w:rPr>
                <w:rFonts w:ascii="Calibri" w:hAnsi="Calibri"/>
                <w:color w:val="000000"/>
                <w:sz w:val="22"/>
                <w:szCs w:val="22"/>
                <w:lang w:val="sl-SI" w:eastAsia="en-US" w:bidi="hi-IN"/>
              </w:rPr>
              <w:br/>
              <w:t>LE</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20924"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IRR</w:t>
            </w:r>
            <w:r w:rsidRPr="00275FBD">
              <w:rPr>
                <w:rFonts w:ascii="Calibri" w:hAnsi="Calibri"/>
                <w:color w:val="000000"/>
                <w:sz w:val="22"/>
                <w:szCs w:val="22"/>
                <w:vertAlign w:val="superscript"/>
                <w:lang w:val="sl-SI" w:eastAsia="en-US" w:bidi="hi-IN"/>
              </w:rPr>
              <w:t xml:space="preserve"> (1)</w:t>
            </w: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56C3D" w14:textId="5291EF0D" w:rsidR="00ED1A59" w:rsidRPr="00275FBD" w:rsidRDefault="00FD3159" w:rsidP="00B47BFF">
            <w:pPr>
              <w:jc w:val="center"/>
              <w:rPr>
                <w:rFonts w:ascii="Calibri" w:hAnsi="Calibri"/>
                <w:color w:val="000000"/>
                <w:sz w:val="22"/>
                <w:szCs w:val="22"/>
                <w:lang w:val="sl-SI" w:eastAsia="en-US" w:bidi="hi-IN"/>
              </w:rPr>
            </w:pPr>
            <w:r>
              <w:rPr>
                <w:rFonts w:ascii="Calibri" w:hAnsi="Calibri"/>
                <w:color w:val="000000"/>
                <w:sz w:val="22"/>
                <w:szCs w:val="22"/>
                <w:lang w:val="sl-SI" w:eastAsia="en-US" w:bidi="hi-IN"/>
              </w:rPr>
              <w:t>Posredovanje</w:t>
            </w:r>
            <w:r w:rsidR="0024285D" w:rsidRPr="00275FBD">
              <w:rPr>
                <w:rFonts w:ascii="Calibri" w:hAnsi="Calibri"/>
                <w:color w:val="000000"/>
                <w:sz w:val="22"/>
                <w:szCs w:val="22"/>
                <w:lang w:val="sl-SI" w:eastAsia="en-US" w:bidi="hi-IN"/>
              </w:rPr>
              <w:t xml:space="preserve"> v podrobno </w:t>
            </w:r>
            <w:r>
              <w:rPr>
                <w:rFonts w:ascii="Calibri" w:hAnsi="Calibri"/>
                <w:color w:val="000000"/>
                <w:sz w:val="22"/>
                <w:szCs w:val="22"/>
                <w:lang w:val="sl-SI" w:eastAsia="en-US" w:bidi="hi-IN"/>
              </w:rPr>
              <w:br/>
            </w:r>
            <w:r w:rsidR="0024285D" w:rsidRPr="00275FBD">
              <w:rPr>
                <w:rFonts w:ascii="Calibri" w:hAnsi="Calibri"/>
                <w:color w:val="000000"/>
                <w:sz w:val="22"/>
                <w:szCs w:val="22"/>
                <w:lang w:val="sl-SI" w:eastAsia="en-US" w:bidi="hi-IN"/>
              </w:rPr>
              <w:t>razvrstitev</w:t>
            </w:r>
          </w:p>
        </w:tc>
      </w:tr>
      <w:tr w:rsidR="00ED1A59" w:rsidRPr="00275FBD" w14:paraId="6D685B1A" w14:textId="77777777" w:rsidTr="00435AD7">
        <w:trPr>
          <w:trHeight w:val="300"/>
          <w:jc w:val="center"/>
        </w:trPr>
        <w:tc>
          <w:tcPr>
            <w:tcW w:w="2403" w:type="dxa"/>
            <w:tcBorders>
              <w:top w:val="nil"/>
              <w:left w:val="single" w:sz="4" w:space="0" w:color="auto"/>
              <w:bottom w:val="single" w:sz="4" w:space="0" w:color="auto"/>
              <w:right w:val="single" w:sz="4" w:space="0" w:color="auto"/>
            </w:tcBorders>
            <w:shd w:val="clear" w:color="auto" w:fill="auto"/>
            <w:noWrap/>
            <w:hideMark/>
          </w:tcPr>
          <w:p w14:paraId="0507E9F1"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DL</w:t>
            </w:r>
          </w:p>
        </w:tc>
        <w:tc>
          <w:tcPr>
            <w:tcW w:w="1291" w:type="dxa"/>
            <w:tcBorders>
              <w:top w:val="nil"/>
              <w:left w:val="nil"/>
              <w:bottom w:val="single" w:sz="4" w:space="0" w:color="auto"/>
              <w:right w:val="single" w:sz="4" w:space="0" w:color="auto"/>
            </w:tcBorders>
            <w:shd w:val="clear" w:color="auto" w:fill="auto"/>
            <w:noWrap/>
            <w:hideMark/>
          </w:tcPr>
          <w:p w14:paraId="1BA6671E"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6</w:t>
            </w:r>
          </w:p>
        </w:tc>
        <w:tc>
          <w:tcPr>
            <w:tcW w:w="1799" w:type="dxa"/>
            <w:tcBorders>
              <w:top w:val="nil"/>
              <w:left w:val="nil"/>
              <w:bottom w:val="single" w:sz="4" w:space="0" w:color="auto"/>
              <w:right w:val="single" w:sz="4" w:space="0" w:color="auto"/>
            </w:tcBorders>
            <w:shd w:val="clear" w:color="auto" w:fill="auto"/>
            <w:noWrap/>
            <w:hideMark/>
          </w:tcPr>
          <w:p w14:paraId="59CEB5F3"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0</w:t>
            </w:r>
          </w:p>
        </w:tc>
        <w:tc>
          <w:tcPr>
            <w:tcW w:w="1165" w:type="dxa"/>
            <w:tcBorders>
              <w:top w:val="nil"/>
              <w:left w:val="nil"/>
              <w:bottom w:val="single" w:sz="4" w:space="0" w:color="auto"/>
              <w:right w:val="single" w:sz="4" w:space="0" w:color="auto"/>
            </w:tcBorders>
            <w:shd w:val="clear" w:color="auto" w:fill="auto"/>
            <w:noWrap/>
            <w:hideMark/>
          </w:tcPr>
          <w:p w14:paraId="6A271320"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0</w:t>
            </w:r>
          </w:p>
        </w:tc>
        <w:tc>
          <w:tcPr>
            <w:tcW w:w="850" w:type="dxa"/>
            <w:tcBorders>
              <w:top w:val="single" w:sz="4" w:space="0" w:color="auto"/>
              <w:left w:val="nil"/>
              <w:bottom w:val="single" w:sz="4" w:space="0" w:color="auto"/>
              <w:right w:val="single" w:sz="4" w:space="0" w:color="auto"/>
            </w:tcBorders>
          </w:tcPr>
          <w:p w14:paraId="7815A962"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3</w:t>
            </w:r>
          </w:p>
        </w:tc>
        <w:tc>
          <w:tcPr>
            <w:tcW w:w="1554" w:type="dxa"/>
            <w:tcBorders>
              <w:top w:val="single" w:sz="4" w:space="0" w:color="auto"/>
              <w:left w:val="single" w:sz="4" w:space="0" w:color="auto"/>
              <w:bottom w:val="single" w:sz="4" w:space="0" w:color="auto"/>
              <w:right w:val="single" w:sz="4" w:space="0" w:color="auto"/>
            </w:tcBorders>
            <w:shd w:val="clear" w:color="auto" w:fill="auto"/>
            <w:noWrap/>
            <w:hideMark/>
          </w:tcPr>
          <w:p w14:paraId="721010FB"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3</w:t>
            </w:r>
          </w:p>
        </w:tc>
      </w:tr>
      <w:tr w:rsidR="00ED1A59" w:rsidRPr="00275FBD" w14:paraId="524CE55A" w14:textId="77777777" w:rsidTr="00435AD7">
        <w:trPr>
          <w:trHeight w:val="300"/>
          <w:jc w:val="center"/>
        </w:trPr>
        <w:tc>
          <w:tcPr>
            <w:tcW w:w="2403" w:type="dxa"/>
            <w:tcBorders>
              <w:top w:val="nil"/>
              <w:left w:val="single" w:sz="4" w:space="0" w:color="auto"/>
              <w:bottom w:val="single" w:sz="4" w:space="0" w:color="auto"/>
              <w:right w:val="single" w:sz="4" w:space="0" w:color="auto"/>
            </w:tcBorders>
            <w:shd w:val="clear" w:color="auto" w:fill="auto"/>
            <w:noWrap/>
            <w:hideMark/>
          </w:tcPr>
          <w:p w14:paraId="577BE044"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RE</w:t>
            </w:r>
          </w:p>
        </w:tc>
        <w:tc>
          <w:tcPr>
            <w:tcW w:w="1291" w:type="dxa"/>
            <w:tcBorders>
              <w:top w:val="nil"/>
              <w:left w:val="nil"/>
              <w:bottom w:val="single" w:sz="4" w:space="0" w:color="auto"/>
              <w:right w:val="single" w:sz="4" w:space="0" w:color="auto"/>
            </w:tcBorders>
            <w:shd w:val="clear" w:color="auto" w:fill="auto"/>
            <w:noWrap/>
            <w:hideMark/>
          </w:tcPr>
          <w:p w14:paraId="4657793A"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75</w:t>
            </w:r>
          </w:p>
        </w:tc>
        <w:tc>
          <w:tcPr>
            <w:tcW w:w="1799" w:type="dxa"/>
            <w:tcBorders>
              <w:top w:val="nil"/>
              <w:left w:val="nil"/>
              <w:bottom w:val="single" w:sz="4" w:space="0" w:color="auto"/>
              <w:right w:val="single" w:sz="4" w:space="0" w:color="auto"/>
            </w:tcBorders>
            <w:shd w:val="clear" w:color="auto" w:fill="auto"/>
            <w:noWrap/>
            <w:hideMark/>
          </w:tcPr>
          <w:p w14:paraId="24D28ED2"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0</w:t>
            </w:r>
          </w:p>
        </w:tc>
        <w:tc>
          <w:tcPr>
            <w:tcW w:w="1165" w:type="dxa"/>
            <w:tcBorders>
              <w:top w:val="nil"/>
              <w:left w:val="nil"/>
              <w:bottom w:val="single" w:sz="4" w:space="0" w:color="auto"/>
              <w:right w:val="single" w:sz="4" w:space="0" w:color="auto"/>
            </w:tcBorders>
            <w:shd w:val="clear" w:color="auto" w:fill="auto"/>
            <w:noWrap/>
            <w:hideMark/>
          </w:tcPr>
          <w:p w14:paraId="3CBDE595"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4</w:t>
            </w:r>
          </w:p>
        </w:tc>
        <w:tc>
          <w:tcPr>
            <w:tcW w:w="850" w:type="dxa"/>
            <w:tcBorders>
              <w:top w:val="nil"/>
              <w:left w:val="nil"/>
              <w:bottom w:val="single" w:sz="4" w:space="0" w:color="auto"/>
              <w:right w:val="single" w:sz="4" w:space="0" w:color="auto"/>
            </w:tcBorders>
          </w:tcPr>
          <w:p w14:paraId="5C1D500E" w14:textId="77777777" w:rsidR="00ED1A59" w:rsidRPr="00275FBD" w:rsidDel="003D44B3"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5</w:t>
            </w:r>
          </w:p>
        </w:tc>
        <w:tc>
          <w:tcPr>
            <w:tcW w:w="1554" w:type="dxa"/>
            <w:tcBorders>
              <w:top w:val="single" w:sz="4" w:space="0" w:color="auto"/>
              <w:left w:val="single" w:sz="4" w:space="0" w:color="auto"/>
              <w:bottom w:val="single" w:sz="4" w:space="0" w:color="auto"/>
              <w:right w:val="single" w:sz="4" w:space="0" w:color="auto"/>
            </w:tcBorders>
            <w:shd w:val="clear" w:color="auto" w:fill="auto"/>
            <w:noWrap/>
            <w:hideMark/>
          </w:tcPr>
          <w:p w14:paraId="6B951B80"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65</w:t>
            </w:r>
            <w:r w:rsidRPr="00275FBD">
              <w:rPr>
                <w:rFonts w:ascii="Calibri" w:hAnsi="Calibri"/>
                <w:color w:val="000000"/>
                <w:sz w:val="22"/>
                <w:szCs w:val="22"/>
                <w:vertAlign w:val="superscript"/>
                <w:lang w:val="sl-SI" w:eastAsia="en-US" w:bidi="hi-IN"/>
              </w:rPr>
              <w:t xml:space="preserve"> (2)</w:t>
            </w:r>
          </w:p>
        </w:tc>
      </w:tr>
      <w:tr w:rsidR="00ED1A59" w:rsidRPr="00275FBD" w14:paraId="43103036" w14:textId="77777777" w:rsidTr="00435AD7">
        <w:trPr>
          <w:trHeight w:val="300"/>
          <w:jc w:val="center"/>
        </w:trPr>
        <w:tc>
          <w:tcPr>
            <w:tcW w:w="2403" w:type="dxa"/>
            <w:tcBorders>
              <w:top w:val="nil"/>
              <w:left w:val="single" w:sz="4" w:space="0" w:color="auto"/>
              <w:bottom w:val="double" w:sz="4" w:space="0" w:color="auto"/>
              <w:right w:val="single" w:sz="4" w:space="0" w:color="auto"/>
            </w:tcBorders>
            <w:shd w:val="clear" w:color="auto" w:fill="auto"/>
            <w:noWrap/>
            <w:hideMark/>
          </w:tcPr>
          <w:p w14:paraId="6B077E3E"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SF</w:t>
            </w:r>
          </w:p>
        </w:tc>
        <w:tc>
          <w:tcPr>
            <w:tcW w:w="1291" w:type="dxa"/>
            <w:tcBorders>
              <w:top w:val="nil"/>
              <w:left w:val="nil"/>
              <w:bottom w:val="double" w:sz="4" w:space="0" w:color="auto"/>
              <w:right w:val="single" w:sz="4" w:space="0" w:color="auto"/>
            </w:tcBorders>
            <w:shd w:val="clear" w:color="auto" w:fill="auto"/>
            <w:noWrap/>
            <w:hideMark/>
          </w:tcPr>
          <w:p w14:paraId="1982F47B"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172</w:t>
            </w:r>
          </w:p>
        </w:tc>
        <w:tc>
          <w:tcPr>
            <w:tcW w:w="1799" w:type="dxa"/>
            <w:tcBorders>
              <w:top w:val="nil"/>
              <w:left w:val="nil"/>
              <w:bottom w:val="double" w:sz="4" w:space="0" w:color="auto"/>
              <w:right w:val="single" w:sz="4" w:space="0" w:color="auto"/>
            </w:tcBorders>
            <w:shd w:val="clear" w:color="auto" w:fill="auto"/>
            <w:noWrap/>
            <w:hideMark/>
          </w:tcPr>
          <w:p w14:paraId="4FE9D226"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28</w:t>
            </w:r>
          </w:p>
        </w:tc>
        <w:tc>
          <w:tcPr>
            <w:tcW w:w="1165" w:type="dxa"/>
            <w:tcBorders>
              <w:top w:val="nil"/>
              <w:left w:val="nil"/>
              <w:bottom w:val="double" w:sz="4" w:space="0" w:color="auto"/>
              <w:right w:val="single" w:sz="4" w:space="0" w:color="auto"/>
            </w:tcBorders>
            <w:shd w:val="clear" w:color="auto" w:fill="auto"/>
            <w:noWrap/>
            <w:hideMark/>
          </w:tcPr>
          <w:p w14:paraId="582FCFE0"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29</w:t>
            </w:r>
          </w:p>
        </w:tc>
        <w:tc>
          <w:tcPr>
            <w:tcW w:w="850" w:type="dxa"/>
            <w:tcBorders>
              <w:top w:val="nil"/>
              <w:left w:val="nil"/>
              <w:bottom w:val="double" w:sz="4" w:space="0" w:color="auto"/>
              <w:right w:val="single" w:sz="4" w:space="0" w:color="auto"/>
            </w:tcBorders>
          </w:tcPr>
          <w:p w14:paraId="3D469692"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7</w:t>
            </w:r>
          </w:p>
        </w:tc>
        <w:tc>
          <w:tcPr>
            <w:tcW w:w="1554" w:type="dxa"/>
            <w:tcBorders>
              <w:top w:val="single" w:sz="4" w:space="0" w:color="auto"/>
              <w:left w:val="single" w:sz="4" w:space="0" w:color="auto"/>
              <w:bottom w:val="double" w:sz="4" w:space="0" w:color="auto"/>
              <w:right w:val="single" w:sz="4" w:space="0" w:color="auto"/>
            </w:tcBorders>
            <w:shd w:val="clear" w:color="auto" w:fill="auto"/>
            <w:noWrap/>
            <w:hideMark/>
          </w:tcPr>
          <w:p w14:paraId="580B42D8"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108</w:t>
            </w:r>
          </w:p>
        </w:tc>
      </w:tr>
      <w:tr w:rsidR="00ED1A59" w:rsidRPr="00275FBD" w14:paraId="7293C509" w14:textId="77777777" w:rsidTr="00435AD7">
        <w:trPr>
          <w:trHeight w:val="300"/>
          <w:jc w:val="center"/>
        </w:trPr>
        <w:tc>
          <w:tcPr>
            <w:tcW w:w="2403" w:type="dxa"/>
            <w:tcBorders>
              <w:top w:val="double" w:sz="4" w:space="0" w:color="auto"/>
              <w:left w:val="single" w:sz="4" w:space="0" w:color="auto"/>
              <w:bottom w:val="single" w:sz="4" w:space="0" w:color="auto"/>
              <w:right w:val="single" w:sz="4" w:space="0" w:color="auto"/>
            </w:tcBorders>
            <w:shd w:val="clear" w:color="auto" w:fill="auto"/>
            <w:noWrap/>
          </w:tcPr>
          <w:p w14:paraId="5F1655FE" w14:textId="4209058F" w:rsidR="00ED1A59" w:rsidRPr="00275FBD" w:rsidRDefault="003D042C" w:rsidP="00B47BFF">
            <w:pPr>
              <w:jc w:val="center"/>
              <w:rPr>
                <w:rFonts w:ascii="Calibri" w:hAnsi="Calibri"/>
                <w:b/>
                <w:bCs/>
                <w:color w:val="000000"/>
                <w:sz w:val="22"/>
                <w:szCs w:val="22"/>
                <w:lang w:val="sl-SI" w:eastAsia="en-US" w:bidi="hi-IN"/>
              </w:rPr>
            </w:pPr>
            <w:r w:rsidRPr="00275FBD">
              <w:rPr>
                <w:rFonts w:ascii="Calibri" w:hAnsi="Calibri"/>
                <w:b/>
                <w:bCs/>
                <w:color w:val="000000"/>
                <w:sz w:val="22"/>
                <w:szCs w:val="22"/>
                <w:lang w:val="sl-SI" w:eastAsia="en-US" w:bidi="hi-IN"/>
              </w:rPr>
              <w:t xml:space="preserve">Skupno število </w:t>
            </w:r>
            <w:r w:rsidR="00EC5401" w:rsidRPr="00275FBD">
              <w:rPr>
                <w:rFonts w:ascii="Calibri" w:hAnsi="Calibri"/>
                <w:b/>
                <w:bCs/>
                <w:color w:val="000000"/>
                <w:sz w:val="22"/>
                <w:szCs w:val="22"/>
                <w:lang w:val="sl-SI" w:eastAsia="en-US" w:bidi="hi-IN"/>
              </w:rPr>
              <w:t>najdb</w:t>
            </w:r>
          </w:p>
        </w:tc>
        <w:tc>
          <w:tcPr>
            <w:tcW w:w="1291" w:type="dxa"/>
            <w:tcBorders>
              <w:top w:val="double" w:sz="4" w:space="0" w:color="auto"/>
              <w:left w:val="nil"/>
              <w:bottom w:val="single" w:sz="4" w:space="0" w:color="auto"/>
              <w:right w:val="single" w:sz="4" w:space="0" w:color="auto"/>
            </w:tcBorders>
            <w:shd w:val="clear" w:color="auto" w:fill="auto"/>
            <w:noWrap/>
          </w:tcPr>
          <w:p w14:paraId="76EDCAF6" w14:textId="06180F4F" w:rsidR="00ED1A59" w:rsidRPr="00275FBD" w:rsidRDefault="003E5115" w:rsidP="003E5115">
            <w:pPr>
              <w:jc w:val="center"/>
              <w:rPr>
                <w:rFonts w:ascii="Calibri" w:hAnsi="Calibri"/>
                <w:b/>
                <w:bCs/>
                <w:color w:val="000000"/>
                <w:sz w:val="22"/>
                <w:szCs w:val="22"/>
                <w:lang w:val="sl-SI" w:eastAsia="en-US" w:bidi="hi-IN"/>
              </w:rPr>
            </w:pPr>
            <w:r w:rsidRPr="00275FBD">
              <w:rPr>
                <w:rFonts w:ascii="Calibri" w:hAnsi="Calibri"/>
                <w:b/>
                <w:bCs/>
                <w:color w:val="000000"/>
                <w:sz w:val="22"/>
                <w:szCs w:val="22"/>
                <w:lang w:val="sl-SI" w:eastAsia="en-US" w:bidi="hi-IN"/>
              </w:rPr>
              <w:t>254</w:t>
            </w:r>
            <w:r w:rsidRPr="00275FBD">
              <w:rPr>
                <w:rFonts w:ascii="Calibri" w:hAnsi="Calibri"/>
                <w:b/>
                <w:bCs/>
                <w:color w:val="000000"/>
                <w:sz w:val="22"/>
                <w:szCs w:val="22"/>
                <w:vertAlign w:val="superscript"/>
                <w:lang w:val="sl-SI" w:eastAsia="en-US" w:bidi="hi-IN"/>
              </w:rPr>
              <w:t>(3)</w:t>
            </w:r>
          </w:p>
        </w:tc>
        <w:tc>
          <w:tcPr>
            <w:tcW w:w="1799" w:type="dxa"/>
            <w:tcBorders>
              <w:top w:val="double" w:sz="4" w:space="0" w:color="auto"/>
              <w:left w:val="nil"/>
              <w:bottom w:val="single" w:sz="4" w:space="0" w:color="auto"/>
              <w:right w:val="single" w:sz="4" w:space="0" w:color="auto"/>
            </w:tcBorders>
            <w:shd w:val="clear" w:color="auto" w:fill="auto"/>
            <w:noWrap/>
          </w:tcPr>
          <w:p w14:paraId="1B902978" w14:textId="77777777" w:rsidR="00ED1A59" w:rsidRPr="00275FBD" w:rsidRDefault="00ED1A59" w:rsidP="00B47BFF">
            <w:pPr>
              <w:jc w:val="center"/>
              <w:rPr>
                <w:rFonts w:ascii="Calibri" w:hAnsi="Calibri"/>
                <w:b/>
                <w:bCs/>
                <w:color w:val="000000"/>
                <w:sz w:val="22"/>
                <w:szCs w:val="22"/>
                <w:lang w:val="sl-SI" w:eastAsia="en-US" w:bidi="hi-IN"/>
              </w:rPr>
            </w:pPr>
            <w:r w:rsidRPr="00275FBD">
              <w:rPr>
                <w:rFonts w:ascii="Calibri" w:hAnsi="Calibri"/>
                <w:b/>
                <w:bCs/>
                <w:color w:val="000000"/>
                <w:sz w:val="22"/>
                <w:szCs w:val="22"/>
                <w:lang w:val="sl-SI" w:eastAsia="en-US" w:bidi="hi-IN"/>
              </w:rPr>
              <w:t>28</w:t>
            </w:r>
          </w:p>
        </w:tc>
        <w:tc>
          <w:tcPr>
            <w:tcW w:w="1165" w:type="dxa"/>
            <w:tcBorders>
              <w:top w:val="double" w:sz="4" w:space="0" w:color="auto"/>
              <w:left w:val="nil"/>
              <w:bottom w:val="single" w:sz="4" w:space="0" w:color="auto"/>
              <w:right w:val="single" w:sz="4" w:space="0" w:color="auto"/>
            </w:tcBorders>
            <w:shd w:val="clear" w:color="auto" w:fill="auto"/>
            <w:noWrap/>
          </w:tcPr>
          <w:p w14:paraId="04939BDE" w14:textId="77777777" w:rsidR="00ED1A59" w:rsidRPr="00275FBD" w:rsidDel="005F2AD9" w:rsidRDefault="00ED1A59" w:rsidP="00B47BFF">
            <w:pPr>
              <w:jc w:val="center"/>
              <w:rPr>
                <w:rFonts w:ascii="Calibri" w:hAnsi="Calibri"/>
                <w:b/>
                <w:bCs/>
                <w:color w:val="000000"/>
                <w:sz w:val="22"/>
                <w:szCs w:val="22"/>
                <w:lang w:val="sl-SI" w:eastAsia="en-US" w:bidi="hi-IN"/>
              </w:rPr>
            </w:pPr>
            <w:r w:rsidRPr="00275FBD">
              <w:rPr>
                <w:rFonts w:ascii="Calibri" w:hAnsi="Calibri"/>
                <w:b/>
                <w:bCs/>
                <w:color w:val="000000"/>
                <w:sz w:val="22"/>
                <w:szCs w:val="22"/>
                <w:lang w:val="sl-SI" w:eastAsia="en-US" w:bidi="hi-IN"/>
              </w:rPr>
              <w:t>33</w:t>
            </w:r>
          </w:p>
        </w:tc>
        <w:tc>
          <w:tcPr>
            <w:tcW w:w="850" w:type="dxa"/>
            <w:tcBorders>
              <w:top w:val="double" w:sz="4" w:space="0" w:color="auto"/>
              <w:left w:val="nil"/>
              <w:bottom w:val="single" w:sz="4" w:space="0" w:color="auto"/>
              <w:right w:val="single" w:sz="4" w:space="0" w:color="auto"/>
            </w:tcBorders>
          </w:tcPr>
          <w:p w14:paraId="2DCF3AC3" w14:textId="77777777" w:rsidR="00ED1A59" w:rsidRPr="00275FBD" w:rsidRDefault="00ED1A59" w:rsidP="00B47BFF">
            <w:pPr>
              <w:jc w:val="center"/>
              <w:rPr>
                <w:rFonts w:ascii="Calibri" w:hAnsi="Calibri"/>
                <w:b/>
                <w:bCs/>
                <w:color w:val="000000"/>
                <w:sz w:val="22"/>
                <w:szCs w:val="22"/>
                <w:lang w:val="sl-SI" w:eastAsia="en-US" w:bidi="hi-IN"/>
              </w:rPr>
            </w:pPr>
            <w:r w:rsidRPr="00275FBD">
              <w:rPr>
                <w:rFonts w:ascii="Calibri" w:hAnsi="Calibri"/>
                <w:b/>
                <w:bCs/>
                <w:color w:val="000000"/>
                <w:sz w:val="22"/>
                <w:szCs w:val="22"/>
                <w:lang w:val="sl-SI" w:eastAsia="en-US" w:bidi="hi-IN"/>
              </w:rPr>
              <w:t>15</w:t>
            </w:r>
          </w:p>
        </w:tc>
        <w:tc>
          <w:tcPr>
            <w:tcW w:w="1554" w:type="dxa"/>
            <w:tcBorders>
              <w:top w:val="double" w:sz="4" w:space="0" w:color="auto"/>
              <w:left w:val="single" w:sz="4" w:space="0" w:color="auto"/>
              <w:bottom w:val="single" w:sz="4" w:space="0" w:color="auto"/>
              <w:right w:val="single" w:sz="4" w:space="0" w:color="auto"/>
            </w:tcBorders>
            <w:shd w:val="clear" w:color="auto" w:fill="auto"/>
            <w:noWrap/>
          </w:tcPr>
          <w:p w14:paraId="020E1DA4" w14:textId="77777777" w:rsidR="00ED1A59" w:rsidRPr="00275FBD" w:rsidRDefault="00ED1A59" w:rsidP="00B47BFF">
            <w:pPr>
              <w:jc w:val="center"/>
              <w:rPr>
                <w:rFonts w:ascii="Calibri" w:hAnsi="Calibri"/>
                <w:b/>
                <w:bCs/>
                <w:color w:val="000000"/>
                <w:sz w:val="22"/>
                <w:szCs w:val="22"/>
                <w:lang w:val="sl-SI" w:eastAsia="en-US" w:bidi="hi-IN"/>
              </w:rPr>
            </w:pPr>
            <w:r w:rsidRPr="00275FBD">
              <w:rPr>
                <w:rFonts w:ascii="Calibri" w:hAnsi="Calibri"/>
                <w:b/>
                <w:bCs/>
                <w:color w:val="000000"/>
                <w:sz w:val="22"/>
                <w:szCs w:val="22"/>
                <w:lang w:val="sl-SI" w:eastAsia="en-US" w:bidi="hi-IN"/>
              </w:rPr>
              <w:t>176</w:t>
            </w:r>
          </w:p>
        </w:tc>
      </w:tr>
    </w:tbl>
    <w:p w14:paraId="76C378E9" w14:textId="04454F53" w:rsidR="003D042C" w:rsidRPr="00275FBD" w:rsidRDefault="003D042C" w:rsidP="00ED1A59">
      <w:pPr>
        <w:rPr>
          <w:lang w:val="sl-SI"/>
        </w:rPr>
      </w:pPr>
      <w:r w:rsidRPr="00275FBD">
        <w:rPr>
          <w:lang w:val="sl-SI"/>
        </w:rPr>
        <w:t xml:space="preserve">Pripombe </w:t>
      </w:r>
      <w:r w:rsidR="00516AD0">
        <w:rPr>
          <w:lang w:val="sl-SI"/>
        </w:rPr>
        <w:t>k</w:t>
      </w:r>
      <w:r w:rsidR="00516AD0" w:rsidRPr="00275FBD">
        <w:rPr>
          <w:lang w:val="sl-SI"/>
        </w:rPr>
        <w:t xml:space="preserve"> </w:t>
      </w:r>
      <w:r w:rsidRPr="00275FBD">
        <w:rPr>
          <w:lang w:val="sl-SI"/>
        </w:rPr>
        <w:t>tabel</w:t>
      </w:r>
      <w:r w:rsidR="00516AD0">
        <w:rPr>
          <w:lang w:val="sl-SI"/>
        </w:rPr>
        <w:t>i</w:t>
      </w:r>
      <w:r w:rsidRPr="00275FBD">
        <w:rPr>
          <w:lang w:val="sl-SI"/>
        </w:rPr>
        <w:t xml:space="preserve"> 5-4:</w:t>
      </w:r>
    </w:p>
    <w:p w14:paraId="1A8086F2" w14:textId="7200E04B" w:rsidR="00ED1A59" w:rsidRPr="00275FBD" w:rsidRDefault="00ED1A59" w:rsidP="00ED1A59">
      <w:pPr>
        <w:ind w:left="709" w:hanging="709"/>
        <w:rPr>
          <w:rFonts w:cs="TimesNewRomanPSMT"/>
          <w:szCs w:val="20"/>
          <w:lang w:val="sl-SI" w:eastAsia="en-GB"/>
        </w:rPr>
      </w:pPr>
      <w:r w:rsidRPr="00275FBD">
        <w:rPr>
          <w:rFonts w:cs="TimesNewRomanPSMT"/>
          <w:szCs w:val="20"/>
          <w:lang w:val="sl-SI" w:eastAsia="en-GB"/>
        </w:rPr>
        <w:t>1.</w:t>
      </w:r>
      <w:r w:rsidRPr="00275FBD">
        <w:rPr>
          <w:rFonts w:cs="TimesNewRomanPSMT"/>
          <w:szCs w:val="20"/>
          <w:lang w:val="sl-SI" w:eastAsia="en-GB"/>
        </w:rPr>
        <w:tab/>
      </w:r>
      <w:r w:rsidR="00F8499D">
        <w:rPr>
          <w:rFonts w:cs="TimesNewRomanPSMT"/>
          <w:szCs w:val="20"/>
          <w:lang w:val="sl-SI" w:eastAsia="en-GB"/>
        </w:rPr>
        <w:t>Neposred</w:t>
      </w:r>
      <w:r w:rsidR="003D042C" w:rsidRPr="00275FBD">
        <w:rPr>
          <w:rFonts w:cs="TimesNewRomanPSMT"/>
          <w:szCs w:val="20"/>
          <w:lang w:val="sl-SI" w:eastAsia="en-GB"/>
        </w:rPr>
        <w:t>en vnos v IAP / CAP</w:t>
      </w:r>
      <w:r w:rsidRPr="00275FBD">
        <w:rPr>
          <w:rFonts w:cs="TimesNewRomanPSMT"/>
          <w:szCs w:val="20"/>
          <w:lang w:val="sl-SI" w:eastAsia="en-GB"/>
        </w:rPr>
        <w:t xml:space="preserve"> (</w:t>
      </w:r>
      <w:r w:rsidR="003D042C" w:rsidRPr="00275FBD">
        <w:rPr>
          <w:rFonts w:cs="TimesNewRomanPSMT"/>
          <w:szCs w:val="20"/>
          <w:lang w:val="sl-SI" w:eastAsia="en-GB"/>
        </w:rPr>
        <w:t>»</w:t>
      </w:r>
      <w:r w:rsidRPr="00275FBD">
        <w:rPr>
          <w:rFonts w:cs="TimesNewRomanPSMT"/>
          <w:szCs w:val="20"/>
          <w:lang w:val="sl-SI" w:eastAsia="en-GB"/>
        </w:rPr>
        <w:t>IRR</w:t>
      </w:r>
      <w:r w:rsidR="003D042C" w:rsidRPr="00275FBD">
        <w:rPr>
          <w:rFonts w:cs="TimesNewRomanPSMT"/>
          <w:szCs w:val="20"/>
          <w:lang w:val="sl-SI" w:eastAsia="en-GB"/>
        </w:rPr>
        <w:t>«</w:t>
      </w:r>
      <w:r w:rsidRPr="00275FBD">
        <w:rPr>
          <w:rFonts w:cs="TimesNewRomanPSMT"/>
          <w:szCs w:val="20"/>
          <w:lang w:val="sl-SI" w:eastAsia="en-GB"/>
        </w:rPr>
        <w:t>).</w:t>
      </w:r>
    </w:p>
    <w:p w14:paraId="3D5E516E" w14:textId="4F8C4A41" w:rsidR="003D042C" w:rsidRPr="00275FBD" w:rsidRDefault="00ED1A59" w:rsidP="00ED1A59">
      <w:pPr>
        <w:ind w:left="709" w:hanging="709"/>
        <w:rPr>
          <w:rFonts w:cs="TimesNewRomanPSMT"/>
          <w:szCs w:val="20"/>
          <w:lang w:val="sl-SI" w:eastAsia="en-GB"/>
        </w:rPr>
      </w:pPr>
      <w:r w:rsidRPr="00275FBD">
        <w:rPr>
          <w:rFonts w:cs="TimesNewRomanPSMT"/>
          <w:szCs w:val="20"/>
          <w:lang w:val="sl-SI" w:eastAsia="en-GB"/>
        </w:rPr>
        <w:t>2.</w:t>
      </w:r>
      <w:r w:rsidRPr="00275FBD">
        <w:rPr>
          <w:rFonts w:cs="TimesNewRomanPSMT"/>
          <w:szCs w:val="20"/>
          <w:lang w:val="sl-SI" w:eastAsia="en-GB"/>
        </w:rPr>
        <w:tab/>
      </w:r>
      <w:r w:rsidR="003D042C" w:rsidRPr="00275FBD">
        <w:rPr>
          <w:rFonts w:cs="TimesNewRomanPSMT"/>
          <w:szCs w:val="20"/>
          <w:lang w:val="sl-SI" w:eastAsia="en-GB"/>
        </w:rPr>
        <w:t xml:space="preserve">Od preostalih 66 </w:t>
      </w:r>
      <w:r w:rsidR="00BD5705" w:rsidRPr="00275FBD">
        <w:rPr>
          <w:rFonts w:cs="TimesNewRomanPSMT"/>
          <w:szCs w:val="20"/>
          <w:lang w:val="sl-SI" w:eastAsia="en-GB"/>
        </w:rPr>
        <w:t xml:space="preserve">najdb </w:t>
      </w:r>
      <w:r w:rsidR="003D042C" w:rsidRPr="00275FBD">
        <w:rPr>
          <w:rFonts w:cs="TimesNewRomanPSMT"/>
          <w:szCs w:val="20"/>
          <w:lang w:val="sl-SI" w:eastAsia="en-GB"/>
        </w:rPr>
        <w:t xml:space="preserve">(75-4-5 = 66) </w:t>
      </w:r>
      <w:r w:rsidR="00237606">
        <w:rPr>
          <w:rFonts w:cs="TimesNewRomanPSMT"/>
          <w:szCs w:val="20"/>
          <w:lang w:val="sl-SI" w:eastAsia="en-GB"/>
        </w:rPr>
        <w:t xml:space="preserve">kategorije </w:t>
      </w:r>
      <w:r w:rsidR="003D042C" w:rsidRPr="00275FBD">
        <w:rPr>
          <w:rFonts w:cs="TimesNewRomanPSMT"/>
          <w:szCs w:val="20"/>
          <w:lang w:val="sl-SI" w:eastAsia="en-GB"/>
        </w:rPr>
        <w:t>RE en</w:t>
      </w:r>
      <w:r w:rsidR="00EC5401" w:rsidRPr="00275FBD">
        <w:rPr>
          <w:rFonts w:cs="TimesNewRomanPSMT"/>
          <w:szCs w:val="20"/>
          <w:lang w:val="sl-SI" w:eastAsia="en-GB"/>
        </w:rPr>
        <w:t>a</w:t>
      </w:r>
      <w:r w:rsidR="003D042C" w:rsidRPr="00275FBD">
        <w:rPr>
          <w:rFonts w:cs="TimesNewRomanPSMT"/>
          <w:szCs w:val="20"/>
          <w:lang w:val="sl-SI" w:eastAsia="en-GB"/>
        </w:rPr>
        <w:t xml:space="preserve"> </w:t>
      </w:r>
      <w:r w:rsidR="00EC5401" w:rsidRPr="00275FBD">
        <w:rPr>
          <w:rFonts w:cs="TimesNewRomanPSMT"/>
          <w:szCs w:val="20"/>
          <w:lang w:val="sl-SI" w:eastAsia="en-GB"/>
        </w:rPr>
        <w:t>najdba</w:t>
      </w:r>
      <w:r w:rsidR="003D042C" w:rsidRPr="00275FBD">
        <w:rPr>
          <w:rFonts w:cs="TimesNewRomanPSMT"/>
          <w:szCs w:val="20"/>
          <w:lang w:val="sl-SI" w:eastAsia="en-GB"/>
        </w:rPr>
        <w:t xml:space="preserve"> (</w:t>
      </w:r>
      <w:r w:rsidR="00E72C5E" w:rsidRPr="00275FBD">
        <w:rPr>
          <w:rFonts w:cs="TimesNewRomanPSMT"/>
          <w:szCs w:val="20"/>
          <w:lang w:val="sl-SI" w:eastAsia="en-GB"/>
        </w:rPr>
        <w:t xml:space="preserve">PSR3 </w:t>
      </w:r>
      <w:r w:rsidR="003D042C" w:rsidRPr="00275FBD">
        <w:rPr>
          <w:rFonts w:cs="TimesNewRomanPSMT"/>
          <w:szCs w:val="20"/>
          <w:lang w:val="sl-SI" w:eastAsia="en-GB"/>
        </w:rPr>
        <w:t>1.1-005) ni bil</w:t>
      </w:r>
      <w:r w:rsidR="00EC5401" w:rsidRPr="00275FBD">
        <w:rPr>
          <w:rFonts w:cs="TimesNewRomanPSMT"/>
          <w:szCs w:val="20"/>
          <w:lang w:val="sl-SI" w:eastAsia="en-GB"/>
        </w:rPr>
        <w:t>a</w:t>
      </w:r>
      <w:r w:rsidR="003D042C" w:rsidRPr="00275FBD">
        <w:rPr>
          <w:rFonts w:cs="TimesNewRomanPSMT"/>
          <w:szCs w:val="20"/>
          <w:lang w:val="sl-SI" w:eastAsia="en-GB"/>
        </w:rPr>
        <w:t xml:space="preserve"> uvrščen</w:t>
      </w:r>
      <w:r w:rsidR="00EC5401" w:rsidRPr="00275FBD">
        <w:rPr>
          <w:rFonts w:cs="TimesNewRomanPSMT"/>
          <w:szCs w:val="20"/>
          <w:lang w:val="sl-SI" w:eastAsia="en-GB"/>
        </w:rPr>
        <w:t>a</w:t>
      </w:r>
      <w:r w:rsidR="003D042C" w:rsidRPr="00275FBD">
        <w:rPr>
          <w:rFonts w:cs="TimesNewRomanPSMT"/>
          <w:szCs w:val="20"/>
          <w:lang w:val="sl-SI" w:eastAsia="en-GB"/>
        </w:rPr>
        <w:t>, ker je bil</w:t>
      </w:r>
      <w:r w:rsidR="00EC5401" w:rsidRPr="00275FBD">
        <w:rPr>
          <w:rFonts w:cs="TimesNewRomanPSMT"/>
          <w:szCs w:val="20"/>
          <w:lang w:val="sl-SI" w:eastAsia="en-GB"/>
        </w:rPr>
        <w:t>a</w:t>
      </w:r>
      <w:r w:rsidR="003D042C" w:rsidRPr="00275FBD">
        <w:rPr>
          <w:rFonts w:cs="TimesNewRomanPSMT"/>
          <w:szCs w:val="20"/>
          <w:lang w:val="sl-SI" w:eastAsia="en-GB"/>
        </w:rPr>
        <w:t xml:space="preserve"> evidentiran</w:t>
      </w:r>
      <w:r w:rsidR="00EC5401" w:rsidRPr="00275FBD">
        <w:rPr>
          <w:rFonts w:cs="TimesNewRomanPSMT"/>
          <w:szCs w:val="20"/>
          <w:lang w:val="sl-SI" w:eastAsia="en-GB"/>
        </w:rPr>
        <w:t>a</w:t>
      </w:r>
      <w:r w:rsidR="003D042C" w:rsidRPr="00275FBD">
        <w:rPr>
          <w:rFonts w:cs="TimesNewRomanPSMT"/>
          <w:szCs w:val="20"/>
          <w:lang w:val="sl-SI" w:eastAsia="en-GB"/>
        </w:rPr>
        <w:t xml:space="preserve"> kot pozitivna </w:t>
      </w:r>
      <w:r w:rsidR="00DE6E8B">
        <w:rPr>
          <w:rFonts w:cs="TimesNewRomanPSMT"/>
          <w:szCs w:val="20"/>
          <w:lang w:val="sl-SI" w:eastAsia="en-GB"/>
        </w:rPr>
        <w:t>ugotovitev</w:t>
      </w:r>
      <w:r w:rsidR="003D042C" w:rsidRPr="00275FBD">
        <w:rPr>
          <w:rFonts w:cs="TimesNewRomanPSMT"/>
          <w:szCs w:val="20"/>
          <w:lang w:val="sl-SI" w:eastAsia="en-GB"/>
        </w:rPr>
        <w:t>, ki ne potrebuje razvrščanja ali razrešitve.</w:t>
      </w:r>
    </w:p>
    <w:p w14:paraId="3CEC2874" w14:textId="4702EB30" w:rsidR="003E5115" w:rsidRPr="00275FBD" w:rsidRDefault="003E5115" w:rsidP="00ED1A59">
      <w:pPr>
        <w:ind w:left="709" w:hanging="709"/>
        <w:rPr>
          <w:rFonts w:cs="TimesNewRomanPSMT"/>
          <w:szCs w:val="20"/>
          <w:lang w:val="sl-SI" w:eastAsia="en-GB"/>
        </w:rPr>
      </w:pPr>
      <w:r w:rsidRPr="00275FBD">
        <w:rPr>
          <w:rFonts w:cs="TimesNewRomanPSMT"/>
          <w:szCs w:val="20"/>
          <w:lang w:val="sl-SI" w:eastAsia="en-GB"/>
        </w:rPr>
        <w:lastRenderedPageBreak/>
        <w:t>3.</w:t>
      </w:r>
      <w:r w:rsidRPr="00275FBD">
        <w:rPr>
          <w:rFonts w:cs="TimesNewRomanPSMT"/>
          <w:szCs w:val="20"/>
          <w:lang w:val="sl-SI" w:eastAsia="en-GB"/>
        </w:rPr>
        <w:tab/>
      </w:r>
      <w:r w:rsidR="003D042C" w:rsidRPr="00275FBD">
        <w:rPr>
          <w:rFonts w:cs="TimesNewRomanPSMT"/>
          <w:szCs w:val="20"/>
          <w:lang w:val="sl-SI" w:eastAsia="en-GB"/>
        </w:rPr>
        <w:t>Upoštevajoč</w:t>
      </w:r>
      <w:r w:rsidRPr="00275FBD">
        <w:rPr>
          <w:rFonts w:cs="TimesNewRomanPSMT"/>
          <w:szCs w:val="20"/>
          <w:lang w:val="sl-SI" w:eastAsia="en-GB"/>
        </w:rPr>
        <w:t xml:space="preserve"> 176+15+33+28 = 252 + </w:t>
      </w:r>
      <w:r w:rsidR="003D042C" w:rsidRPr="00275FBD">
        <w:rPr>
          <w:rFonts w:cs="TimesNewRomanPSMT"/>
          <w:szCs w:val="20"/>
          <w:lang w:val="sl-SI" w:eastAsia="en-GB"/>
        </w:rPr>
        <w:t>omenjen</w:t>
      </w:r>
      <w:r w:rsidR="00EC5401" w:rsidRPr="00275FBD">
        <w:rPr>
          <w:rFonts w:cs="TimesNewRomanPSMT"/>
          <w:szCs w:val="20"/>
          <w:lang w:val="sl-SI" w:eastAsia="en-GB"/>
        </w:rPr>
        <w:t>a</w:t>
      </w:r>
      <w:r w:rsidR="003D042C" w:rsidRPr="00275FBD">
        <w:rPr>
          <w:rFonts w:cs="TimesNewRomanPSMT"/>
          <w:szCs w:val="20"/>
          <w:lang w:val="sl-SI" w:eastAsia="en-GB"/>
        </w:rPr>
        <w:t xml:space="preserve"> </w:t>
      </w:r>
      <w:r w:rsidR="00EC5401" w:rsidRPr="00275FBD">
        <w:rPr>
          <w:rFonts w:cs="TimesNewRomanPSMT"/>
          <w:szCs w:val="20"/>
          <w:lang w:val="sl-SI" w:eastAsia="en-GB"/>
        </w:rPr>
        <w:t>najdba</w:t>
      </w:r>
      <w:r w:rsidRPr="00275FBD">
        <w:rPr>
          <w:rFonts w:cs="TimesNewRomanPSMT"/>
          <w:szCs w:val="20"/>
          <w:lang w:val="sl-SI" w:eastAsia="en-GB"/>
        </w:rPr>
        <w:t xml:space="preserve"> </w:t>
      </w:r>
      <w:r w:rsidR="00E72C5E" w:rsidRPr="00275FBD">
        <w:rPr>
          <w:rFonts w:cs="TimesNewRomanPSMT"/>
          <w:szCs w:val="20"/>
          <w:lang w:val="sl-SI" w:eastAsia="en-GB"/>
        </w:rPr>
        <w:t xml:space="preserve">PSR3 </w:t>
      </w:r>
      <w:r w:rsidRPr="00275FBD">
        <w:rPr>
          <w:rFonts w:cs="TimesNewRomanPSMT"/>
          <w:szCs w:val="20"/>
          <w:lang w:val="sl-SI" w:eastAsia="en-GB"/>
        </w:rPr>
        <w:t>6.1-023 (</w:t>
      </w:r>
      <w:r w:rsidR="003D042C" w:rsidRPr="00275FBD">
        <w:rPr>
          <w:rFonts w:cs="TimesNewRomanPSMT"/>
          <w:szCs w:val="20"/>
          <w:lang w:val="sl-SI" w:eastAsia="en-GB"/>
        </w:rPr>
        <w:t>iz</w:t>
      </w:r>
      <w:r w:rsidRPr="00275FBD">
        <w:rPr>
          <w:rFonts w:cs="TimesNewRomanPSMT"/>
          <w:szCs w:val="20"/>
          <w:lang w:val="sl-SI" w:eastAsia="en-GB"/>
        </w:rPr>
        <w:t xml:space="preserve"> </w:t>
      </w:r>
      <w:r w:rsidR="00716249">
        <w:rPr>
          <w:rFonts w:cs="TimesNewRomanPSMT"/>
          <w:szCs w:val="20"/>
          <w:lang w:val="sl-SI" w:eastAsia="en-GB"/>
        </w:rPr>
        <w:t xml:space="preserve">varnostne </w:t>
      </w:r>
      <w:r w:rsidR="00716249">
        <w:rPr>
          <w:lang w:val="sl-SI"/>
        </w:rPr>
        <w:t>vsebine</w:t>
      </w:r>
      <w:r w:rsidR="00716249" w:rsidRPr="00275FBD">
        <w:rPr>
          <w:rFonts w:cs="TimesNewRomanPSMT"/>
          <w:szCs w:val="20"/>
          <w:lang w:val="sl-SI" w:eastAsia="en-GB"/>
        </w:rPr>
        <w:t xml:space="preserve"> </w:t>
      </w:r>
      <w:r w:rsidR="003D042C" w:rsidRPr="00275FBD">
        <w:rPr>
          <w:rFonts w:cs="TimesNewRomanPSMT"/>
          <w:szCs w:val="20"/>
          <w:lang w:val="sl-SI" w:eastAsia="en-GB"/>
        </w:rPr>
        <w:t>»</w:t>
      </w:r>
      <w:r w:rsidRPr="00275FBD">
        <w:rPr>
          <w:rFonts w:cs="TimesNewRomanPSMT"/>
          <w:szCs w:val="20"/>
          <w:lang w:val="sl-SI" w:eastAsia="en-GB"/>
        </w:rPr>
        <w:t>17</w:t>
      </w:r>
      <w:r w:rsidR="003D042C" w:rsidRPr="00275FBD">
        <w:rPr>
          <w:rFonts w:cs="TimesNewRomanPSMT"/>
          <w:szCs w:val="20"/>
          <w:lang w:val="sl-SI" w:eastAsia="en-GB"/>
        </w:rPr>
        <w:t>«</w:t>
      </w:r>
      <w:r w:rsidRPr="00275FBD">
        <w:rPr>
          <w:rFonts w:cs="TimesNewRomanPSMT"/>
          <w:szCs w:val="20"/>
          <w:lang w:val="sl-SI" w:eastAsia="en-GB"/>
        </w:rPr>
        <w:t xml:space="preserve">, </w:t>
      </w:r>
      <w:r w:rsidR="00477FBC">
        <w:rPr>
          <w:rFonts w:cs="TimesNewRomanPSMT"/>
          <w:szCs w:val="20"/>
          <w:lang w:val="sl-SI" w:eastAsia="en-GB"/>
        </w:rPr>
        <w:t>neposredno vključena</w:t>
      </w:r>
      <w:r w:rsidR="003D042C" w:rsidRPr="00275FBD">
        <w:rPr>
          <w:rFonts w:cs="TimesNewRomanPSMT"/>
          <w:szCs w:val="20"/>
          <w:lang w:val="sl-SI" w:eastAsia="en-GB"/>
        </w:rPr>
        <w:t xml:space="preserve"> v podrobno razvrstitev</w:t>
      </w:r>
      <w:r w:rsidRPr="00275FBD">
        <w:rPr>
          <w:rFonts w:cs="TimesNewRomanPSMT"/>
          <w:szCs w:val="20"/>
          <w:lang w:val="sl-SI" w:eastAsia="en-GB"/>
        </w:rPr>
        <w:t xml:space="preserve">)) </w:t>
      </w:r>
      <w:r w:rsidR="003D042C" w:rsidRPr="00275FBD">
        <w:rPr>
          <w:rFonts w:cs="TimesNewRomanPSMT"/>
          <w:szCs w:val="20"/>
          <w:lang w:val="sl-SI" w:eastAsia="en-GB"/>
        </w:rPr>
        <w:t>+ pozitivna najdba</w:t>
      </w:r>
      <w:r w:rsidRPr="00275FBD">
        <w:rPr>
          <w:rFonts w:cs="TimesNewRomanPSMT"/>
          <w:szCs w:val="20"/>
          <w:lang w:val="sl-SI" w:eastAsia="en-GB"/>
        </w:rPr>
        <w:t xml:space="preserve"> </w:t>
      </w:r>
      <w:r w:rsidR="00E72C5E" w:rsidRPr="00275FBD">
        <w:rPr>
          <w:rFonts w:cs="TimesNewRomanPSMT"/>
          <w:szCs w:val="20"/>
          <w:lang w:val="sl-SI" w:eastAsia="en-GB"/>
        </w:rPr>
        <w:t xml:space="preserve">PSR3 </w:t>
      </w:r>
      <w:r w:rsidRPr="00275FBD">
        <w:rPr>
          <w:rFonts w:cs="TimesNewRomanPSMT"/>
          <w:szCs w:val="20"/>
          <w:lang w:val="sl-SI" w:eastAsia="en-GB"/>
        </w:rPr>
        <w:t xml:space="preserve">1.1-005 </w:t>
      </w:r>
      <w:r w:rsidR="003D042C" w:rsidRPr="00275FBD">
        <w:rPr>
          <w:rFonts w:cs="TimesNewRomanPSMT"/>
          <w:szCs w:val="20"/>
          <w:lang w:val="sl-SI" w:eastAsia="en-GB"/>
        </w:rPr>
        <w:t>(ne gre v razvrstitev)</w:t>
      </w:r>
      <w:r w:rsidRPr="00275FBD">
        <w:rPr>
          <w:rFonts w:cs="TimesNewRomanPSMT"/>
          <w:szCs w:val="20"/>
          <w:lang w:val="sl-SI" w:eastAsia="en-GB"/>
        </w:rPr>
        <w:t xml:space="preserve"> = 254.</w:t>
      </w:r>
    </w:p>
    <w:p w14:paraId="3FE325AB" w14:textId="77777777" w:rsidR="00F5563F" w:rsidRPr="00275FBD" w:rsidRDefault="00F5563F" w:rsidP="00ED1A59">
      <w:pPr>
        <w:ind w:left="709" w:hanging="709"/>
        <w:rPr>
          <w:rFonts w:cs="TimesNewRomanPSMT"/>
          <w:szCs w:val="20"/>
          <w:lang w:val="sl-SI" w:eastAsia="en-GB"/>
        </w:rPr>
      </w:pPr>
    </w:p>
    <w:p w14:paraId="27A5C727" w14:textId="6A02D11F" w:rsidR="00B8051C" w:rsidRPr="00275FBD" w:rsidRDefault="00B8051C" w:rsidP="00B8051C">
      <w:pPr>
        <w:pStyle w:val="Napis"/>
        <w:rPr>
          <w:lang w:val="sl-SI" w:eastAsia="en-GB"/>
        </w:rPr>
      </w:pPr>
      <w:bookmarkStart w:id="100" w:name="_Ref138426663"/>
      <w:bookmarkStart w:id="101" w:name="_Toc163197442"/>
      <w:r w:rsidRPr="00275FBD">
        <w:rPr>
          <w:lang w:val="sl-SI" w:eastAsia="en-GB"/>
        </w:rPr>
        <w:t xml:space="preserve">Tabela </w:t>
      </w:r>
      <w:r w:rsidR="00D51CB7" w:rsidRPr="00275FBD">
        <w:rPr>
          <w:lang w:val="sl-SI" w:eastAsia="en-GB"/>
        </w:rPr>
        <w:fldChar w:fldCharType="begin"/>
      </w:r>
      <w:r w:rsidR="00D51CB7" w:rsidRPr="00275FBD">
        <w:rPr>
          <w:lang w:val="sl-SI" w:eastAsia="en-GB"/>
        </w:rPr>
        <w:instrText xml:space="preserve"> STYLEREF 1 \s </w:instrText>
      </w:r>
      <w:r w:rsidR="00D51CB7" w:rsidRPr="00275FBD">
        <w:rPr>
          <w:lang w:val="sl-SI" w:eastAsia="en-GB"/>
        </w:rPr>
        <w:fldChar w:fldCharType="separate"/>
      </w:r>
      <w:r w:rsidR="00BA25CD">
        <w:rPr>
          <w:noProof/>
          <w:lang w:val="sl-SI" w:eastAsia="en-GB"/>
        </w:rPr>
        <w:t>5</w:t>
      </w:r>
      <w:r w:rsidR="00D51CB7" w:rsidRPr="00275FBD">
        <w:rPr>
          <w:lang w:val="sl-SI" w:eastAsia="en-GB"/>
        </w:rPr>
        <w:fldChar w:fldCharType="end"/>
      </w:r>
      <w:r w:rsidR="00D51CB7" w:rsidRPr="00275FBD">
        <w:rPr>
          <w:lang w:val="sl-SI" w:eastAsia="en-GB"/>
        </w:rPr>
        <w:noBreakHyphen/>
      </w:r>
      <w:r w:rsidR="00D51CB7" w:rsidRPr="00275FBD">
        <w:rPr>
          <w:lang w:val="sl-SI" w:eastAsia="en-GB"/>
        </w:rPr>
        <w:fldChar w:fldCharType="begin"/>
      </w:r>
      <w:r w:rsidR="00D51CB7" w:rsidRPr="00275FBD">
        <w:rPr>
          <w:lang w:val="sl-SI" w:eastAsia="en-GB"/>
        </w:rPr>
        <w:instrText xml:space="preserve"> SEQ Tabela \* ARABIC \s 1 </w:instrText>
      </w:r>
      <w:r w:rsidR="00D51CB7" w:rsidRPr="00275FBD">
        <w:rPr>
          <w:lang w:val="sl-SI" w:eastAsia="en-GB"/>
        </w:rPr>
        <w:fldChar w:fldCharType="separate"/>
      </w:r>
      <w:r w:rsidR="00BA25CD">
        <w:rPr>
          <w:noProof/>
          <w:lang w:val="sl-SI" w:eastAsia="en-GB"/>
        </w:rPr>
        <w:t>3</w:t>
      </w:r>
      <w:r w:rsidR="00D51CB7" w:rsidRPr="00275FBD">
        <w:rPr>
          <w:lang w:val="sl-SI" w:eastAsia="en-GB"/>
        </w:rPr>
        <w:fldChar w:fldCharType="end"/>
      </w:r>
      <w:bookmarkEnd w:id="100"/>
      <w:r w:rsidRPr="00275FBD">
        <w:rPr>
          <w:lang w:val="sl-SI" w:eastAsia="en-GB"/>
        </w:rPr>
        <w:t xml:space="preserve">: Profil </w:t>
      </w:r>
      <w:proofErr w:type="spellStart"/>
      <w:r w:rsidRPr="00275FBD">
        <w:rPr>
          <w:lang w:val="sl-SI" w:eastAsia="en-GB"/>
        </w:rPr>
        <w:t>rangiranih</w:t>
      </w:r>
      <w:proofErr w:type="spellEnd"/>
      <w:r w:rsidRPr="00275FBD">
        <w:rPr>
          <w:lang w:val="sl-SI" w:eastAsia="en-GB"/>
        </w:rPr>
        <w:t xml:space="preserve"> </w:t>
      </w:r>
      <w:r w:rsidR="00BD5705" w:rsidRPr="00275FBD">
        <w:rPr>
          <w:lang w:val="sl-SI" w:eastAsia="en-GB"/>
        </w:rPr>
        <w:t xml:space="preserve">najdb </w:t>
      </w:r>
      <w:r w:rsidRPr="00275FBD">
        <w:rPr>
          <w:lang w:val="sl-SI" w:eastAsia="en-GB"/>
        </w:rPr>
        <w:t>glede na kategorije primarnih atributov</w:t>
      </w:r>
      <w:bookmarkEnd w:id="101"/>
    </w:p>
    <w:tbl>
      <w:tblPr>
        <w:tblW w:w="9590" w:type="dxa"/>
        <w:jc w:val="center"/>
        <w:tblLook w:val="04A0" w:firstRow="1" w:lastRow="0" w:firstColumn="1" w:lastColumn="0" w:noHBand="0" w:noVBand="1"/>
      </w:tblPr>
      <w:tblGrid>
        <w:gridCol w:w="1935"/>
        <w:gridCol w:w="1560"/>
        <w:gridCol w:w="960"/>
        <w:gridCol w:w="960"/>
        <w:gridCol w:w="960"/>
        <w:gridCol w:w="960"/>
        <w:gridCol w:w="960"/>
        <w:gridCol w:w="1295"/>
      </w:tblGrid>
      <w:tr w:rsidR="00ED1A59" w:rsidRPr="00275FBD" w14:paraId="4CC4F9FB" w14:textId="77777777" w:rsidTr="00B47BFF">
        <w:trPr>
          <w:trHeight w:val="300"/>
          <w:jc w:val="center"/>
        </w:trPr>
        <w:tc>
          <w:tcPr>
            <w:tcW w:w="19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81BC4C" w14:textId="5020B100"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Primar</w:t>
            </w:r>
            <w:r w:rsidR="001604AE" w:rsidRPr="00275FBD">
              <w:rPr>
                <w:rFonts w:ascii="Calibri" w:hAnsi="Calibri"/>
                <w:color w:val="000000"/>
                <w:sz w:val="22"/>
                <w:szCs w:val="22"/>
                <w:lang w:val="sl-SI" w:eastAsia="en-US" w:bidi="hi-IN"/>
              </w:rPr>
              <w:t>ni</w:t>
            </w:r>
            <w:r w:rsidRPr="00275FBD">
              <w:rPr>
                <w:rFonts w:ascii="Calibri" w:hAnsi="Calibri"/>
                <w:color w:val="000000"/>
                <w:sz w:val="22"/>
                <w:szCs w:val="22"/>
                <w:lang w:val="sl-SI" w:eastAsia="en-US" w:bidi="hi-IN"/>
              </w:rPr>
              <w:t xml:space="preserve"> </w:t>
            </w:r>
            <w:r w:rsidR="001604AE" w:rsidRPr="00275FBD">
              <w:rPr>
                <w:rFonts w:ascii="Calibri" w:hAnsi="Calibri"/>
                <w:color w:val="000000"/>
                <w:sz w:val="22"/>
                <w:szCs w:val="22"/>
                <w:lang w:val="sl-SI" w:eastAsia="en-US" w:bidi="hi-IN"/>
              </w:rPr>
              <w:t>a</w:t>
            </w:r>
            <w:r w:rsidRPr="00275FBD">
              <w:rPr>
                <w:rFonts w:ascii="Calibri" w:hAnsi="Calibri"/>
                <w:color w:val="000000"/>
                <w:sz w:val="22"/>
                <w:szCs w:val="22"/>
                <w:lang w:val="sl-SI" w:eastAsia="en-US" w:bidi="hi-IN"/>
              </w:rPr>
              <w:t xml:space="preserve">tribut / </w:t>
            </w:r>
            <w:r w:rsidR="001604AE" w:rsidRPr="00275FBD">
              <w:rPr>
                <w:rFonts w:ascii="Calibri" w:hAnsi="Calibri"/>
                <w:color w:val="000000"/>
                <w:sz w:val="22"/>
                <w:szCs w:val="22"/>
                <w:lang w:val="sl-SI" w:eastAsia="en-US" w:bidi="hi-IN"/>
              </w:rPr>
              <w:t>k</w:t>
            </w:r>
            <w:r w:rsidRPr="00275FBD">
              <w:rPr>
                <w:rFonts w:ascii="Calibri" w:hAnsi="Calibri"/>
                <w:color w:val="000000"/>
                <w:sz w:val="22"/>
                <w:szCs w:val="22"/>
                <w:lang w:val="sl-SI" w:eastAsia="en-US" w:bidi="hi-IN"/>
              </w:rPr>
              <w:t>ategor</w:t>
            </w:r>
            <w:r w:rsidR="001604AE" w:rsidRPr="00275FBD">
              <w:rPr>
                <w:rFonts w:ascii="Calibri" w:hAnsi="Calibri"/>
                <w:color w:val="000000"/>
                <w:sz w:val="22"/>
                <w:szCs w:val="22"/>
                <w:lang w:val="sl-SI" w:eastAsia="en-US" w:bidi="hi-IN"/>
              </w:rPr>
              <w:t>ija</w:t>
            </w:r>
          </w:p>
        </w:tc>
        <w:tc>
          <w:tcPr>
            <w:tcW w:w="6360" w:type="dxa"/>
            <w:gridSpan w:val="6"/>
            <w:tcBorders>
              <w:top w:val="single" w:sz="4" w:space="0" w:color="auto"/>
              <w:left w:val="nil"/>
              <w:bottom w:val="single" w:sz="4" w:space="0" w:color="auto"/>
              <w:right w:val="single" w:sz="4" w:space="0" w:color="auto"/>
            </w:tcBorders>
            <w:shd w:val="clear" w:color="auto" w:fill="D9D9D9" w:themeFill="background1" w:themeFillShade="D9"/>
            <w:noWrap/>
            <w:hideMark/>
          </w:tcPr>
          <w:p w14:paraId="7021912A" w14:textId="5DF66F69" w:rsidR="00ED1A59" w:rsidRPr="00275FBD" w:rsidRDefault="001604AE"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Rang</w:t>
            </w:r>
          </w:p>
        </w:tc>
        <w:tc>
          <w:tcPr>
            <w:tcW w:w="1295" w:type="dxa"/>
            <w:vMerge w:val="restart"/>
            <w:tcBorders>
              <w:top w:val="single" w:sz="4" w:space="0" w:color="auto"/>
              <w:left w:val="nil"/>
              <w:right w:val="single" w:sz="4" w:space="0" w:color="auto"/>
            </w:tcBorders>
            <w:shd w:val="clear" w:color="auto" w:fill="D9D9D9" w:themeFill="background1" w:themeFillShade="D9"/>
            <w:vAlign w:val="center"/>
          </w:tcPr>
          <w:p w14:paraId="52CAE521" w14:textId="56057943" w:rsidR="00ED1A59" w:rsidRPr="00275FBD" w:rsidRDefault="00926019" w:rsidP="00B47BFF">
            <w:pPr>
              <w:jc w:val="center"/>
              <w:rPr>
                <w:rFonts w:ascii="Calibri" w:hAnsi="Calibri"/>
                <w:color w:val="000000"/>
                <w:sz w:val="22"/>
                <w:szCs w:val="22"/>
                <w:lang w:val="sl-SI" w:eastAsia="en-US" w:bidi="hi-IN"/>
              </w:rPr>
            </w:pPr>
            <w:r>
              <w:rPr>
                <w:rFonts w:ascii="Calibri" w:hAnsi="Calibri"/>
                <w:color w:val="000000"/>
                <w:sz w:val="22"/>
                <w:szCs w:val="22"/>
                <w:lang w:val="sl-SI" w:eastAsia="en-US" w:bidi="hi-IN"/>
              </w:rPr>
              <w:t>Skup</w:t>
            </w:r>
            <w:r w:rsidR="00EF2732">
              <w:rPr>
                <w:rFonts w:ascii="Calibri" w:hAnsi="Calibri"/>
                <w:color w:val="000000"/>
                <w:sz w:val="22"/>
                <w:szCs w:val="22"/>
                <w:lang w:val="sl-SI" w:eastAsia="en-US" w:bidi="hi-IN"/>
              </w:rPr>
              <w:t>aj</w:t>
            </w:r>
          </w:p>
        </w:tc>
      </w:tr>
      <w:tr w:rsidR="00ED1A59" w:rsidRPr="00275FBD" w14:paraId="154C7459" w14:textId="77777777" w:rsidTr="00B47BFF">
        <w:trPr>
          <w:trHeight w:val="58"/>
          <w:jc w:val="center"/>
        </w:trPr>
        <w:tc>
          <w:tcPr>
            <w:tcW w:w="19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B6E79A" w14:textId="77777777" w:rsidR="00ED1A59" w:rsidRPr="00275FBD" w:rsidRDefault="00ED1A59" w:rsidP="00B47BFF">
            <w:pPr>
              <w:jc w:val="left"/>
              <w:rPr>
                <w:rFonts w:ascii="Calibri" w:hAnsi="Calibri"/>
                <w:color w:val="000000"/>
                <w:sz w:val="22"/>
                <w:szCs w:val="22"/>
                <w:lang w:val="sl-SI" w:eastAsia="en-US" w:bidi="hi-IN"/>
              </w:rPr>
            </w:pP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72DFDB7B" w14:textId="77777777" w:rsidR="00ED1A59" w:rsidRPr="00275FBD" w:rsidRDefault="00ED1A59" w:rsidP="00B47BFF">
            <w:pPr>
              <w:jc w:val="center"/>
              <w:rPr>
                <w:rFonts w:ascii="Calibri" w:hAnsi="Calibri"/>
                <w:sz w:val="22"/>
                <w:szCs w:val="22"/>
                <w:lang w:val="sl-SI" w:eastAsia="en-US" w:bidi="hi-IN"/>
              </w:rPr>
            </w:pPr>
            <w:r w:rsidRPr="00275FBD">
              <w:rPr>
                <w:rFonts w:ascii="Calibri" w:hAnsi="Calibri"/>
                <w:sz w:val="22"/>
                <w:szCs w:val="22"/>
                <w:lang w:val="sl-SI" w:eastAsia="en-US" w:bidi="hi-IN"/>
              </w:rPr>
              <w:t>6</w:t>
            </w:r>
          </w:p>
        </w:tc>
        <w:tc>
          <w:tcPr>
            <w:tcW w:w="960" w:type="dxa"/>
            <w:tcBorders>
              <w:top w:val="nil"/>
              <w:left w:val="nil"/>
              <w:bottom w:val="single" w:sz="4" w:space="0" w:color="auto"/>
              <w:right w:val="single" w:sz="4" w:space="0" w:color="auto"/>
            </w:tcBorders>
            <w:shd w:val="clear" w:color="auto" w:fill="D9D9D9" w:themeFill="background1" w:themeFillShade="D9"/>
            <w:vAlign w:val="center"/>
            <w:hideMark/>
          </w:tcPr>
          <w:p w14:paraId="10F3E40A" w14:textId="77777777" w:rsidR="00ED1A59" w:rsidRPr="00275FBD" w:rsidRDefault="00ED1A59" w:rsidP="00B47BFF">
            <w:pPr>
              <w:jc w:val="center"/>
              <w:rPr>
                <w:rFonts w:ascii="Calibri" w:hAnsi="Calibri"/>
                <w:sz w:val="22"/>
                <w:szCs w:val="22"/>
                <w:lang w:val="sl-SI" w:eastAsia="en-US" w:bidi="hi-IN"/>
              </w:rPr>
            </w:pPr>
            <w:r w:rsidRPr="00275FBD">
              <w:rPr>
                <w:rFonts w:ascii="Calibri" w:hAnsi="Calibri"/>
                <w:sz w:val="22"/>
                <w:szCs w:val="22"/>
                <w:lang w:val="sl-SI" w:eastAsia="en-US" w:bidi="hi-IN"/>
              </w:rPr>
              <w:t>5</w:t>
            </w:r>
          </w:p>
        </w:tc>
        <w:tc>
          <w:tcPr>
            <w:tcW w:w="960" w:type="dxa"/>
            <w:tcBorders>
              <w:top w:val="nil"/>
              <w:left w:val="nil"/>
              <w:bottom w:val="single" w:sz="4" w:space="0" w:color="auto"/>
              <w:right w:val="single" w:sz="4" w:space="0" w:color="auto"/>
            </w:tcBorders>
            <w:shd w:val="clear" w:color="auto" w:fill="D9D9D9" w:themeFill="background1" w:themeFillShade="D9"/>
            <w:vAlign w:val="center"/>
            <w:hideMark/>
          </w:tcPr>
          <w:p w14:paraId="77800BE7" w14:textId="77777777" w:rsidR="00ED1A59" w:rsidRPr="00275FBD" w:rsidRDefault="00ED1A59" w:rsidP="00B47BFF">
            <w:pPr>
              <w:jc w:val="center"/>
              <w:rPr>
                <w:rFonts w:ascii="Calibri" w:hAnsi="Calibri"/>
                <w:sz w:val="22"/>
                <w:szCs w:val="22"/>
                <w:lang w:val="sl-SI" w:eastAsia="en-US" w:bidi="hi-IN"/>
              </w:rPr>
            </w:pPr>
            <w:r w:rsidRPr="00275FBD">
              <w:rPr>
                <w:rFonts w:ascii="Calibri" w:hAnsi="Calibri"/>
                <w:sz w:val="22"/>
                <w:szCs w:val="22"/>
                <w:lang w:val="sl-SI" w:eastAsia="en-US" w:bidi="hi-IN"/>
              </w:rPr>
              <w:t>4</w:t>
            </w:r>
          </w:p>
        </w:tc>
        <w:tc>
          <w:tcPr>
            <w:tcW w:w="960" w:type="dxa"/>
            <w:tcBorders>
              <w:top w:val="nil"/>
              <w:left w:val="nil"/>
              <w:bottom w:val="single" w:sz="4" w:space="0" w:color="auto"/>
              <w:right w:val="single" w:sz="4" w:space="0" w:color="auto"/>
            </w:tcBorders>
            <w:shd w:val="clear" w:color="auto" w:fill="D9D9D9" w:themeFill="background1" w:themeFillShade="D9"/>
            <w:vAlign w:val="center"/>
            <w:hideMark/>
          </w:tcPr>
          <w:p w14:paraId="06558692" w14:textId="77777777" w:rsidR="00ED1A59" w:rsidRPr="00275FBD" w:rsidRDefault="00ED1A59" w:rsidP="00B47BFF">
            <w:pPr>
              <w:jc w:val="center"/>
              <w:rPr>
                <w:rFonts w:ascii="Calibri" w:hAnsi="Calibri"/>
                <w:sz w:val="22"/>
                <w:szCs w:val="22"/>
                <w:lang w:val="sl-SI" w:eastAsia="en-US" w:bidi="hi-IN"/>
              </w:rPr>
            </w:pPr>
            <w:r w:rsidRPr="00275FBD">
              <w:rPr>
                <w:rFonts w:ascii="Calibri" w:hAnsi="Calibri"/>
                <w:sz w:val="22"/>
                <w:szCs w:val="22"/>
                <w:lang w:val="sl-SI" w:eastAsia="en-US" w:bidi="hi-IN"/>
              </w:rPr>
              <w:t>3</w:t>
            </w:r>
          </w:p>
        </w:tc>
        <w:tc>
          <w:tcPr>
            <w:tcW w:w="960" w:type="dxa"/>
            <w:tcBorders>
              <w:top w:val="nil"/>
              <w:left w:val="nil"/>
              <w:bottom w:val="single" w:sz="4" w:space="0" w:color="auto"/>
              <w:right w:val="single" w:sz="4" w:space="0" w:color="auto"/>
            </w:tcBorders>
            <w:shd w:val="clear" w:color="auto" w:fill="D9D9D9" w:themeFill="background1" w:themeFillShade="D9"/>
            <w:vAlign w:val="center"/>
            <w:hideMark/>
          </w:tcPr>
          <w:p w14:paraId="1A184703" w14:textId="77777777" w:rsidR="00ED1A59" w:rsidRPr="00275FBD" w:rsidRDefault="00ED1A59" w:rsidP="00B47BFF">
            <w:pPr>
              <w:jc w:val="center"/>
              <w:rPr>
                <w:rFonts w:ascii="Calibri" w:hAnsi="Calibri"/>
                <w:sz w:val="22"/>
                <w:szCs w:val="22"/>
                <w:lang w:val="sl-SI" w:eastAsia="en-US" w:bidi="hi-IN"/>
              </w:rPr>
            </w:pPr>
            <w:r w:rsidRPr="00275FBD">
              <w:rPr>
                <w:rFonts w:ascii="Calibri" w:hAnsi="Calibri"/>
                <w:sz w:val="22"/>
                <w:szCs w:val="22"/>
                <w:lang w:val="sl-SI" w:eastAsia="en-US" w:bidi="hi-IN"/>
              </w:rPr>
              <w:t>2</w:t>
            </w:r>
          </w:p>
        </w:tc>
        <w:tc>
          <w:tcPr>
            <w:tcW w:w="960" w:type="dxa"/>
            <w:tcBorders>
              <w:top w:val="nil"/>
              <w:left w:val="nil"/>
              <w:bottom w:val="single" w:sz="4" w:space="0" w:color="auto"/>
              <w:right w:val="single" w:sz="4" w:space="0" w:color="auto"/>
            </w:tcBorders>
            <w:shd w:val="clear" w:color="auto" w:fill="D9D9D9" w:themeFill="background1" w:themeFillShade="D9"/>
            <w:vAlign w:val="center"/>
            <w:hideMark/>
          </w:tcPr>
          <w:p w14:paraId="30690BDE" w14:textId="77777777" w:rsidR="00ED1A59" w:rsidRPr="00275FBD" w:rsidRDefault="00ED1A59" w:rsidP="00B47BFF">
            <w:pPr>
              <w:jc w:val="center"/>
              <w:rPr>
                <w:rFonts w:ascii="Calibri" w:hAnsi="Calibri"/>
                <w:sz w:val="22"/>
                <w:szCs w:val="22"/>
                <w:lang w:val="sl-SI" w:eastAsia="en-US" w:bidi="hi-IN"/>
              </w:rPr>
            </w:pPr>
            <w:r w:rsidRPr="00275FBD">
              <w:rPr>
                <w:rFonts w:ascii="Calibri" w:hAnsi="Calibri"/>
                <w:sz w:val="22"/>
                <w:szCs w:val="22"/>
                <w:lang w:val="sl-SI" w:eastAsia="en-US" w:bidi="hi-IN"/>
              </w:rPr>
              <w:t>1</w:t>
            </w:r>
          </w:p>
        </w:tc>
        <w:tc>
          <w:tcPr>
            <w:tcW w:w="1295" w:type="dxa"/>
            <w:vMerge/>
            <w:tcBorders>
              <w:left w:val="nil"/>
              <w:bottom w:val="single" w:sz="4" w:space="0" w:color="auto"/>
              <w:right w:val="single" w:sz="4" w:space="0" w:color="auto"/>
            </w:tcBorders>
            <w:shd w:val="clear" w:color="auto" w:fill="D9D9D9" w:themeFill="background1" w:themeFillShade="D9"/>
          </w:tcPr>
          <w:p w14:paraId="48F90BF4" w14:textId="77777777" w:rsidR="00ED1A59" w:rsidRPr="00275FBD" w:rsidRDefault="00ED1A59" w:rsidP="00B47BFF">
            <w:pPr>
              <w:jc w:val="center"/>
              <w:rPr>
                <w:rFonts w:ascii="Calibri" w:hAnsi="Calibri"/>
                <w:sz w:val="22"/>
                <w:szCs w:val="22"/>
                <w:lang w:val="sl-SI" w:eastAsia="en-US" w:bidi="hi-IN"/>
              </w:rPr>
            </w:pPr>
          </w:p>
        </w:tc>
      </w:tr>
      <w:tr w:rsidR="00ED1A59" w:rsidRPr="00275FBD" w14:paraId="4D62FEDF" w14:textId="77777777" w:rsidTr="00B47BFF">
        <w:trPr>
          <w:trHeight w:val="300"/>
          <w:jc w:val="center"/>
        </w:trPr>
        <w:tc>
          <w:tcPr>
            <w:tcW w:w="1935" w:type="dxa"/>
            <w:tcBorders>
              <w:top w:val="nil"/>
              <w:left w:val="single" w:sz="4" w:space="0" w:color="auto"/>
              <w:bottom w:val="single" w:sz="4" w:space="0" w:color="auto"/>
              <w:right w:val="single" w:sz="4" w:space="0" w:color="auto"/>
            </w:tcBorders>
            <w:shd w:val="clear" w:color="auto" w:fill="auto"/>
            <w:noWrap/>
            <w:hideMark/>
          </w:tcPr>
          <w:p w14:paraId="3118329B"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DL</w:t>
            </w:r>
          </w:p>
        </w:tc>
        <w:tc>
          <w:tcPr>
            <w:tcW w:w="1560" w:type="dxa"/>
            <w:tcBorders>
              <w:top w:val="nil"/>
              <w:left w:val="nil"/>
              <w:bottom w:val="single" w:sz="4" w:space="0" w:color="auto"/>
              <w:right w:val="single" w:sz="4" w:space="0" w:color="auto"/>
            </w:tcBorders>
            <w:shd w:val="clear" w:color="auto" w:fill="auto"/>
            <w:noWrap/>
            <w:vAlign w:val="center"/>
            <w:hideMark/>
          </w:tcPr>
          <w:p w14:paraId="085A2799"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0</w:t>
            </w:r>
          </w:p>
        </w:tc>
        <w:tc>
          <w:tcPr>
            <w:tcW w:w="960" w:type="dxa"/>
            <w:tcBorders>
              <w:top w:val="nil"/>
              <w:left w:val="nil"/>
              <w:bottom w:val="single" w:sz="4" w:space="0" w:color="auto"/>
              <w:right w:val="single" w:sz="4" w:space="0" w:color="auto"/>
            </w:tcBorders>
            <w:shd w:val="clear" w:color="auto" w:fill="auto"/>
            <w:noWrap/>
            <w:vAlign w:val="center"/>
            <w:hideMark/>
          </w:tcPr>
          <w:p w14:paraId="05ADD068"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3</w:t>
            </w:r>
          </w:p>
        </w:tc>
        <w:tc>
          <w:tcPr>
            <w:tcW w:w="960" w:type="dxa"/>
            <w:tcBorders>
              <w:top w:val="nil"/>
              <w:left w:val="nil"/>
              <w:bottom w:val="single" w:sz="4" w:space="0" w:color="auto"/>
              <w:right w:val="single" w:sz="4" w:space="0" w:color="auto"/>
            </w:tcBorders>
            <w:shd w:val="clear" w:color="auto" w:fill="auto"/>
            <w:noWrap/>
            <w:vAlign w:val="center"/>
            <w:hideMark/>
          </w:tcPr>
          <w:p w14:paraId="7820E59E"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0</w:t>
            </w:r>
          </w:p>
        </w:tc>
        <w:tc>
          <w:tcPr>
            <w:tcW w:w="960" w:type="dxa"/>
            <w:tcBorders>
              <w:top w:val="nil"/>
              <w:left w:val="nil"/>
              <w:bottom w:val="single" w:sz="4" w:space="0" w:color="auto"/>
              <w:right w:val="single" w:sz="4" w:space="0" w:color="auto"/>
            </w:tcBorders>
            <w:shd w:val="clear" w:color="auto" w:fill="auto"/>
            <w:noWrap/>
            <w:vAlign w:val="center"/>
            <w:hideMark/>
          </w:tcPr>
          <w:p w14:paraId="2115D550"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0</w:t>
            </w:r>
          </w:p>
        </w:tc>
        <w:tc>
          <w:tcPr>
            <w:tcW w:w="960" w:type="dxa"/>
            <w:tcBorders>
              <w:top w:val="nil"/>
              <w:left w:val="nil"/>
              <w:bottom w:val="single" w:sz="4" w:space="0" w:color="auto"/>
              <w:right w:val="single" w:sz="4" w:space="0" w:color="auto"/>
            </w:tcBorders>
            <w:shd w:val="clear" w:color="auto" w:fill="auto"/>
            <w:noWrap/>
            <w:vAlign w:val="center"/>
            <w:hideMark/>
          </w:tcPr>
          <w:p w14:paraId="5DA51BBA"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0</w:t>
            </w:r>
          </w:p>
        </w:tc>
        <w:tc>
          <w:tcPr>
            <w:tcW w:w="960" w:type="dxa"/>
            <w:tcBorders>
              <w:top w:val="nil"/>
              <w:left w:val="nil"/>
              <w:bottom w:val="single" w:sz="4" w:space="0" w:color="auto"/>
              <w:right w:val="single" w:sz="4" w:space="0" w:color="auto"/>
            </w:tcBorders>
            <w:shd w:val="clear" w:color="auto" w:fill="auto"/>
            <w:noWrap/>
            <w:vAlign w:val="center"/>
            <w:hideMark/>
          </w:tcPr>
          <w:p w14:paraId="22259B38"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0</w:t>
            </w:r>
          </w:p>
        </w:tc>
        <w:tc>
          <w:tcPr>
            <w:tcW w:w="1295" w:type="dxa"/>
            <w:tcBorders>
              <w:top w:val="nil"/>
              <w:left w:val="nil"/>
              <w:bottom w:val="single" w:sz="4" w:space="0" w:color="auto"/>
              <w:right w:val="single" w:sz="4" w:space="0" w:color="auto"/>
            </w:tcBorders>
          </w:tcPr>
          <w:p w14:paraId="17C0755C" w14:textId="77777777" w:rsidR="00ED1A59" w:rsidRPr="00275FBD" w:rsidRDefault="00ED1A59" w:rsidP="00B47BFF">
            <w:pPr>
              <w:jc w:val="center"/>
              <w:rPr>
                <w:rFonts w:ascii="Calibri" w:hAnsi="Calibri"/>
                <w:b/>
                <w:bCs/>
                <w:color w:val="000000"/>
                <w:sz w:val="22"/>
                <w:szCs w:val="22"/>
                <w:lang w:val="sl-SI" w:eastAsia="en-US" w:bidi="hi-IN"/>
              </w:rPr>
            </w:pPr>
            <w:r w:rsidRPr="00275FBD">
              <w:rPr>
                <w:rFonts w:ascii="Calibri" w:hAnsi="Calibri"/>
                <w:b/>
                <w:bCs/>
                <w:color w:val="000000"/>
                <w:sz w:val="22"/>
                <w:szCs w:val="22"/>
                <w:lang w:val="sl-SI" w:eastAsia="en-US" w:bidi="hi-IN"/>
              </w:rPr>
              <w:t>3</w:t>
            </w:r>
          </w:p>
        </w:tc>
      </w:tr>
      <w:tr w:rsidR="00ED1A59" w:rsidRPr="00275FBD" w14:paraId="1BC0402A" w14:textId="77777777" w:rsidTr="00B47BFF">
        <w:trPr>
          <w:trHeight w:val="300"/>
          <w:jc w:val="center"/>
        </w:trPr>
        <w:tc>
          <w:tcPr>
            <w:tcW w:w="1935" w:type="dxa"/>
            <w:tcBorders>
              <w:top w:val="nil"/>
              <w:left w:val="single" w:sz="4" w:space="0" w:color="auto"/>
              <w:bottom w:val="single" w:sz="4" w:space="0" w:color="auto"/>
              <w:right w:val="single" w:sz="4" w:space="0" w:color="auto"/>
            </w:tcBorders>
            <w:shd w:val="clear" w:color="auto" w:fill="auto"/>
            <w:noWrap/>
            <w:hideMark/>
          </w:tcPr>
          <w:p w14:paraId="69D8908B"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RE</w:t>
            </w:r>
          </w:p>
        </w:tc>
        <w:tc>
          <w:tcPr>
            <w:tcW w:w="1560" w:type="dxa"/>
            <w:tcBorders>
              <w:top w:val="nil"/>
              <w:left w:val="nil"/>
              <w:bottom w:val="single" w:sz="4" w:space="0" w:color="auto"/>
              <w:right w:val="single" w:sz="4" w:space="0" w:color="auto"/>
            </w:tcBorders>
            <w:shd w:val="clear" w:color="auto" w:fill="auto"/>
            <w:noWrap/>
            <w:vAlign w:val="center"/>
            <w:hideMark/>
          </w:tcPr>
          <w:p w14:paraId="342E150A"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N/A</w:t>
            </w:r>
          </w:p>
        </w:tc>
        <w:tc>
          <w:tcPr>
            <w:tcW w:w="960" w:type="dxa"/>
            <w:tcBorders>
              <w:top w:val="nil"/>
              <w:left w:val="nil"/>
              <w:bottom w:val="single" w:sz="4" w:space="0" w:color="auto"/>
              <w:right w:val="single" w:sz="4" w:space="0" w:color="auto"/>
            </w:tcBorders>
            <w:shd w:val="clear" w:color="auto" w:fill="auto"/>
            <w:noWrap/>
            <w:vAlign w:val="center"/>
            <w:hideMark/>
          </w:tcPr>
          <w:p w14:paraId="66E9F3BA"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0</w:t>
            </w:r>
          </w:p>
        </w:tc>
        <w:tc>
          <w:tcPr>
            <w:tcW w:w="960" w:type="dxa"/>
            <w:tcBorders>
              <w:top w:val="nil"/>
              <w:left w:val="nil"/>
              <w:bottom w:val="single" w:sz="4" w:space="0" w:color="auto"/>
              <w:right w:val="single" w:sz="4" w:space="0" w:color="auto"/>
            </w:tcBorders>
            <w:shd w:val="clear" w:color="auto" w:fill="auto"/>
            <w:noWrap/>
            <w:vAlign w:val="center"/>
            <w:hideMark/>
          </w:tcPr>
          <w:p w14:paraId="38381145"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30</w:t>
            </w:r>
          </w:p>
        </w:tc>
        <w:tc>
          <w:tcPr>
            <w:tcW w:w="960" w:type="dxa"/>
            <w:tcBorders>
              <w:top w:val="nil"/>
              <w:left w:val="nil"/>
              <w:bottom w:val="single" w:sz="4" w:space="0" w:color="auto"/>
              <w:right w:val="single" w:sz="4" w:space="0" w:color="auto"/>
            </w:tcBorders>
            <w:shd w:val="clear" w:color="auto" w:fill="auto"/>
            <w:noWrap/>
            <w:vAlign w:val="center"/>
            <w:hideMark/>
          </w:tcPr>
          <w:p w14:paraId="59FB50B7"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33</w:t>
            </w:r>
          </w:p>
        </w:tc>
        <w:tc>
          <w:tcPr>
            <w:tcW w:w="960" w:type="dxa"/>
            <w:tcBorders>
              <w:top w:val="nil"/>
              <w:left w:val="nil"/>
              <w:bottom w:val="single" w:sz="4" w:space="0" w:color="auto"/>
              <w:right w:val="single" w:sz="4" w:space="0" w:color="auto"/>
            </w:tcBorders>
            <w:shd w:val="clear" w:color="auto" w:fill="auto"/>
            <w:noWrap/>
            <w:vAlign w:val="center"/>
            <w:hideMark/>
          </w:tcPr>
          <w:p w14:paraId="195475B8"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2</w:t>
            </w:r>
          </w:p>
        </w:tc>
        <w:tc>
          <w:tcPr>
            <w:tcW w:w="960" w:type="dxa"/>
            <w:tcBorders>
              <w:top w:val="nil"/>
              <w:left w:val="nil"/>
              <w:bottom w:val="single" w:sz="4" w:space="0" w:color="auto"/>
              <w:right w:val="single" w:sz="4" w:space="0" w:color="auto"/>
            </w:tcBorders>
            <w:shd w:val="clear" w:color="auto" w:fill="auto"/>
            <w:noWrap/>
            <w:vAlign w:val="center"/>
            <w:hideMark/>
          </w:tcPr>
          <w:p w14:paraId="5834C346"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0</w:t>
            </w:r>
          </w:p>
        </w:tc>
        <w:tc>
          <w:tcPr>
            <w:tcW w:w="1295" w:type="dxa"/>
            <w:tcBorders>
              <w:top w:val="nil"/>
              <w:left w:val="nil"/>
              <w:bottom w:val="single" w:sz="4" w:space="0" w:color="auto"/>
              <w:right w:val="single" w:sz="4" w:space="0" w:color="auto"/>
            </w:tcBorders>
          </w:tcPr>
          <w:p w14:paraId="7B342D71" w14:textId="77777777" w:rsidR="00ED1A59" w:rsidRPr="00275FBD" w:rsidRDefault="00ED1A59" w:rsidP="00B47BFF">
            <w:pPr>
              <w:jc w:val="center"/>
              <w:rPr>
                <w:rFonts w:ascii="Calibri" w:hAnsi="Calibri"/>
                <w:b/>
                <w:bCs/>
                <w:color w:val="000000"/>
                <w:sz w:val="22"/>
                <w:szCs w:val="22"/>
                <w:lang w:val="sl-SI" w:eastAsia="en-US" w:bidi="hi-IN"/>
              </w:rPr>
            </w:pPr>
            <w:r w:rsidRPr="00275FBD">
              <w:rPr>
                <w:rFonts w:ascii="Calibri" w:hAnsi="Calibri"/>
                <w:b/>
                <w:bCs/>
                <w:color w:val="000000"/>
                <w:sz w:val="22"/>
                <w:szCs w:val="22"/>
                <w:lang w:val="sl-SI" w:eastAsia="en-US" w:bidi="hi-IN"/>
              </w:rPr>
              <w:t>65</w:t>
            </w:r>
          </w:p>
        </w:tc>
      </w:tr>
      <w:tr w:rsidR="00ED1A59" w:rsidRPr="00275FBD" w14:paraId="2215D6DF" w14:textId="77777777" w:rsidTr="00B47BFF">
        <w:trPr>
          <w:trHeight w:val="300"/>
          <w:jc w:val="center"/>
        </w:trPr>
        <w:tc>
          <w:tcPr>
            <w:tcW w:w="1935" w:type="dxa"/>
            <w:tcBorders>
              <w:top w:val="nil"/>
              <w:left w:val="single" w:sz="4" w:space="0" w:color="auto"/>
              <w:bottom w:val="double" w:sz="4" w:space="0" w:color="auto"/>
              <w:right w:val="single" w:sz="4" w:space="0" w:color="auto"/>
            </w:tcBorders>
            <w:shd w:val="clear" w:color="auto" w:fill="auto"/>
            <w:noWrap/>
            <w:hideMark/>
          </w:tcPr>
          <w:p w14:paraId="396A4554"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SF</w:t>
            </w:r>
          </w:p>
        </w:tc>
        <w:tc>
          <w:tcPr>
            <w:tcW w:w="1560" w:type="dxa"/>
            <w:tcBorders>
              <w:top w:val="nil"/>
              <w:left w:val="nil"/>
              <w:bottom w:val="double" w:sz="4" w:space="0" w:color="auto"/>
              <w:right w:val="single" w:sz="4" w:space="0" w:color="auto"/>
            </w:tcBorders>
            <w:shd w:val="clear" w:color="auto" w:fill="auto"/>
            <w:noWrap/>
            <w:vAlign w:val="center"/>
            <w:hideMark/>
          </w:tcPr>
          <w:p w14:paraId="3CF27897"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N/A</w:t>
            </w:r>
          </w:p>
        </w:tc>
        <w:tc>
          <w:tcPr>
            <w:tcW w:w="960" w:type="dxa"/>
            <w:tcBorders>
              <w:top w:val="nil"/>
              <w:left w:val="nil"/>
              <w:bottom w:val="double" w:sz="4" w:space="0" w:color="auto"/>
              <w:right w:val="single" w:sz="4" w:space="0" w:color="auto"/>
            </w:tcBorders>
            <w:shd w:val="clear" w:color="auto" w:fill="auto"/>
            <w:noWrap/>
            <w:vAlign w:val="center"/>
            <w:hideMark/>
          </w:tcPr>
          <w:p w14:paraId="3D0900DD"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0</w:t>
            </w:r>
          </w:p>
        </w:tc>
        <w:tc>
          <w:tcPr>
            <w:tcW w:w="960" w:type="dxa"/>
            <w:tcBorders>
              <w:top w:val="nil"/>
              <w:left w:val="nil"/>
              <w:bottom w:val="double" w:sz="4" w:space="0" w:color="auto"/>
              <w:right w:val="single" w:sz="4" w:space="0" w:color="auto"/>
            </w:tcBorders>
            <w:shd w:val="clear" w:color="auto" w:fill="auto"/>
            <w:noWrap/>
            <w:vAlign w:val="center"/>
            <w:hideMark/>
          </w:tcPr>
          <w:p w14:paraId="1D72E71E"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16</w:t>
            </w:r>
          </w:p>
        </w:tc>
        <w:tc>
          <w:tcPr>
            <w:tcW w:w="960" w:type="dxa"/>
            <w:tcBorders>
              <w:top w:val="nil"/>
              <w:left w:val="nil"/>
              <w:bottom w:val="double" w:sz="4" w:space="0" w:color="auto"/>
              <w:right w:val="single" w:sz="4" w:space="0" w:color="auto"/>
            </w:tcBorders>
            <w:shd w:val="clear" w:color="auto" w:fill="auto"/>
            <w:noWrap/>
            <w:vAlign w:val="center"/>
            <w:hideMark/>
          </w:tcPr>
          <w:p w14:paraId="5C1932A7"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82</w:t>
            </w:r>
          </w:p>
        </w:tc>
        <w:tc>
          <w:tcPr>
            <w:tcW w:w="960" w:type="dxa"/>
            <w:tcBorders>
              <w:top w:val="nil"/>
              <w:left w:val="nil"/>
              <w:bottom w:val="double" w:sz="4" w:space="0" w:color="auto"/>
              <w:right w:val="single" w:sz="4" w:space="0" w:color="auto"/>
            </w:tcBorders>
            <w:shd w:val="clear" w:color="auto" w:fill="auto"/>
            <w:noWrap/>
            <w:vAlign w:val="center"/>
            <w:hideMark/>
          </w:tcPr>
          <w:p w14:paraId="4DB918D1"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10</w:t>
            </w:r>
          </w:p>
        </w:tc>
        <w:tc>
          <w:tcPr>
            <w:tcW w:w="960" w:type="dxa"/>
            <w:tcBorders>
              <w:top w:val="nil"/>
              <w:left w:val="nil"/>
              <w:bottom w:val="double" w:sz="4" w:space="0" w:color="auto"/>
              <w:right w:val="single" w:sz="4" w:space="0" w:color="auto"/>
            </w:tcBorders>
            <w:shd w:val="clear" w:color="auto" w:fill="auto"/>
            <w:noWrap/>
            <w:vAlign w:val="center"/>
            <w:hideMark/>
          </w:tcPr>
          <w:p w14:paraId="50F9F632" w14:textId="77777777" w:rsidR="00ED1A59" w:rsidRPr="00275FBD" w:rsidRDefault="00ED1A59"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0</w:t>
            </w:r>
          </w:p>
        </w:tc>
        <w:tc>
          <w:tcPr>
            <w:tcW w:w="1295" w:type="dxa"/>
            <w:tcBorders>
              <w:top w:val="nil"/>
              <w:left w:val="nil"/>
              <w:bottom w:val="double" w:sz="4" w:space="0" w:color="auto"/>
              <w:right w:val="single" w:sz="4" w:space="0" w:color="auto"/>
            </w:tcBorders>
          </w:tcPr>
          <w:p w14:paraId="2066C810" w14:textId="77777777" w:rsidR="00ED1A59" w:rsidRPr="00275FBD" w:rsidRDefault="00ED1A59" w:rsidP="00B47BFF">
            <w:pPr>
              <w:jc w:val="center"/>
              <w:rPr>
                <w:rFonts w:ascii="Calibri" w:hAnsi="Calibri"/>
                <w:b/>
                <w:bCs/>
                <w:color w:val="000000"/>
                <w:sz w:val="22"/>
                <w:szCs w:val="22"/>
                <w:lang w:val="sl-SI" w:eastAsia="en-US" w:bidi="hi-IN"/>
              </w:rPr>
            </w:pPr>
            <w:r w:rsidRPr="00275FBD">
              <w:rPr>
                <w:rFonts w:ascii="Calibri" w:hAnsi="Calibri"/>
                <w:b/>
                <w:bCs/>
                <w:color w:val="000000"/>
                <w:sz w:val="22"/>
                <w:szCs w:val="22"/>
                <w:lang w:val="sl-SI" w:eastAsia="en-US" w:bidi="hi-IN"/>
              </w:rPr>
              <w:t>108</w:t>
            </w:r>
          </w:p>
        </w:tc>
      </w:tr>
      <w:tr w:rsidR="00ED1A59" w:rsidRPr="00275FBD" w14:paraId="5E88A261" w14:textId="77777777" w:rsidTr="00B47BFF">
        <w:trPr>
          <w:trHeight w:val="300"/>
          <w:jc w:val="center"/>
        </w:trPr>
        <w:tc>
          <w:tcPr>
            <w:tcW w:w="1935" w:type="dxa"/>
            <w:tcBorders>
              <w:top w:val="double" w:sz="4" w:space="0" w:color="auto"/>
              <w:left w:val="single" w:sz="4" w:space="0" w:color="auto"/>
              <w:bottom w:val="single" w:sz="4" w:space="0" w:color="auto"/>
              <w:right w:val="single" w:sz="4" w:space="0" w:color="auto"/>
            </w:tcBorders>
            <w:shd w:val="clear" w:color="auto" w:fill="auto"/>
            <w:noWrap/>
          </w:tcPr>
          <w:p w14:paraId="3AE0E04F" w14:textId="146D48CE" w:rsidR="00ED1A59" w:rsidRPr="00275FBD" w:rsidRDefault="001604AE" w:rsidP="00B47BFF">
            <w:pPr>
              <w:jc w:val="center"/>
              <w:rPr>
                <w:rFonts w:ascii="Calibri" w:hAnsi="Calibri"/>
                <w:color w:val="000000"/>
                <w:sz w:val="22"/>
                <w:szCs w:val="22"/>
                <w:lang w:val="sl-SI" w:eastAsia="en-US" w:bidi="hi-IN"/>
              </w:rPr>
            </w:pPr>
            <w:r w:rsidRPr="00275FBD">
              <w:rPr>
                <w:rFonts w:ascii="Calibri" w:hAnsi="Calibri"/>
                <w:color w:val="000000"/>
                <w:sz w:val="22"/>
                <w:szCs w:val="22"/>
                <w:lang w:val="sl-SI" w:eastAsia="en-US" w:bidi="hi-IN"/>
              </w:rPr>
              <w:t>Skupaj</w:t>
            </w:r>
            <w:r w:rsidR="00ED1A59" w:rsidRPr="00275FBD">
              <w:rPr>
                <w:rFonts w:ascii="Calibri" w:hAnsi="Calibri"/>
                <w:color w:val="000000"/>
                <w:sz w:val="22"/>
                <w:szCs w:val="22"/>
                <w:lang w:val="sl-SI" w:eastAsia="en-US" w:bidi="hi-IN"/>
              </w:rPr>
              <w:t>:</w:t>
            </w:r>
          </w:p>
        </w:tc>
        <w:tc>
          <w:tcPr>
            <w:tcW w:w="1560" w:type="dxa"/>
            <w:tcBorders>
              <w:top w:val="double" w:sz="4" w:space="0" w:color="auto"/>
              <w:left w:val="nil"/>
              <w:bottom w:val="single" w:sz="4" w:space="0" w:color="auto"/>
              <w:right w:val="single" w:sz="4" w:space="0" w:color="auto"/>
            </w:tcBorders>
            <w:shd w:val="clear" w:color="auto" w:fill="auto"/>
            <w:noWrap/>
            <w:vAlign w:val="center"/>
          </w:tcPr>
          <w:p w14:paraId="600A127C" w14:textId="77777777" w:rsidR="00ED1A59" w:rsidRPr="00275FBD" w:rsidRDefault="00ED1A59" w:rsidP="00B47BFF">
            <w:pPr>
              <w:jc w:val="center"/>
              <w:rPr>
                <w:rFonts w:ascii="Calibri" w:hAnsi="Calibri"/>
                <w:b/>
                <w:bCs/>
                <w:color w:val="000000"/>
                <w:sz w:val="22"/>
                <w:szCs w:val="22"/>
                <w:lang w:val="sl-SI" w:eastAsia="en-US" w:bidi="hi-IN"/>
              </w:rPr>
            </w:pPr>
            <w:r w:rsidRPr="00275FBD">
              <w:rPr>
                <w:rFonts w:ascii="Calibri" w:hAnsi="Calibri"/>
                <w:b/>
                <w:bCs/>
                <w:color w:val="000000"/>
                <w:sz w:val="22"/>
                <w:szCs w:val="22"/>
                <w:lang w:val="sl-SI" w:eastAsia="en-US" w:bidi="hi-IN"/>
              </w:rPr>
              <w:t>0</w:t>
            </w:r>
          </w:p>
        </w:tc>
        <w:tc>
          <w:tcPr>
            <w:tcW w:w="960" w:type="dxa"/>
            <w:tcBorders>
              <w:top w:val="double" w:sz="4" w:space="0" w:color="auto"/>
              <w:left w:val="nil"/>
              <w:bottom w:val="single" w:sz="4" w:space="0" w:color="auto"/>
              <w:right w:val="single" w:sz="4" w:space="0" w:color="auto"/>
            </w:tcBorders>
            <w:shd w:val="clear" w:color="auto" w:fill="auto"/>
            <w:noWrap/>
            <w:vAlign w:val="center"/>
          </w:tcPr>
          <w:p w14:paraId="7D740C70" w14:textId="77777777" w:rsidR="00ED1A59" w:rsidRPr="00275FBD" w:rsidRDefault="00ED1A59" w:rsidP="00B47BFF">
            <w:pPr>
              <w:jc w:val="center"/>
              <w:rPr>
                <w:rFonts w:ascii="Calibri" w:hAnsi="Calibri"/>
                <w:b/>
                <w:bCs/>
                <w:color w:val="000000"/>
                <w:sz w:val="22"/>
                <w:szCs w:val="22"/>
                <w:lang w:val="sl-SI" w:eastAsia="en-US" w:bidi="hi-IN"/>
              </w:rPr>
            </w:pPr>
            <w:r w:rsidRPr="00275FBD">
              <w:rPr>
                <w:rFonts w:ascii="Calibri" w:hAnsi="Calibri"/>
                <w:b/>
                <w:bCs/>
                <w:color w:val="000000"/>
                <w:sz w:val="22"/>
                <w:szCs w:val="22"/>
                <w:lang w:val="sl-SI" w:eastAsia="en-US" w:bidi="hi-IN"/>
              </w:rPr>
              <w:t>3</w:t>
            </w:r>
          </w:p>
        </w:tc>
        <w:tc>
          <w:tcPr>
            <w:tcW w:w="960" w:type="dxa"/>
            <w:tcBorders>
              <w:top w:val="double" w:sz="4" w:space="0" w:color="auto"/>
              <w:left w:val="nil"/>
              <w:bottom w:val="single" w:sz="4" w:space="0" w:color="auto"/>
              <w:right w:val="single" w:sz="4" w:space="0" w:color="auto"/>
            </w:tcBorders>
            <w:shd w:val="clear" w:color="auto" w:fill="auto"/>
            <w:noWrap/>
            <w:vAlign w:val="center"/>
          </w:tcPr>
          <w:p w14:paraId="680E2C61" w14:textId="77777777" w:rsidR="00ED1A59" w:rsidRPr="00275FBD" w:rsidRDefault="00ED1A59" w:rsidP="00B47BFF">
            <w:pPr>
              <w:jc w:val="center"/>
              <w:rPr>
                <w:rFonts w:ascii="Calibri" w:hAnsi="Calibri"/>
                <w:b/>
                <w:bCs/>
                <w:color w:val="000000"/>
                <w:sz w:val="22"/>
                <w:szCs w:val="22"/>
                <w:lang w:val="sl-SI" w:eastAsia="en-US" w:bidi="hi-IN"/>
              </w:rPr>
            </w:pPr>
            <w:r w:rsidRPr="00275FBD">
              <w:rPr>
                <w:rFonts w:ascii="Calibri" w:hAnsi="Calibri"/>
                <w:b/>
                <w:bCs/>
                <w:color w:val="000000"/>
                <w:sz w:val="22"/>
                <w:szCs w:val="22"/>
                <w:lang w:val="sl-SI" w:eastAsia="en-US" w:bidi="hi-IN"/>
              </w:rPr>
              <w:t>46</w:t>
            </w:r>
          </w:p>
        </w:tc>
        <w:tc>
          <w:tcPr>
            <w:tcW w:w="960" w:type="dxa"/>
            <w:tcBorders>
              <w:top w:val="double" w:sz="4" w:space="0" w:color="auto"/>
              <w:left w:val="nil"/>
              <w:bottom w:val="single" w:sz="4" w:space="0" w:color="auto"/>
              <w:right w:val="single" w:sz="4" w:space="0" w:color="auto"/>
            </w:tcBorders>
            <w:shd w:val="clear" w:color="auto" w:fill="auto"/>
            <w:noWrap/>
            <w:vAlign w:val="center"/>
          </w:tcPr>
          <w:p w14:paraId="02C983A5" w14:textId="77777777" w:rsidR="00ED1A59" w:rsidRPr="00275FBD" w:rsidDel="003D44B3" w:rsidRDefault="00ED1A59" w:rsidP="00B47BFF">
            <w:pPr>
              <w:jc w:val="center"/>
              <w:rPr>
                <w:rFonts w:ascii="Calibri" w:hAnsi="Calibri"/>
                <w:b/>
                <w:bCs/>
                <w:color w:val="000000"/>
                <w:sz w:val="22"/>
                <w:szCs w:val="22"/>
                <w:lang w:val="sl-SI" w:eastAsia="en-US" w:bidi="hi-IN"/>
              </w:rPr>
            </w:pPr>
            <w:r w:rsidRPr="00275FBD">
              <w:rPr>
                <w:rFonts w:ascii="Calibri" w:hAnsi="Calibri"/>
                <w:b/>
                <w:bCs/>
                <w:color w:val="000000"/>
                <w:sz w:val="22"/>
                <w:szCs w:val="22"/>
                <w:lang w:val="sl-SI" w:eastAsia="en-US" w:bidi="hi-IN"/>
              </w:rPr>
              <w:t>115</w:t>
            </w:r>
          </w:p>
        </w:tc>
        <w:tc>
          <w:tcPr>
            <w:tcW w:w="960" w:type="dxa"/>
            <w:tcBorders>
              <w:top w:val="double" w:sz="4" w:space="0" w:color="auto"/>
              <w:left w:val="nil"/>
              <w:bottom w:val="single" w:sz="4" w:space="0" w:color="auto"/>
              <w:right w:val="single" w:sz="4" w:space="0" w:color="auto"/>
            </w:tcBorders>
            <w:shd w:val="clear" w:color="auto" w:fill="auto"/>
            <w:noWrap/>
            <w:vAlign w:val="center"/>
          </w:tcPr>
          <w:p w14:paraId="07CC14D5" w14:textId="77777777" w:rsidR="00ED1A59" w:rsidRPr="00275FBD" w:rsidRDefault="00ED1A59" w:rsidP="00B47BFF">
            <w:pPr>
              <w:jc w:val="center"/>
              <w:rPr>
                <w:rFonts w:ascii="Calibri" w:hAnsi="Calibri"/>
                <w:b/>
                <w:bCs/>
                <w:color w:val="000000"/>
                <w:sz w:val="22"/>
                <w:szCs w:val="22"/>
                <w:lang w:val="sl-SI" w:eastAsia="en-US" w:bidi="hi-IN"/>
              </w:rPr>
            </w:pPr>
            <w:r w:rsidRPr="00275FBD">
              <w:rPr>
                <w:rFonts w:ascii="Calibri" w:hAnsi="Calibri"/>
                <w:b/>
                <w:bCs/>
                <w:color w:val="000000"/>
                <w:sz w:val="22"/>
                <w:szCs w:val="22"/>
                <w:lang w:val="sl-SI" w:eastAsia="en-US" w:bidi="hi-IN"/>
              </w:rPr>
              <w:t>12</w:t>
            </w:r>
          </w:p>
        </w:tc>
        <w:tc>
          <w:tcPr>
            <w:tcW w:w="960" w:type="dxa"/>
            <w:tcBorders>
              <w:top w:val="double" w:sz="4" w:space="0" w:color="auto"/>
              <w:left w:val="nil"/>
              <w:bottom w:val="single" w:sz="4" w:space="0" w:color="auto"/>
              <w:right w:val="single" w:sz="4" w:space="0" w:color="auto"/>
            </w:tcBorders>
            <w:shd w:val="clear" w:color="auto" w:fill="auto"/>
            <w:noWrap/>
            <w:vAlign w:val="center"/>
          </w:tcPr>
          <w:p w14:paraId="3B47D239" w14:textId="77777777" w:rsidR="00ED1A59" w:rsidRPr="00275FBD" w:rsidRDefault="00ED1A59" w:rsidP="00B47BFF">
            <w:pPr>
              <w:jc w:val="center"/>
              <w:rPr>
                <w:rFonts w:ascii="Calibri" w:hAnsi="Calibri"/>
                <w:b/>
                <w:bCs/>
                <w:color w:val="000000"/>
                <w:sz w:val="22"/>
                <w:szCs w:val="22"/>
                <w:lang w:val="sl-SI" w:eastAsia="en-US" w:bidi="hi-IN"/>
              </w:rPr>
            </w:pPr>
            <w:r w:rsidRPr="00275FBD">
              <w:rPr>
                <w:rFonts w:ascii="Calibri" w:hAnsi="Calibri"/>
                <w:b/>
                <w:bCs/>
                <w:color w:val="000000"/>
                <w:sz w:val="22"/>
                <w:szCs w:val="22"/>
                <w:lang w:val="sl-SI" w:eastAsia="en-US" w:bidi="hi-IN"/>
              </w:rPr>
              <w:t>0</w:t>
            </w:r>
          </w:p>
        </w:tc>
        <w:tc>
          <w:tcPr>
            <w:tcW w:w="1295" w:type="dxa"/>
            <w:tcBorders>
              <w:top w:val="double" w:sz="4" w:space="0" w:color="auto"/>
              <w:left w:val="nil"/>
              <w:bottom w:val="single" w:sz="4" w:space="0" w:color="auto"/>
              <w:right w:val="single" w:sz="4" w:space="0" w:color="auto"/>
            </w:tcBorders>
          </w:tcPr>
          <w:p w14:paraId="4D58B0EF" w14:textId="77777777" w:rsidR="00ED1A59" w:rsidRPr="00275FBD" w:rsidRDefault="00ED1A59" w:rsidP="00B47BFF">
            <w:pPr>
              <w:jc w:val="center"/>
              <w:rPr>
                <w:rFonts w:ascii="Calibri" w:hAnsi="Calibri"/>
                <w:b/>
                <w:bCs/>
                <w:color w:val="000000"/>
                <w:sz w:val="22"/>
                <w:szCs w:val="22"/>
                <w:lang w:val="sl-SI" w:eastAsia="en-US" w:bidi="hi-IN"/>
              </w:rPr>
            </w:pPr>
            <w:r w:rsidRPr="00275FBD">
              <w:rPr>
                <w:rFonts w:ascii="Calibri" w:hAnsi="Calibri"/>
                <w:b/>
                <w:bCs/>
                <w:color w:val="000000"/>
                <w:sz w:val="22"/>
                <w:szCs w:val="22"/>
                <w:lang w:val="sl-SI" w:eastAsia="en-US" w:bidi="hi-IN"/>
              </w:rPr>
              <w:t>176</w:t>
            </w:r>
          </w:p>
        </w:tc>
      </w:tr>
    </w:tbl>
    <w:p w14:paraId="628BC4A4" w14:textId="77777777" w:rsidR="00516AD0" w:rsidRDefault="00516AD0" w:rsidP="00F5563F">
      <w:pPr>
        <w:rPr>
          <w:lang w:val="sl-SI"/>
        </w:rPr>
      </w:pPr>
    </w:p>
    <w:p w14:paraId="5F75A654" w14:textId="638B0388" w:rsidR="00F5563F" w:rsidRPr="00275FBD" w:rsidRDefault="00F5563F" w:rsidP="00F5563F">
      <w:pPr>
        <w:rPr>
          <w:lang w:val="sl-SI"/>
        </w:rPr>
      </w:pPr>
      <w:r w:rsidRPr="00275FBD">
        <w:rPr>
          <w:lang w:val="sl-SI"/>
        </w:rPr>
        <w:fldChar w:fldCharType="begin"/>
      </w:r>
      <w:r w:rsidRPr="00275FBD">
        <w:rPr>
          <w:lang w:val="sl-SI"/>
        </w:rPr>
        <w:instrText xml:space="preserve"> REF _Ref138426663 \h </w:instrText>
      </w:r>
      <w:r w:rsidRPr="00275FBD">
        <w:rPr>
          <w:lang w:val="sl-SI"/>
        </w:rPr>
      </w:r>
      <w:r w:rsidRPr="00275FBD">
        <w:rPr>
          <w:lang w:val="sl-SI"/>
        </w:rPr>
        <w:fldChar w:fldCharType="separate"/>
      </w:r>
      <w:r w:rsidR="00BA25CD" w:rsidRPr="00275FBD">
        <w:rPr>
          <w:lang w:val="sl-SI" w:eastAsia="en-GB"/>
        </w:rPr>
        <w:t xml:space="preserve">Tabela </w:t>
      </w:r>
      <w:r w:rsidR="00BA25CD">
        <w:rPr>
          <w:noProof/>
          <w:lang w:val="sl-SI" w:eastAsia="en-GB"/>
        </w:rPr>
        <w:t>5</w:t>
      </w:r>
      <w:r w:rsidR="00BA25CD" w:rsidRPr="00275FBD">
        <w:rPr>
          <w:lang w:val="sl-SI" w:eastAsia="en-GB"/>
        </w:rPr>
        <w:noBreakHyphen/>
      </w:r>
      <w:r w:rsidR="00BA25CD">
        <w:rPr>
          <w:noProof/>
          <w:lang w:val="sl-SI" w:eastAsia="en-GB"/>
        </w:rPr>
        <w:t>3</w:t>
      </w:r>
      <w:r w:rsidRPr="00275FBD">
        <w:rPr>
          <w:lang w:val="sl-SI"/>
        </w:rPr>
        <w:fldChar w:fldCharType="end"/>
      </w:r>
      <w:r w:rsidRPr="00275FBD">
        <w:rPr>
          <w:lang w:val="sl-SI"/>
        </w:rPr>
        <w:t xml:space="preserve"> prikazuje razčlenitev 176 najdb, ki so vstopil</w:t>
      </w:r>
      <w:r w:rsidR="002D4607">
        <w:rPr>
          <w:lang w:val="sl-SI"/>
        </w:rPr>
        <w:t>e</w:t>
      </w:r>
      <w:r w:rsidRPr="00275FBD">
        <w:rPr>
          <w:lang w:val="sl-SI"/>
        </w:rPr>
        <w:t xml:space="preserve"> v postopek podrobnega </w:t>
      </w:r>
      <w:proofErr w:type="spellStart"/>
      <w:r w:rsidRPr="00275FBD">
        <w:rPr>
          <w:lang w:val="sl-SI"/>
        </w:rPr>
        <w:t>rangiranja</w:t>
      </w:r>
      <w:proofErr w:type="spellEnd"/>
      <w:r w:rsidRPr="00275FBD">
        <w:rPr>
          <w:lang w:val="sl-SI"/>
        </w:rPr>
        <w:t xml:space="preserve"> glede na dodeljen rang. Tukaj je treba opozoriti, da </w:t>
      </w:r>
      <w:r w:rsidR="00516AD0">
        <w:rPr>
          <w:lang w:val="sl-SI"/>
        </w:rPr>
        <w:t xml:space="preserve">je </w:t>
      </w:r>
      <w:r w:rsidRPr="00275FBD">
        <w:rPr>
          <w:lang w:val="sl-SI"/>
        </w:rPr>
        <w:t>razvrščanj</w:t>
      </w:r>
      <w:r w:rsidR="00516AD0">
        <w:rPr>
          <w:lang w:val="sl-SI"/>
        </w:rPr>
        <w:t>e</w:t>
      </w:r>
      <w:r w:rsidRPr="00275FBD">
        <w:rPr>
          <w:lang w:val="sl-SI"/>
        </w:rPr>
        <w:t xml:space="preserve"> skupin</w:t>
      </w:r>
      <w:r w:rsidR="00516AD0">
        <w:rPr>
          <w:lang w:val="sl-SI"/>
        </w:rPr>
        <w:t>e</w:t>
      </w:r>
      <w:r w:rsidRPr="00275FBD">
        <w:rPr>
          <w:lang w:val="sl-SI"/>
        </w:rPr>
        <w:t xml:space="preserve"> »DL« </w:t>
      </w:r>
      <w:r w:rsidR="0014523E">
        <w:rPr>
          <w:lang w:val="sl-SI"/>
        </w:rPr>
        <w:t>v obsegu</w:t>
      </w:r>
      <w:r w:rsidR="0014523E" w:rsidRPr="00275FBD">
        <w:rPr>
          <w:lang w:val="sl-SI"/>
        </w:rPr>
        <w:t xml:space="preserve"> </w:t>
      </w:r>
      <w:r w:rsidRPr="00275FBD">
        <w:rPr>
          <w:lang w:val="sl-SI"/>
        </w:rPr>
        <w:t xml:space="preserve">od 1 do 6, medtem ko </w:t>
      </w:r>
      <w:r w:rsidR="00516AD0">
        <w:rPr>
          <w:lang w:val="sl-SI"/>
        </w:rPr>
        <w:t>je za</w:t>
      </w:r>
      <w:r w:rsidR="0014523E">
        <w:rPr>
          <w:lang w:val="sl-SI"/>
        </w:rPr>
        <w:t xml:space="preserve"> </w:t>
      </w:r>
      <w:r w:rsidR="0014523E" w:rsidRPr="00275FBD">
        <w:rPr>
          <w:lang w:val="sl-SI"/>
        </w:rPr>
        <w:t>skupin</w:t>
      </w:r>
      <w:r w:rsidR="0014523E">
        <w:rPr>
          <w:lang w:val="sl-SI"/>
        </w:rPr>
        <w:t>i</w:t>
      </w:r>
      <w:r w:rsidR="0014523E" w:rsidRPr="00275FBD">
        <w:rPr>
          <w:lang w:val="sl-SI"/>
        </w:rPr>
        <w:t xml:space="preserve"> </w:t>
      </w:r>
      <w:r w:rsidRPr="00275FBD">
        <w:rPr>
          <w:lang w:val="sl-SI"/>
        </w:rPr>
        <w:t xml:space="preserve">»RE« in »SF« </w:t>
      </w:r>
      <w:r w:rsidR="0014523E">
        <w:rPr>
          <w:lang w:val="sl-SI"/>
        </w:rPr>
        <w:t>obseg</w:t>
      </w:r>
      <w:r w:rsidR="0014523E" w:rsidRPr="00275FBD">
        <w:rPr>
          <w:lang w:val="sl-SI"/>
        </w:rPr>
        <w:t xml:space="preserve"> </w:t>
      </w:r>
      <w:r w:rsidRPr="00275FBD">
        <w:rPr>
          <w:lang w:val="sl-SI"/>
        </w:rPr>
        <w:t>od 1 do 5 (</w:t>
      </w:r>
      <w:r w:rsidRPr="00275FBD">
        <w:rPr>
          <w:lang w:val="sl-SI"/>
        </w:rPr>
        <w:fldChar w:fldCharType="begin"/>
      </w:r>
      <w:r w:rsidRPr="00275FBD">
        <w:rPr>
          <w:lang w:val="sl-SI"/>
        </w:rPr>
        <w:instrText xml:space="preserve"> REF _Ref133222751 \r \h </w:instrText>
      </w:r>
      <w:r w:rsidRPr="00275FBD">
        <w:rPr>
          <w:lang w:val="sl-SI"/>
        </w:rPr>
      </w:r>
      <w:r w:rsidRPr="00275FBD">
        <w:rPr>
          <w:lang w:val="sl-SI"/>
        </w:rPr>
        <w:fldChar w:fldCharType="separate"/>
      </w:r>
      <w:r w:rsidR="00BA25CD">
        <w:rPr>
          <w:lang w:val="sl-SI"/>
        </w:rPr>
        <w:t>[1]</w:t>
      </w:r>
      <w:r w:rsidRPr="00275FBD">
        <w:rPr>
          <w:lang w:val="sl-SI"/>
        </w:rPr>
        <w:fldChar w:fldCharType="end"/>
      </w:r>
      <w:r w:rsidRPr="00275FBD">
        <w:rPr>
          <w:lang w:val="sl-SI"/>
        </w:rPr>
        <w:t xml:space="preserve">, </w:t>
      </w:r>
      <w:r w:rsidRPr="00275FBD">
        <w:rPr>
          <w:lang w:val="sl-SI"/>
        </w:rPr>
        <w:fldChar w:fldCharType="begin"/>
      </w:r>
      <w:r w:rsidRPr="00275FBD">
        <w:rPr>
          <w:lang w:val="sl-SI"/>
        </w:rPr>
        <w:instrText xml:space="preserve"> REF _Ref131143634 \r \h </w:instrText>
      </w:r>
      <w:r w:rsidRPr="00275FBD">
        <w:rPr>
          <w:lang w:val="sl-SI"/>
        </w:rPr>
      </w:r>
      <w:r w:rsidRPr="00275FBD">
        <w:rPr>
          <w:lang w:val="sl-SI"/>
        </w:rPr>
        <w:fldChar w:fldCharType="separate"/>
      </w:r>
      <w:r w:rsidR="00BA25CD">
        <w:rPr>
          <w:lang w:val="sl-SI"/>
        </w:rPr>
        <w:t>[9]</w:t>
      </w:r>
      <w:r w:rsidRPr="00275FBD">
        <w:rPr>
          <w:lang w:val="sl-SI"/>
        </w:rPr>
        <w:fldChar w:fldCharType="end"/>
      </w:r>
      <w:r w:rsidRPr="00275FBD">
        <w:rPr>
          <w:lang w:val="sl-SI"/>
        </w:rPr>
        <w:t>).</w:t>
      </w:r>
    </w:p>
    <w:p w14:paraId="3ACA501C" w14:textId="77777777" w:rsidR="00ED1A59" w:rsidRPr="00275FBD" w:rsidRDefault="00ED1A59" w:rsidP="00ED1A59">
      <w:pPr>
        <w:rPr>
          <w:rFonts w:cs="TimesNewRomanPSMT"/>
          <w:szCs w:val="20"/>
          <w:lang w:val="sl-SI" w:eastAsia="en-GB"/>
        </w:rPr>
      </w:pPr>
    </w:p>
    <w:p w14:paraId="505939B3" w14:textId="6D9FF65C" w:rsidR="00D505FF" w:rsidRPr="00275FBD" w:rsidRDefault="00D505FF" w:rsidP="00D505FF">
      <w:pPr>
        <w:rPr>
          <w:rFonts w:cs="TimesNewRomanPSMT"/>
          <w:szCs w:val="20"/>
          <w:lang w:val="sl-SI" w:eastAsia="en-GB"/>
        </w:rPr>
      </w:pPr>
      <w:r w:rsidRPr="00275FBD">
        <w:rPr>
          <w:rFonts w:cs="TimesNewRomanPSMT"/>
          <w:szCs w:val="20"/>
          <w:lang w:val="sl-SI" w:eastAsia="en-GB"/>
        </w:rPr>
        <w:t>Celoten postopek končnega ocenjevanja in razvrščanja ter njegove rezultate je mogoče povzeti na naslednji način:</w:t>
      </w:r>
    </w:p>
    <w:p w14:paraId="310CE3BC" w14:textId="000F04AB" w:rsidR="00D505FF" w:rsidRPr="00275FBD" w:rsidRDefault="00D505FF" w:rsidP="008E4B1A">
      <w:pPr>
        <w:numPr>
          <w:ilvl w:val="0"/>
          <w:numId w:val="23"/>
        </w:numPr>
        <w:rPr>
          <w:rFonts w:cs="TimesNewRomanPSMT"/>
          <w:szCs w:val="20"/>
          <w:lang w:val="sl-SI" w:eastAsia="en-GB"/>
        </w:rPr>
      </w:pPr>
      <w:r w:rsidRPr="00275FBD">
        <w:rPr>
          <w:rFonts w:cs="TimesNewRomanPSMT"/>
          <w:szCs w:val="20"/>
          <w:lang w:val="sl-SI" w:eastAsia="en-GB"/>
        </w:rPr>
        <w:t xml:space="preserve">V tematskih poročilih o varnostnih dejavnikih je bilo </w:t>
      </w:r>
      <w:r w:rsidR="00516AD0">
        <w:rPr>
          <w:rFonts w:cs="TimesNewRomanPSMT"/>
          <w:szCs w:val="20"/>
          <w:lang w:val="sl-SI" w:eastAsia="en-GB"/>
        </w:rPr>
        <w:t>skupaj</w:t>
      </w:r>
      <w:r w:rsidR="00516AD0" w:rsidRPr="00275FBD">
        <w:rPr>
          <w:rFonts w:cs="TimesNewRomanPSMT"/>
          <w:szCs w:val="20"/>
          <w:lang w:val="sl-SI" w:eastAsia="en-GB"/>
        </w:rPr>
        <w:t xml:space="preserve"> </w:t>
      </w:r>
      <w:r w:rsidRPr="00275FBD">
        <w:rPr>
          <w:rFonts w:cs="TimesNewRomanPSMT"/>
          <w:szCs w:val="20"/>
          <w:lang w:val="sl-SI" w:eastAsia="en-GB"/>
        </w:rPr>
        <w:t xml:space="preserve">253 </w:t>
      </w:r>
      <w:r w:rsidR="00BD5705" w:rsidRPr="00275FBD">
        <w:rPr>
          <w:rFonts w:cs="TimesNewRomanPSMT"/>
          <w:szCs w:val="20"/>
          <w:lang w:val="sl-SI" w:eastAsia="en-GB"/>
        </w:rPr>
        <w:t>najdb.</w:t>
      </w:r>
      <w:r w:rsidRPr="00275FBD">
        <w:rPr>
          <w:rFonts w:cs="TimesNewRomanPSMT"/>
          <w:szCs w:val="20"/>
          <w:lang w:val="sl-SI" w:eastAsia="en-GB"/>
        </w:rPr>
        <w:t xml:space="preserve"> Od tega jih je bilo 28 </w:t>
      </w:r>
      <w:r w:rsidR="00720355">
        <w:rPr>
          <w:rFonts w:cs="TimesNewRomanPSMT"/>
          <w:szCs w:val="20"/>
          <w:lang w:val="sl-SI" w:eastAsia="en-GB"/>
        </w:rPr>
        <w:t>raz</w:t>
      </w:r>
      <w:r w:rsidRPr="00275FBD">
        <w:rPr>
          <w:rFonts w:cs="TimesNewRomanPSMT"/>
          <w:szCs w:val="20"/>
          <w:lang w:val="sl-SI" w:eastAsia="en-GB"/>
        </w:rPr>
        <w:t xml:space="preserve">rešenih že med fazo </w:t>
      </w:r>
      <w:r w:rsidR="00516AD0">
        <w:rPr>
          <w:rFonts w:cs="TimesNewRomanPSMT"/>
          <w:szCs w:val="20"/>
          <w:lang w:val="sl-SI" w:eastAsia="en-GB"/>
        </w:rPr>
        <w:t>priprave tematskih poročil</w:t>
      </w:r>
      <w:r w:rsidRPr="00275FBD">
        <w:rPr>
          <w:rFonts w:cs="TimesNewRomanPSMT"/>
          <w:szCs w:val="20"/>
          <w:lang w:val="sl-SI" w:eastAsia="en-GB"/>
        </w:rPr>
        <w:t xml:space="preserve">, za eno pa je bilo ugotovljeno, da predstavlja pozitivno ugotovitev in ni bilo potrebno nadaljnje ukrepanje. </w:t>
      </w:r>
      <w:r w:rsidR="00516AD0">
        <w:rPr>
          <w:rFonts w:cs="TimesNewRomanPSMT"/>
          <w:szCs w:val="20"/>
          <w:lang w:val="sl-SI" w:eastAsia="en-GB"/>
        </w:rPr>
        <w:t>Preostalih</w:t>
      </w:r>
      <w:r w:rsidRPr="00275FBD">
        <w:rPr>
          <w:rFonts w:cs="TimesNewRomanPSMT"/>
          <w:szCs w:val="20"/>
          <w:lang w:val="sl-SI" w:eastAsia="en-GB"/>
        </w:rPr>
        <w:t xml:space="preserve"> 224 </w:t>
      </w:r>
      <w:r w:rsidR="00BD5705" w:rsidRPr="00275FBD">
        <w:rPr>
          <w:rFonts w:cs="TimesNewRomanPSMT"/>
          <w:szCs w:val="20"/>
          <w:lang w:val="sl-SI" w:eastAsia="en-GB"/>
        </w:rPr>
        <w:t xml:space="preserve">najdb </w:t>
      </w:r>
      <w:r w:rsidR="00516AD0">
        <w:rPr>
          <w:rFonts w:cs="TimesNewRomanPSMT"/>
          <w:szCs w:val="20"/>
          <w:lang w:val="sl-SI" w:eastAsia="en-GB"/>
        </w:rPr>
        <w:t xml:space="preserve">je bilo </w:t>
      </w:r>
      <w:r w:rsidRPr="00275FBD">
        <w:rPr>
          <w:rFonts w:cs="TimesNewRomanPSMT"/>
          <w:szCs w:val="20"/>
          <w:lang w:val="sl-SI" w:eastAsia="en-GB"/>
        </w:rPr>
        <w:t>potrebn</w:t>
      </w:r>
      <w:r w:rsidR="00516AD0">
        <w:rPr>
          <w:rFonts w:cs="TimesNewRomanPSMT"/>
          <w:szCs w:val="20"/>
          <w:lang w:val="sl-SI" w:eastAsia="en-GB"/>
        </w:rPr>
        <w:t xml:space="preserve">o </w:t>
      </w:r>
      <w:r w:rsidRPr="00275FBD">
        <w:rPr>
          <w:rFonts w:cs="TimesNewRomanPSMT"/>
          <w:szCs w:val="20"/>
          <w:lang w:val="sl-SI" w:eastAsia="en-GB"/>
        </w:rPr>
        <w:t>predhodn</w:t>
      </w:r>
      <w:r w:rsidR="00516AD0">
        <w:rPr>
          <w:rFonts w:cs="TimesNewRomanPSMT"/>
          <w:szCs w:val="20"/>
          <w:lang w:val="sl-SI" w:eastAsia="en-GB"/>
        </w:rPr>
        <w:t>o</w:t>
      </w:r>
      <w:r w:rsidRPr="00275FBD">
        <w:rPr>
          <w:rFonts w:cs="TimesNewRomanPSMT"/>
          <w:szCs w:val="20"/>
          <w:lang w:val="sl-SI" w:eastAsia="en-GB"/>
        </w:rPr>
        <w:t xml:space="preserve"> pregleda</w:t>
      </w:r>
      <w:r w:rsidR="00516AD0">
        <w:rPr>
          <w:rFonts w:cs="TimesNewRomanPSMT"/>
          <w:szCs w:val="20"/>
          <w:lang w:val="sl-SI" w:eastAsia="en-GB"/>
        </w:rPr>
        <w:t>ti</w:t>
      </w:r>
      <w:r w:rsidRPr="00275FBD">
        <w:rPr>
          <w:rFonts w:cs="TimesNewRomanPSMT"/>
          <w:szCs w:val="20"/>
          <w:lang w:val="sl-SI" w:eastAsia="en-GB"/>
        </w:rPr>
        <w:t xml:space="preserve"> za neposreden vnos v CAP ali pa za podrobno razvrstitev.</w:t>
      </w:r>
    </w:p>
    <w:p w14:paraId="7B7DF018" w14:textId="397E6A64" w:rsidR="00D505FF" w:rsidRPr="00275FBD" w:rsidRDefault="00D505FF" w:rsidP="00E74587">
      <w:pPr>
        <w:numPr>
          <w:ilvl w:val="0"/>
          <w:numId w:val="23"/>
        </w:numPr>
        <w:rPr>
          <w:rFonts w:cs="TimesNewRomanPSMT"/>
          <w:szCs w:val="20"/>
          <w:lang w:val="sl-SI" w:eastAsia="en-GB"/>
        </w:rPr>
      </w:pPr>
      <w:r w:rsidRPr="00275FBD">
        <w:rPr>
          <w:rFonts w:cs="TimesNewRomanPSMT"/>
          <w:szCs w:val="20"/>
          <w:lang w:val="sl-SI" w:eastAsia="en-GB"/>
        </w:rPr>
        <w:t xml:space="preserve">Od omenjenih 224 </w:t>
      </w:r>
      <w:r w:rsidR="00BD5705" w:rsidRPr="00275FBD">
        <w:rPr>
          <w:rFonts w:cs="TimesNewRomanPSMT"/>
          <w:szCs w:val="20"/>
          <w:lang w:val="sl-SI" w:eastAsia="en-GB"/>
        </w:rPr>
        <w:t xml:space="preserve">najdb </w:t>
      </w:r>
      <w:r w:rsidRPr="00275FBD">
        <w:rPr>
          <w:rFonts w:cs="TimesNewRomanPSMT"/>
          <w:szCs w:val="20"/>
          <w:lang w:val="sl-SI" w:eastAsia="en-GB"/>
        </w:rPr>
        <w:t xml:space="preserve">je bilo 33 </w:t>
      </w:r>
      <w:r w:rsidR="00EC5401" w:rsidRPr="00275FBD">
        <w:rPr>
          <w:rFonts w:cs="TimesNewRomanPSMT"/>
          <w:szCs w:val="20"/>
          <w:lang w:val="sl-SI" w:eastAsia="en-GB"/>
        </w:rPr>
        <w:t>najdb</w:t>
      </w:r>
      <w:r w:rsidRPr="00275FBD">
        <w:rPr>
          <w:rFonts w:cs="TimesNewRomanPSMT"/>
          <w:szCs w:val="20"/>
          <w:lang w:val="sl-SI" w:eastAsia="en-GB"/>
        </w:rPr>
        <w:t xml:space="preserve">, ki </w:t>
      </w:r>
      <w:r w:rsidR="00A7693C">
        <w:rPr>
          <w:rFonts w:cs="TimesNewRomanPSMT"/>
          <w:szCs w:val="20"/>
          <w:lang w:val="sl-SI" w:eastAsia="en-GB"/>
        </w:rPr>
        <w:t>so izvedljive</w:t>
      </w:r>
      <w:r w:rsidRPr="00275FBD">
        <w:rPr>
          <w:rFonts w:cs="TimesNewRomanPSMT"/>
          <w:szCs w:val="20"/>
          <w:lang w:val="sl-SI" w:eastAsia="en-GB"/>
        </w:rPr>
        <w:t xml:space="preserve"> z </w:t>
      </w:r>
      <w:r w:rsidR="00435AD7">
        <w:rPr>
          <w:rFonts w:cs="TimesNewRomanPSMT"/>
          <w:szCs w:val="20"/>
          <w:lang w:val="sl-SI" w:eastAsia="en-GB"/>
        </w:rPr>
        <w:t>majhn</w:t>
      </w:r>
      <w:r w:rsidR="00435AD7" w:rsidRPr="00275FBD">
        <w:rPr>
          <w:rFonts w:cs="TimesNewRomanPSMT"/>
          <w:szCs w:val="20"/>
          <w:lang w:val="sl-SI" w:eastAsia="en-GB"/>
        </w:rPr>
        <w:t xml:space="preserve">im </w:t>
      </w:r>
      <w:r w:rsidRPr="00275FBD">
        <w:rPr>
          <w:rFonts w:cs="TimesNewRomanPSMT"/>
          <w:szCs w:val="20"/>
          <w:lang w:val="sl-SI" w:eastAsia="en-GB"/>
        </w:rPr>
        <w:t>naporom (»LE«) in so bil</w:t>
      </w:r>
      <w:r w:rsidR="00516AD0">
        <w:rPr>
          <w:rFonts w:cs="TimesNewRomanPSMT"/>
          <w:szCs w:val="20"/>
          <w:lang w:val="sl-SI" w:eastAsia="en-GB"/>
        </w:rPr>
        <w:t>e</w:t>
      </w:r>
      <w:r w:rsidRPr="00275FBD">
        <w:rPr>
          <w:rFonts w:cs="TimesNewRomanPSMT"/>
          <w:szCs w:val="20"/>
          <w:lang w:val="sl-SI" w:eastAsia="en-GB"/>
        </w:rPr>
        <w:t xml:space="preserve"> neposred</w:t>
      </w:r>
      <w:r w:rsidR="00516AD0">
        <w:rPr>
          <w:rFonts w:cs="TimesNewRomanPSMT"/>
          <w:szCs w:val="20"/>
          <w:lang w:val="sl-SI" w:eastAsia="en-GB"/>
        </w:rPr>
        <w:t>no</w:t>
      </w:r>
      <w:r w:rsidRPr="00275FBD">
        <w:rPr>
          <w:rFonts w:cs="TimesNewRomanPSMT"/>
          <w:szCs w:val="20"/>
          <w:lang w:val="sl-SI" w:eastAsia="en-GB"/>
        </w:rPr>
        <w:t xml:space="preserve"> v</w:t>
      </w:r>
      <w:r w:rsidR="00516AD0">
        <w:rPr>
          <w:rFonts w:cs="TimesNewRomanPSMT"/>
          <w:szCs w:val="20"/>
          <w:lang w:val="sl-SI" w:eastAsia="en-GB"/>
        </w:rPr>
        <w:t>ključene</w:t>
      </w:r>
      <w:r w:rsidRPr="00275FBD">
        <w:rPr>
          <w:rFonts w:cs="TimesNewRomanPSMT"/>
          <w:szCs w:val="20"/>
          <w:lang w:val="sl-SI" w:eastAsia="en-GB"/>
        </w:rPr>
        <w:t xml:space="preserve"> v CAP. Od teh 33 jih je 29 </w:t>
      </w:r>
      <w:r w:rsidR="00997B22">
        <w:rPr>
          <w:lang w:val="sl-SI" w:eastAsia="en-GB"/>
        </w:rPr>
        <w:t>kategorije</w:t>
      </w:r>
      <w:r w:rsidRPr="00275FBD">
        <w:rPr>
          <w:rFonts w:cs="TimesNewRomanPSMT"/>
          <w:szCs w:val="20"/>
          <w:lang w:val="sl-SI" w:eastAsia="en-GB"/>
        </w:rPr>
        <w:t xml:space="preserve"> “SF”, preostal</w:t>
      </w:r>
      <w:r w:rsidR="00AA4EE2">
        <w:rPr>
          <w:rFonts w:cs="TimesNewRomanPSMT"/>
          <w:szCs w:val="20"/>
          <w:lang w:val="sl-SI" w:eastAsia="en-GB"/>
        </w:rPr>
        <w:t>e</w:t>
      </w:r>
      <w:r w:rsidRPr="00275FBD">
        <w:rPr>
          <w:rFonts w:cs="TimesNewRomanPSMT"/>
          <w:szCs w:val="20"/>
          <w:lang w:val="sl-SI" w:eastAsia="en-GB"/>
        </w:rPr>
        <w:t xml:space="preserve"> 4 pa so </w:t>
      </w:r>
      <w:r w:rsidR="00997B22">
        <w:rPr>
          <w:lang w:val="sl-SI" w:eastAsia="en-GB"/>
        </w:rPr>
        <w:t xml:space="preserve">kategorije </w:t>
      </w:r>
      <w:r w:rsidRPr="00275FBD">
        <w:rPr>
          <w:rFonts w:cs="TimesNewRomanPSMT"/>
          <w:szCs w:val="20"/>
          <w:lang w:val="sl-SI" w:eastAsia="en-GB"/>
        </w:rPr>
        <w:t>“RE”.</w:t>
      </w:r>
    </w:p>
    <w:p w14:paraId="69802908" w14:textId="3A620879" w:rsidR="00D505FF" w:rsidRPr="00275FBD" w:rsidRDefault="00D505FF" w:rsidP="00A70177">
      <w:pPr>
        <w:numPr>
          <w:ilvl w:val="0"/>
          <w:numId w:val="23"/>
        </w:numPr>
        <w:rPr>
          <w:rFonts w:cs="TimesNewRomanPSMT"/>
          <w:szCs w:val="20"/>
          <w:lang w:val="sl-SI" w:eastAsia="en-GB"/>
        </w:rPr>
      </w:pPr>
      <w:r w:rsidRPr="00275FBD">
        <w:rPr>
          <w:rFonts w:cs="TimesNewRomanPSMT"/>
          <w:szCs w:val="20"/>
          <w:lang w:val="sl-SI" w:eastAsia="en-GB"/>
        </w:rPr>
        <w:t xml:space="preserve">Od preostalih 191 </w:t>
      </w:r>
      <w:r w:rsidR="00BD5705" w:rsidRPr="00275FBD">
        <w:rPr>
          <w:rFonts w:cs="TimesNewRomanPSMT"/>
          <w:szCs w:val="20"/>
          <w:lang w:val="sl-SI" w:eastAsia="en-GB"/>
        </w:rPr>
        <w:t xml:space="preserve">najdb </w:t>
      </w:r>
      <w:r w:rsidRPr="00275FBD">
        <w:rPr>
          <w:rFonts w:cs="TimesNewRomanPSMT"/>
          <w:szCs w:val="20"/>
          <w:lang w:val="sl-SI" w:eastAsia="en-GB"/>
        </w:rPr>
        <w:t xml:space="preserve">je bilo 15 </w:t>
      </w:r>
      <w:r w:rsidR="00910B6F" w:rsidRPr="00275FBD">
        <w:rPr>
          <w:rFonts w:cs="TimesNewRomanPSMT"/>
          <w:szCs w:val="20"/>
          <w:lang w:val="sl-SI" w:eastAsia="en-GB"/>
        </w:rPr>
        <w:t xml:space="preserve">najdb </w:t>
      </w:r>
      <w:r w:rsidR="00997B22">
        <w:rPr>
          <w:lang w:val="sl-SI" w:eastAsia="en-GB"/>
        </w:rPr>
        <w:t>kategorije</w:t>
      </w:r>
      <w:r w:rsidRPr="00275FBD">
        <w:rPr>
          <w:rFonts w:cs="TimesNewRomanPSMT"/>
          <w:szCs w:val="20"/>
          <w:lang w:val="sl-SI" w:eastAsia="en-GB"/>
        </w:rPr>
        <w:t xml:space="preserve"> »IRR«.</w:t>
      </w:r>
    </w:p>
    <w:p w14:paraId="26CBF1A7" w14:textId="61B7D34C" w:rsidR="00D505FF" w:rsidRPr="00275FBD" w:rsidRDefault="00D505FF" w:rsidP="00D505FF">
      <w:pPr>
        <w:numPr>
          <w:ilvl w:val="1"/>
          <w:numId w:val="23"/>
        </w:numPr>
        <w:rPr>
          <w:rFonts w:cs="TimesNewRomanPSMT"/>
          <w:szCs w:val="20"/>
          <w:lang w:val="sl-SI" w:eastAsia="en-GB"/>
        </w:rPr>
      </w:pPr>
      <w:r w:rsidRPr="00275FBD">
        <w:rPr>
          <w:rFonts w:cs="TimesNewRomanPSMT"/>
          <w:szCs w:val="20"/>
          <w:lang w:val="sl-SI" w:eastAsia="en-GB"/>
        </w:rPr>
        <w:t xml:space="preserve">Od teh 15 jih 14 </w:t>
      </w:r>
      <w:r w:rsidR="00935CFB">
        <w:rPr>
          <w:rFonts w:cs="TimesNewRomanPSMT"/>
          <w:szCs w:val="20"/>
          <w:lang w:val="sl-SI" w:eastAsia="en-GB"/>
        </w:rPr>
        <w:t>prihaja</w:t>
      </w:r>
      <w:r w:rsidR="00910B6F" w:rsidRPr="00275FBD">
        <w:rPr>
          <w:rFonts w:cs="TimesNewRomanPSMT"/>
          <w:szCs w:val="20"/>
          <w:lang w:val="sl-SI" w:eastAsia="en-GB"/>
        </w:rPr>
        <w:t xml:space="preserve"> </w:t>
      </w:r>
      <w:r w:rsidRPr="00275FBD">
        <w:rPr>
          <w:rFonts w:cs="TimesNewRomanPSMT"/>
          <w:szCs w:val="20"/>
          <w:lang w:val="sl-SI" w:eastAsia="en-GB"/>
        </w:rPr>
        <w:t>iz programa "pred-SALTO", en</w:t>
      </w:r>
      <w:r w:rsidR="00EC5401" w:rsidRPr="00275FBD">
        <w:rPr>
          <w:rFonts w:cs="TimesNewRomanPSMT"/>
          <w:szCs w:val="20"/>
          <w:lang w:val="sl-SI" w:eastAsia="en-GB"/>
        </w:rPr>
        <w:t>a</w:t>
      </w:r>
      <w:r w:rsidRPr="00275FBD">
        <w:rPr>
          <w:rFonts w:cs="TimesNewRomanPSMT"/>
          <w:szCs w:val="20"/>
          <w:lang w:val="sl-SI" w:eastAsia="en-GB"/>
        </w:rPr>
        <w:t xml:space="preserve"> </w:t>
      </w:r>
      <w:r w:rsidR="00EC5401" w:rsidRPr="00275FBD">
        <w:rPr>
          <w:rFonts w:cs="TimesNewRomanPSMT"/>
          <w:szCs w:val="20"/>
          <w:lang w:val="sl-SI" w:eastAsia="en-GB"/>
        </w:rPr>
        <w:t>najdba</w:t>
      </w:r>
      <w:r w:rsidRPr="00275FBD">
        <w:rPr>
          <w:rFonts w:cs="TimesNewRomanPSMT"/>
          <w:szCs w:val="20"/>
          <w:lang w:val="sl-SI" w:eastAsia="en-GB"/>
        </w:rPr>
        <w:t xml:space="preserve"> pa je povezan</w:t>
      </w:r>
      <w:r w:rsidR="00EC5401" w:rsidRPr="00275FBD">
        <w:rPr>
          <w:rFonts w:cs="TimesNewRomanPSMT"/>
          <w:szCs w:val="20"/>
          <w:lang w:val="sl-SI" w:eastAsia="en-GB"/>
        </w:rPr>
        <w:t>a</w:t>
      </w:r>
      <w:r w:rsidRPr="00275FBD">
        <w:rPr>
          <w:rFonts w:cs="TimesNewRomanPSMT"/>
          <w:szCs w:val="20"/>
          <w:lang w:val="sl-SI" w:eastAsia="en-GB"/>
        </w:rPr>
        <w:t xml:space="preserve"> s posodobitvijo verjetnostne analize potresne nevarnosti (PSHA). Potreba po obravnavanju teh </w:t>
      </w:r>
      <w:r w:rsidR="00BD5705" w:rsidRPr="00275FBD">
        <w:rPr>
          <w:rFonts w:cs="TimesNewRomanPSMT"/>
          <w:szCs w:val="20"/>
          <w:lang w:val="sl-SI" w:eastAsia="en-GB"/>
        </w:rPr>
        <w:t xml:space="preserve">najdb </w:t>
      </w:r>
      <w:r w:rsidRPr="00275FBD">
        <w:rPr>
          <w:rFonts w:cs="TimesNewRomanPSMT"/>
          <w:szCs w:val="20"/>
          <w:lang w:val="sl-SI" w:eastAsia="en-GB"/>
        </w:rPr>
        <w:t xml:space="preserve">(brez vstopa v postopek podrobnega </w:t>
      </w:r>
      <w:proofErr w:type="spellStart"/>
      <w:r w:rsidRPr="00275FBD">
        <w:rPr>
          <w:rFonts w:cs="TimesNewRomanPSMT"/>
          <w:szCs w:val="20"/>
          <w:lang w:val="sl-SI" w:eastAsia="en-GB"/>
        </w:rPr>
        <w:t>rangiranja</w:t>
      </w:r>
      <w:proofErr w:type="spellEnd"/>
      <w:r w:rsidRPr="00275FBD">
        <w:rPr>
          <w:rFonts w:cs="TimesNewRomanPSMT"/>
          <w:szCs w:val="20"/>
          <w:lang w:val="sl-SI" w:eastAsia="en-GB"/>
        </w:rPr>
        <w:t xml:space="preserve">) je </w:t>
      </w:r>
      <w:r w:rsidR="00935CFB">
        <w:rPr>
          <w:rFonts w:cs="TimesNewRomanPSMT"/>
          <w:szCs w:val="20"/>
          <w:lang w:val="sl-SI" w:eastAsia="en-GB"/>
        </w:rPr>
        <w:t>rezultat</w:t>
      </w:r>
      <w:r w:rsidR="00935CFB" w:rsidRPr="00275FBD">
        <w:rPr>
          <w:rFonts w:cs="TimesNewRomanPSMT"/>
          <w:szCs w:val="20"/>
          <w:lang w:val="sl-SI" w:eastAsia="en-GB"/>
        </w:rPr>
        <w:t xml:space="preserve"> </w:t>
      </w:r>
      <w:r w:rsidRPr="00275FBD">
        <w:rPr>
          <w:rFonts w:cs="TimesNewRomanPSMT"/>
          <w:szCs w:val="20"/>
          <w:lang w:val="sl-SI" w:eastAsia="en-GB"/>
        </w:rPr>
        <w:t>dogovor</w:t>
      </w:r>
      <w:r w:rsidR="00935CFB">
        <w:rPr>
          <w:rFonts w:cs="TimesNewRomanPSMT"/>
          <w:szCs w:val="20"/>
          <w:lang w:val="sl-SI" w:eastAsia="en-GB"/>
        </w:rPr>
        <w:t>a</w:t>
      </w:r>
      <w:r w:rsidRPr="00275FBD">
        <w:rPr>
          <w:rFonts w:cs="TimesNewRomanPSMT"/>
          <w:szCs w:val="20"/>
          <w:lang w:val="sl-SI" w:eastAsia="en-GB"/>
        </w:rPr>
        <w:t xml:space="preserve"> med NEK in </w:t>
      </w:r>
      <w:r w:rsidR="000D7D8A">
        <w:rPr>
          <w:rFonts w:cs="TimesNewRomanPSMT"/>
          <w:szCs w:val="20"/>
          <w:lang w:val="sl-SI" w:eastAsia="en-GB"/>
        </w:rPr>
        <w:t>upravnim organom</w:t>
      </w:r>
      <w:r w:rsidRPr="00275FBD">
        <w:rPr>
          <w:rFonts w:cs="TimesNewRomanPSMT"/>
          <w:szCs w:val="20"/>
          <w:lang w:val="sl-SI" w:eastAsia="en-GB"/>
        </w:rPr>
        <w:t>.</w:t>
      </w:r>
    </w:p>
    <w:p w14:paraId="115A828D" w14:textId="0C2AD903" w:rsidR="002B55AD" w:rsidRPr="00275FBD" w:rsidRDefault="00935CFB" w:rsidP="00D16DC2">
      <w:pPr>
        <w:numPr>
          <w:ilvl w:val="0"/>
          <w:numId w:val="23"/>
        </w:numPr>
        <w:rPr>
          <w:rFonts w:cs="TimesNewRomanPSMT"/>
          <w:szCs w:val="20"/>
          <w:lang w:val="sl-SI" w:eastAsia="en-GB"/>
        </w:rPr>
      </w:pPr>
      <w:r>
        <w:rPr>
          <w:rFonts w:cs="TimesNewRomanPSMT"/>
          <w:szCs w:val="20"/>
          <w:lang w:val="sl-SI" w:eastAsia="en-GB"/>
        </w:rPr>
        <w:t>Za preostalih</w:t>
      </w:r>
      <w:r w:rsidRPr="00275FBD">
        <w:rPr>
          <w:rFonts w:cs="TimesNewRomanPSMT"/>
          <w:szCs w:val="20"/>
          <w:lang w:val="sl-SI" w:eastAsia="en-GB"/>
        </w:rPr>
        <w:t xml:space="preserve"> </w:t>
      </w:r>
      <w:r w:rsidR="002B55AD" w:rsidRPr="00275FBD">
        <w:rPr>
          <w:rFonts w:cs="TimesNewRomanPSMT"/>
          <w:szCs w:val="20"/>
          <w:lang w:val="sl-SI" w:eastAsia="en-GB"/>
        </w:rPr>
        <w:t xml:space="preserve">176 </w:t>
      </w:r>
      <w:r w:rsidR="00BD5705" w:rsidRPr="00275FBD">
        <w:rPr>
          <w:rFonts w:cs="TimesNewRomanPSMT"/>
          <w:szCs w:val="20"/>
          <w:lang w:val="sl-SI" w:eastAsia="en-GB"/>
        </w:rPr>
        <w:t xml:space="preserve">najdb </w:t>
      </w:r>
      <w:r>
        <w:rPr>
          <w:rFonts w:cs="TimesNewRomanPSMT"/>
          <w:szCs w:val="20"/>
          <w:lang w:val="sl-SI" w:eastAsia="en-GB"/>
        </w:rPr>
        <w:t>je bilo izvedeno</w:t>
      </w:r>
      <w:r w:rsidR="002B55AD" w:rsidRPr="00275FBD">
        <w:rPr>
          <w:rFonts w:cs="TimesNewRomanPSMT"/>
          <w:szCs w:val="20"/>
          <w:lang w:val="sl-SI" w:eastAsia="en-GB"/>
        </w:rPr>
        <w:t xml:space="preserve"> podrobn</w:t>
      </w:r>
      <w:r>
        <w:rPr>
          <w:rFonts w:cs="TimesNewRomanPSMT"/>
          <w:szCs w:val="20"/>
          <w:lang w:val="sl-SI" w:eastAsia="en-GB"/>
        </w:rPr>
        <w:t>o</w:t>
      </w:r>
      <w:r w:rsidR="002B55AD" w:rsidRPr="00275FBD">
        <w:rPr>
          <w:rFonts w:cs="TimesNewRomanPSMT"/>
          <w:szCs w:val="20"/>
          <w:lang w:val="sl-SI" w:eastAsia="en-GB"/>
        </w:rPr>
        <w:t xml:space="preserve"> razvrščanj</w:t>
      </w:r>
      <w:r>
        <w:rPr>
          <w:rFonts w:cs="TimesNewRomanPSMT"/>
          <w:szCs w:val="20"/>
          <w:lang w:val="sl-SI" w:eastAsia="en-GB"/>
        </w:rPr>
        <w:t>e</w:t>
      </w:r>
      <w:r w:rsidR="002B55AD" w:rsidRPr="00275FBD">
        <w:rPr>
          <w:rFonts w:cs="TimesNewRomanPSMT"/>
          <w:szCs w:val="20"/>
          <w:lang w:val="sl-SI" w:eastAsia="en-GB"/>
        </w:rPr>
        <w:t xml:space="preserve"> </w:t>
      </w:r>
      <w:r w:rsidR="00BD5705" w:rsidRPr="00275FBD">
        <w:rPr>
          <w:rFonts w:cs="TimesNewRomanPSMT"/>
          <w:szCs w:val="20"/>
          <w:lang w:val="sl-SI" w:eastAsia="en-GB"/>
        </w:rPr>
        <w:t xml:space="preserve">najdb </w:t>
      </w:r>
      <w:r w:rsidR="002B55AD" w:rsidRPr="00275FBD">
        <w:rPr>
          <w:rFonts w:cs="TimesNewRomanPSMT"/>
          <w:szCs w:val="20"/>
          <w:lang w:val="sl-SI" w:eastAsia="en-GB"/>
        </w:rPr>
        <w:t>(na podlagi tveganja / vpliva na DOD ali pa vpliva na OSF):</w:t>
      </w:r>
    </w:p>
    <w:p w14:paraId="08726C2C" w14:textId="6BA0288C" w:rsidR="002B55AD" w:rsidRPr="00275FBD" w:rsidRDefault="002B55AD" w:rsidP="005A2B76">
      <w:pPr>
        <w:numPr>
          <w:ilvl w:val="1"/>
          <w:numId w:val="23"/>
        </w:numPr>
        <w:rPr>
          <w:rFonts w:cs="TimesNewRomanPSMT"/>
          <w:szCs w:val="20"/>
          <w:lang w:val="sl-SI" w:eastAsia="en-GB"/>
        </w:rPr>
      </w:pPr>
      <w:r w:rsidRPr="00275FBD">
        <w:rPr>
          <w:rFonts w:cs="TimesNewRomanPSMT"/>
          <w:szCs w:val="20"/>
          <w:lang w:val="sl-SI" w:eastAsia="en-GB"/>
        </w:rPr>
        <w:t>Ugotovljen</w:t>
      </w:r>
      <w:r w:rsidR="00611C27">
        <w:rPr>
          <w:rFonts w:cs="TimesNewRomanPSMT"/>
          <w:szCs w:val="20"/>
          <w:lang w:val="sl-SI" w:eastAsia="en-GB"/>
        </w:rPr>
        <w:t>a</w:t>
      </w:r>
      <w:r w:rsidRPr="00275FBD">
        <w:rPr>
          <w:rFonts w:cs="TimesNewRomanPSMT"/>
          <w:szCs w:val="20"/>
          <w:lang w:val="sl-SI" w:eastAsia="en-GB"/>
        </w:rPr>
        <w:t xml:space="preserve"> ni bila noben</w:t>
      </w:r>
      <w:r w:rsidR="00611C27">
        <w:rPr>
          <w:rFonts w:cs="TimesNewRomanPSMT"/>
          <w:szCs w:val="20"/>
          <w:lang w:val="sl-SI" w:eastAsia="en-GB"/>
        </w:rPr>
        <w:t>a</w:t>
      </w:r>
      <w:r w:rsidRPr="00275FBD">
        <w:rPr>
          <w:rFonts w:cs="TimesNewRomanPSMT"/>
          <w:szCs w:val="20"/>
          <w:lang w:val="sl-SI" w:eastAsia="en-GB"/>
        </w:rPr>
        <w:t xml:space="preserve"> </w:t>
      </w:r>
      <w:r w:rsidR="00EC5401" w:rsidRPr="00275FBD">
        <w:rPr>
          <w:rFonts w:cs="TimesNewRomanPSMT"/>
          <w:szCs w:val="20"/>
          <w:lang w:val="sl-SI" w:eastAsia="en-GB"/>
        </w:rPr>
        <w:t>najdba</w:t>
      </w:r>
      <w:r w:rsidRPr="00275FBD">
        <w:rPr>
          <w:rFonts w:cs="TimesNewRomanPSMT"/>
          <w:szCs w:val="20"/>
          <w:lang w:val="sl-SI" w:eastAsia="en-GB"/>
        </w:rPr>
        <w:t xml:space="preserve"> z rangom 6 samo za kategorijo »DL«. (Glede na </w:t>
      </w:r>
      <w:r w:rsidRPr="00275FBD">
        <w:rPr>
          <w:rFonts w:cs="TimesNewRomanPSMT"/>
          <w:szCs w:val="20"/>
          <w:lang w:val="sl-SI" w:eastAsia="en-GB"/>
        </w:rPr>
        <w:fldChar w:fldCharType="begin"/>
      </w:r>
      <w:r w:rsidRPr="00275FBD">
        <w:rPr>
          <w:rFonts w:cs="TimesNewRomanPSMT"/>
          <w:szCs w:val="20"/>
          <w:lang w:val="sl-SI" w:eastAsia="en-GB"/>
        </w:rPr>
        <w:instrText xml:space="preserve"> REF _Ref133222751 \r \h </w:instrText>
      </w:r>
      <w:r w:rsidRPr="00275FBD">
        <w:rPr>
          <w:rFonts w:cs="TimesNewRomanPSMT"/>
          <w:szCs w:val="20"/>
          <w:lang w:val="sl-SI" w:eastAsia="en-GB"/>
        </w:rPr>
      </w:r>
      <w:r w:rsidRPr="00275FBD">
        <w:rPr>
          <w:rFonts w:cs="TimesNewRomanPSMT"/>
          <w:szCs w:val="20"/>
          <w:lang w:val="sl-SI" w:eastAsia="en-GB"/>
        </w:rPr>
        <w:fldChar w:fldCharType="separate"/>
      </w:r>
      <w:r w:rsidR="00BA25CD">
        <w:rPr>
          <w:rFonts w:cs="TimesNewRomanPSMT"/>
          <w:szCs w:val="20"/>
          <w:lang w:val="sl-SI" w:eastAsia="en-GB"/>
        </w:rPr>
        <w:t>[1]</w:t>
      </w:r>
      <w:r w:rsidRPr="00275FBD">
        <w:rPr>
          <w:rFonts w:cs="TimesNewRomanPSMT"/>
          <w:szCs w:val="20"/>
          <w:lang w:val="sl-SI" w:eastAsia="en-GB"/>
        </w:rPr>
        <w:fldChar w:fldCharType="end"/>
      </w:r>
      <w:r w:rsidRPr="00275FBD">
        <w:rPr>
          <w:rFonts w:cs="TimesNewRomanPSMT"/>
          <w:szCs w:val="20"/>
          <w:lang w:val="sl-SI" w:eastAsia="en-GB"/>
        </w:rPr>
        <w:t xml:space="preserve"> bi bile to </w:t>
      </w:r>
      <w:r w:rsidR="00CB6B10">
        <w:rPr>
          <w:rFonts w:cs="TimesNewRomanPSMT"/>
          <w:szCs w:val="20"/>
          <w:lang w:val="sl-SI" w:eastAsia="en-GB"/>
        </w:rPr>
        <w:t>najdbe</w:t>
      </w:r>
      <w:r w:rsidR="00CB6B10" w:rsidRPr="00275FBD">
        <w:rPr>
          <w:rFonts w:cs="TimesNewRomanPSMT"/>
          <w:szCs w:val="20"/>
          <w:lang w:val="sl-SI" w:eastAsia="en-GB"/>
        </w:rPr>
        <w:t xml:space="preserve"> </w:t>
      </w:r>
      <w:r w:rsidRPr="00275FBD">
        <w:rPr>
          <w:rFonts w:cs="TimesNewRomanPSMT"/>
          <w:szCs w:val="20"/>
          <w:lang w:val="sl-SI" w:eastAsia="en-GB"/>
        </w:rPr>
        <w:t xml:space="preserve">z zelo visokim tveganjem, potrjenim s PSA ali </w:t>
      </w:r>
      <w:r w:rsidR="00935CFB">
        <w:rPr>
          <w:rFonts w:cs="TimesNewRomanPSMT"/>
          <w:szCs w:val="20"/>
          <w:lang w:val="sl-SI" w:eastAsia="en-GB"/>
        </w:rPr>
        <w:t xml:space="preserve">z </w:t>
      </w:r>
      <w:r w:rsidRPr="00275FBD">
        <w:rPr>
          <w:rFonts w:cs="TimesNewRomanPSMT"/>
          <w:szCs w:val="20"/>
          <w:lang w:val="sl-SI" w:eastAsia="en-GB"/>
        </w:rPr>
        <w:t>nedopustno degradacijo obrambe</w:t>
      </w:r>
      <w:r w:rsidR="00611C27">
        <w:rPr>
          <w:rFonts w:cs="TimesNewRomanPSMT"/>
          <w:szCs w:val="20"/>
          <w:lang w:val="sl-SI" w:eastAsia="en-GB"/>
        </w:rPr>
        <w:t xml:space="preserve"> v globino</w:t>
      </w:r>
      <w:r w:rsidRPr="00275FBD">
        <w:rPr>
          <w:rFonts w:cs="TimesNewRomanPSMT"/>
          <w:szCs w:val="20"/>
          <w:lang w:val="sl-SI" w:eastAsia="en-GB"/>
        </w:rPr>
        <w:t>.)</w:t>
      </w:r>
    </w:p>
    <w:p w14:paraId="3EC08F7A" w14:textId="15F9C51F" w:rsidR="002B55AD" w:rsidRPr="00275FBD" w:rsidRDefault="002B55AD" w:rsidP="005A2B76">
      <w:pPr>
        <w:numPr>
          <w:ilvl w:val="1"/>
          <w:numId w:val="23"/>
        </w:numPr>
        <w:rPr>
          <w:rFonts w:cs="TimesNewRomanPSMT"/>
          <w:szCs w:val="20"/>
          <w:lang w:val="sl-SI" w:eastAsia="en-GB"/>
        </w:rPr>
      </w:pPr>
      <w:r w:rsidRPr="00275FBD">
        <w:rPr>
          <w:rFonts w:cs="TimesNewRomanPSMT"/>
          <w:szCs w:val="20"/>
          <w:lang w:val="sl-SI" w:eastAsia="en-GB"/>
        </w:rPr>
        <w:t>Pri rangu 5 so bil</w:t>
      </w:r>
      <w:r w:rsidR="00EC5401" w:rsidRPr="00275FBD">
        <w:rPr>
          <w:rFonts w:cs="TimesNewRomanPSMT"/>
          <w:szCs w:val="20"/>
          <w:lang w:val="sl-SI" w:eastAsia="en-GB"/>
        </w:rPr>
        <w:t>e</w:t>
      </w:r>
      <w:r w:rsidRPr="00275FBD">
        <w:rPr>
          <w:rFonts w:cs="TimesNewRomanPSMT"/>
          <w:szCs w:val="20"/>
          <w:lang w:val="sl-SI" w:eastAsia="en-GB"/>
        </w:rPr>
        <w:t xml:space="preserve"> identificiran</w:t>
      </w:r>
      <w:r w:rsidR="00EC5401" w:rsidRPr="00275FBD">
        <w:rPr>
          <w:rFonts w:cs="TimesNewRomanPSMT"/>
          <w:szCs w:val="20"/>
          <w:lang w:val="sl-SI" w:eastAsia="en-GB"/>
        </w:rPr>
        <w:t>e</w:t>
      </w:r>
      <w:r w:rsidRPr="00275FBD">
        <w:rPr>
          <w:rFonts w:cs="TimesNewRomanPSMT"/>
          <w:szCs w:val="20"/>
          <w:lang w:val="sl-SI" w:eastAsia="en-GB"/>
        </w:rPr>
        <w:t xml:space="preserve"> tri </w:t>
      </w:r>
      <w:r w:rsidR="00EC5401" w:rsidRPr="00275FBD">
        <w:rPr>
          <w:rFonts w:cs="TimesNewRomanPSMT"/>
          <w:szCs w:val="20"/>
          <w:lang w:val="sl-SI" w:eastAsia="en-GB"/>
        </w:rPr>
        <w:t>najdbe</w:t>
      </w:r>
      <w:r w:rsidRPr="00275FBD">
        <w:rPr>
          <w:rFonts w:cs="TimesNewRomanPSMT"/>
          <w:szCs w:val="20"/>
          <w:lang w:val="sl-SI" w:eastAsia="en-GB"/>
        </w:rPr>
        <w:t>, vs</w:t>
      </w:r>
      <w:r w:rsidR="00EC5401" w:rsidRPr="00275FBD">
        <w:rPr>
          <w:rFonts w:cs="TimesNewRomanPSMT"/>
          <w:szCs w:val="20"/>
          <w:lang w:val="sl-SI" w:eastAsia="en-GB"/>
        </w:rPr>
        <w:t>e</w:t>
      </w:r>
      <w:r w:rsidRPr="00275FBD">
        <w:rPr>
          <w:rFonts w:cs="TimesNewRomanPSMT"/>
          <w:szCs w:val="20"/>
          <w:lang w:val="sl-SI" w:eastAsia="en-GB"/>
        </w:rPr>
        <w:t xml:space="preserve"> iz kategorije »DL« (neposredna povezava z jedrsko varnostjo). (Glede na </w:t>
      </w:r>
      <w:r w:rsidR="00437DB4" w:rsidRPr="00275FBD">
        <w:rPr>
          <w:rFonts w:cs="TimesNewRomanPSMT"/>
          <w:szCs w:val="20"/>
          <w:lang w:val="sl-SI" w:eastAsia="en-GB"/>
        </w:rPr>
        <w:fldChar w:fldCharType="begin"/>
      </w:r>
      <w:r w:rsidR="00437DB4" w:rsidRPr="00275FBD">
        <w:rPr>
          <w:rFonts w:cs="TimesNewRomanPSMT"/>
          <w:szCs w:val="20"/>
          <w:lang w:val="sl-SI" w:eastAsia="en-GB"/>
        </w:rPr>
        <w:instrText xml:space="preserve"> REF _Ref133222751 \r \h </w:instrText>
      </w:r>
      <w:r w:rsidR="00437DB4" w:rsidRPr="00275FBD">
        <w:rPr>
          <w:rFonts w:cs="TimesNewRomanPSMT"/>
          <w:szCs w:val="20"/>
          <w:lang w:val="sl-SI" w:eastAsia="en-GB"/>
        </w:rPr>
      </w:r>
      <w:r w:rsidR="00437DB4" w:rsidRPr="00275FBD">
        <w:rPr>
          <w:rFonts w:cs="TimesNewRomanPSMT"/>
          <w:szCs w:val="20"/>
          <w:lang w:val="sl-SI" w:eastAsia="en-GB"/>
        </w:rPr>
        <w:fldChar w:fldCharType="separate"/>
      </w:r>
      <w:r w:rsidR="00BA25CD">
        <w:rPr>
          <w:rFonts w:cs="TimesNewRomanPSMT"/>
          <w:szCs w:val="20"/>
          <w:lang w:val="sl-SI" w:eastAsia="en-GB"/>
        </w:rPr>
        <w:t>[1]</w:t>
      </w:r>
      <w:r w:rsidR="00437DB4" w:rsidRPr="00275FBD">
        <w:rPr>
          <w:rFonts w:cs="TimesNewRomanPSMT"/>
          <w:szCs w:val="20"/>
          <w:lang w:val="sl-SI" w:eastAsia="en-GB"/>
        </w:rPr>
        <w:fldChar w:fldCharType="end"/>
      </w:r>
      <w:r w:rsidRPr="00275FBD">
        <w:rPr>
          <w:rFonts w:cs="TimesNewRomanPSMT"/>
          <w:szCs w:val="20"/>
          <w:lang w:val="sl-SI" w:eastAsia="en-GB"/>
        </w:rPr>
        <w:t xml:space="preserve"> so </w:t>
      </w:r>
      <w:r w:rsidR="00237606">
        <w:rPr>
          <w:rFonts w:cs="TimesNewRomanPSMT"/>
          <w:szCs w:val="20"/>
          <w:lang w:val="sl-SI" w:eastAsia="en-GB"/>
        </w:rPr>
        <w:t>to</w:t>
      </w:r>
      <w:r w:rsidRPr="00275FBD">
        <w:rPr>
          <w:rFonts w:cs="TimesNewRomanPSMT"/>
          <w:szCs w:val="20"/>
          <w:lang w:val="sl-SI" w:eastAsia="en-GB"/>
        </w:rPr>
        <w:t xml:space="preserve"> </w:t>
      </w:r>
      <w:r w:rsidR="00CB6B10">
        <w:rPr>
          <w:rFonts w:cs="TimesNewRomanPSMT"/>
          <w:szCs w:val="20"/>
          <w:lang w:val="sl-SI" w:eastAsia="en-GB"/>
        </w:rPr>
        <w:t>najdbe</w:t>
      </w:r>
      <w:r w:rsidR="00CB6B10" w:rsidRPr="00275FBD">
        <w:rPr>
          <w:rFonts w:cs="TimesNewRomanPSMT"/>
          <w:szCs w:val="20"/>
          <w:lang w:val="sl-SI" w:eastAsia="en-GB"/>
        </w:rPr>
        <w:t xml:space="preserve"> </w:t>
      </w:r>
      <w:r w:rsidRPr="00275FBD">
        <w:rPr>
          <w:rFonts w:cs="TimesNewRomanPSMT"/>
          <w:szCs w:val="20"/>
          <w:lang w:val="sl-SI" w:eastAsia="en-GB"/>
        </w:rPr>
        <w:t xml:space="preserve">z zmernim do visokim tveganjem, potrjenim s PSA, ali z degradacijo DOD, ki je sprejemljiva le za omejen čas.) Ena od treh je povezana z </w:t>
      </w:r>
      <w:r w:rsidR="00935CFB">
        <w:rPr>
          <w:rFonts w:cs="TimesNewRomanPSMT"/>
          <w:szCs w:val="20"/>
          <w:lang w:val="sl-SI" w:eastAsia="en-GB"/>
        </w:rPr>
        <w:t xml:space="preserve">zagotovitvijo </w:t>
      </w:r>
      <w:r w:rsidRPr="00275FBD">
        <w:rPr>
          <w:rFonts w:cs="TimesNewRomanPSMT"/>
          <w:szCs w:val="20"/>
          <w:lang w:val="sl-SI" w:eastAsia="en-GB"/>
        </w:rPr>
        <w:t>bivaln</w:t>
      </w:r>
      <w:r w:rsidR="00935CFB">
        <w:rPr>
          <w:rFonts w:cs="TimesNewRomanPSMT"/>
          <w:szCs w:val="20"/>
          <w:lang w:val="sl-SI" w:eastAsia="en-GB"/>
        </w:rPr>
        <w:t>ih pogojev v komandni sobi</w:t>
      </w:r>
      <w:r w:rsidRPr="00275FBD">
        <w:rPr>
          <w:rFonts w:cs="TimesNewRomanPSMT"/>
          <w:szCs w:val="20"/>
          <w:lang w:val="sl-SI" w:eastAsia="en-GB"/>
        </w:rPr>
        <w:t xml:space="preserve"> </w:t>
      </w:r>
      <w:r w:rsidR="00935CFB">
        <w:rPr>
          <w:rFonts w:cs="TimesNewRomanPSMT"/>
          <w:szCs w:val="20"/>
          <w:lang w:val="sl-SI" w:eastAsia="en-GB"/>
        </w:rPr>
        <w:t xml:space="preserve">oz. </w:t>
      </w:r>
      <w:r w:rsidRPr="00275FBD">
        <w:rPr>
          <w:rFonts w:cs="TimesNewRomanPSMT"/>
          <w:szCs w:val="20"/>
          <w:lang w:val="sl-SI" w:eastAsia="en-GB"/>
        </w:rPr>
        <w:t xml:space="preserve">MCR (indikacije v zvezi z izgubo tlačne tesnosti MCR / morebitnim puščanjem), preostali dve pa z </w:t>
      </w:r>
      <w:r w:rsidR="00D202DF">
        <w:rPr>
          <w:rFonts w:cs="TimesNewRomanPSMT"/>
          <w:szCs w:val="20"/>
          <w:lang w:val="sl-SI" w:eastAsia="en-GB"/>
        </w:rPr>
        <w:t>nadzorom</w:t>
      </w:r>
      <w:r w:rsidR="00935CFB" w:rsidRPr="00275FBD">
        <w:rPr>
          <w:rFonts w:cs="TimesNewRomanPSMT"/>
          <w:szCs w:val="20"/>
          <w:lang w:val="sl-SI" w:eastAsia="en-GB"/>
        </w:rPr>
        <w:t xml:space="preserve"> </w:t>
      </w:r>
      <w:r w:rsidRPr="00275FBD">
        <w:rPr>
          <w:rFonts w:cs="TimesNewRomanPSMT"/>
          <w:szCs w:val="20"/>
          <w:lang w:val="sl-SI" w:eastAsia="en-GB"/>
        </w:rPr>
        <w:lastRenderedPageBreak/>
        <w:t>staranj</w:t>
      </w:r>
      <w:r w:rsidR="00D202DF">
        <w:rPr>
          <w:rFonts w:cs="TimesNewRomanPSMT"/>
          <w:szCs w:val="20"/>
          <w:lang w:val="sl-SI" w:eastAsia="en-GB"/>
        </w:rPr>
        <w:t>a</w:t>
      </w:r>
      <w:r w:rsidRPr="00275FBD">
        <w:rPr>
          <w:rFonts w:cs="TimesNewRomanPSMT"/>
          <w:szCs w:val="20"/>
          <w:lang w:val="sl-SI" w:eastAsia="en-GB"/>
        </w:rPr>
        <w:t xml:space="preserve"> v okviru </w:t>
      </w:r>
      <w:r w:rsidR="00437DB4" w:rsidRPr="00275FBD">
        <w:rPr>
          <w:rFonts w:cs="TimesNewRomanPSMT"/>
          <w:szCs w:val="20"/>
          <w:lang w:val="sl-SI" w:eastAsia="en-GB"/>
        </w:rPr>
        <w:t xml:space="preserve">programa </w:t>
      </w:r>
      <w:r w:rsidRPr="00275FBD">
        <w:rPr>
          <w:rFonts w:cs="TimesNewRomanPSMT"/>
          <w:szCs w:val="20"/>
          <w:lang w:val="sl-SI" w:eastAsia="en-GB"/>
        </w:rPr>
        <w:t xml:space="preserve">SALTO. </w:t>
      </w:r>
      <w:r w:rsidR="00935CFB">
        <w:rPr>
          <w:rFonts w:cs="TimesNewRomanPSMT"/>
          <w:szCs w:val="20"/>
          <w:lang w:val="sl-SI" w:eastAsia="en-GB"/>
        </w:rPr>
        <w:t>Za n</w:t>
      </w:r>
      <w:r w:rsidR="00EC5401" w:rsidRPr="00275FBD">
        <w:rPr>
          <w:rFonts w:cs="TimesNewRomanPSMT"/>
          <w:szCs w:val="20"/>
          <w:lang w:val="sl-SI" w:eastAsia="en-GB"/>
        </w:rPr>
        <w:t>ajdb</w:t>
      </w:r>
      <w:r w:rsidR="00935CFB">
        <w:rPr>
          <w:rFonts w:cs="TimesNewRomanPSMT"/>
          <w:szCs w:val="20"/>
          <w:lang w:val="sl-SI" w:eastAsia="en-GB"/>
        </w:rPr>
        <w:t>o</w:t>
      </w:r>
      <w:r w:rsidRPr="00275FBD">
        <w:rPr>
          <w:rFonts w:cs="TimesNewRomanPSMT"/>
          <w:szCs w:val="20"/>
          <w:lang w:val="sl-SI" w:eastAsia="en-GB"/>
        </w:rPr>
        <w:t xml:space="preserve"> </w:t>
      </w:r>
      <w:r w:rsidR="00935CFB">
        <w:rPr>
          <w:rFonts w:cs="TimesNewRomanPSMT"/>
          <w:szCs w:val="20"/>
          <w:lang w:val="sl-SI" w:eastAsia="en-GB"/>
        </w:rPr>
        <w:t xml:space="preserve">glede </w:t>
      </w:r>
      <w:r w:rsidR="00437DB4" w:rsidRPr="00275FBD">
        <w:rPr>
          <w:rFonts w:cs="TimesNewRomanPSMT"/>
          <w:szCs w:val="20"/>
          <w:lang w:val="sl-SI" w:eastAsia="en-GB"/>
        </w:rPr>
        <w:t>bivaln</w:t>
      </w:r>
      <w:r w:rsidR="00935CFB">
        <w:rPr>
          <w:rFonts w:cs="TimesNewRomanPSMT"/>
          <w:szCs w:val="20"/>
          <w:lang w:val="sl-SI" w:eastAsia="en-GB"/>
        </w:rPr>
        <w:t>ih pogojev v</w:t>
      </w:r>
      <w:r w:rsidRPr="00275FBD">
        <w:rPr>
          <w:rFonts w:cs="TimesNewRomanPSMT"/>
          <w:szCs w:val="20"/>
          <w:lang w:val="sl-SI" w:eastAsia="en-GB"/>
        </w:rPr>
        <w:t xml:space="preserve"> MCR</w:t>
      </w:r>
      <w:r w:rsidR="00437DB4" w:rsidRPr="00275FBD">
        <w:rPr>
          <w:rFonts w:cs="TimesNewRomanPSMT"/>
          <w:szCs w:val="20"/>
          <w:lang w:val="sl-SI" w:eastAsia="en-GB"/>
        </w:rPr>
        <w:t xml:space="preserve"> je rešitev </w:t>
      </w:r>
      <w:r w:rsidR="00935CFB">
        <w:rPr>
          <w:rFonts w:cs="TimesNewRomanPSMT"/>
          <w:szCs w:val="20"/>
          <w:lang w:val="sl-SI" w:eastAsia="en-GB"/>
        </w:rPr>
        <w:t xml:space="preserve">že </w:t>
      </w:r>
      <w:r w:rsidR="00437DB4" w:rsidRPr="00275FBD">
        <w:rPr>
          <w:rFonts w:cs="TimesNewRomanPSMT"/>
          <w:szCs w:val="20"/>
          <w:lang w:val="sl-SI" w:eastAsia="en-GB"/>
        </w:rPr>
        <w:t>v pripravi</w:t>
      </w:r>
      <w:r w:rsidRPr="00275FBD">
        <w:rPr>
          <w:rFonts w:cs="TimesNewRomanPSMT"/>
          <w:szCs w:val="20"/>
          <w:lang w:val="sl-SI" w:eastAsia="en-GB"/>
        </w:rPr>
        <w:t>. (</w:t>
      </w:r>
      <w:r w:rsidR="00EC5401" w:rsidRPr="00275FBD">
        <w:rPr>
          <w:rFonts w:cs="TimesNewRomanPSMT"/>
          <w:szCs w:val="20"/>
          <w:lang w:val="sl-SI" w:eastAsia="en-GB"/>
        </w:rPr>
        <w:t>Najdba</w:t>
      </w:r>
      <w:r w:rsidRPr="00275FBD">
        <w:rPr>
          <w:rFonts w:cs="TimesNewRomanPSMT"/>
          <w:szCs w:val="20"/>
          <w:lang w:val="sl-SI" w:eastAsia="en-GB"/>
        </w:rPr>
        <w:t xml:space="preserve"> je bil</w:t>
      </w:r>
      <w:r w:rsidR="00611C27">
        <w:rPr>
          <w:rFonts w:cs="TimesNewRomanPSMT"/>
          <w:szCs w:val="20"/>
          <w:lang w:val="sl-SI" w:eastAsia="en-GB"/>
        </w:rPr>
        <w:t>a</w:t>
      </w:r>
      <w:r w:rsidRPr="00275FBD">
        <w:rPr>
          <w:rFonts w:cs="TimesNewRomanPSMT"/>
          <w:szCs w:val="20"/>
          <w:lang w:val="sl-SI" w:eastAsia="en-GB"/>
        </w:rPr>
        <w:t xml:space="preserve"> ugotovljen</w:t>
      </w:r>
      <w:r w:rsidR="00EC5401" w:rsidRPr="00275FBD">
        <w:rPr>
          <w:rFonts w:cs="TimesNewRomanPSMT"/>
          <w:szCs w:val="20"/>
          <w:lang w:val="sl-SI" w:eastAsia="en-GB"/>
        </w:rPr>
        <w:t>a</w:t>
      </w:r>
      <w:r w:rsidRPr="00275FBD">
        <w:rPr>
          <w:rFonts w:cs="TimesNewRomanPSMT"/>
          <w:szCs w:val="20"/>
          <w:lang w:val="sl-SI" w:eastAsia="en-GB"/>
        </w:rPr>
        <w:t xml:space="preserve"> z naključnim pregledom programa CAP.</w:t>
      </w:r>
      <w:r w:rsidR="00437DB4" w:rsidRPr="00275FBD">
        <w:rPr>
          <w:rFonts w:cs="TimesNewRomanPSMT"/>
          <w:szCs w:val="20"/>
          <w:lang w:val="sl-SI" w:eastAsia="en-GB"/>
        </w:rPr>
        <w:t xml:space="preserve"> Z drugimi besedami, je ukrep v CAP že odprt.</w:t>
      </w:r>
      <w:r w:rsidRPr="00275FBD">
        <w:rPr>
          <w:rFonts w:cs="TimesNewRomanPSMT"/>
          <w:szCs w:val="20"/>
          <w:lang w:val="sl-SI" w:eastAsia="en-GB"/>
        </w:rPr>
        <w:t>) Drug</w:t>
      </w:r>
      <w:r w:rsidR="00EC5401" w:rsidRPr="00275FBD">
        <w:rPr>
          <w:rFonts w:cs="TimesNewRomanPSMT"/>
          <w:szCs w:val="20"/>
          <w:lang w:val="sl-SI" w:eastAsia="en-GB"/>
        </w:rPr>
        <w:t>i</w:t>
      </w:r>
      <w:r w:rsidRPr="00275FBD">
        <w:rPr>
          <w:rFonts w:cs="TimesNewRomanPSMT"/>
          <w:szCs w:val="20"/>
          <w:lang w:val="sl-SI" w:eastAsia="en-GB"/>
        </w:rPr>
        <w:t xml:space="preserve"> dv</w:t>
      </w:r>
      <w:r w:rsidR="00EC5401" w:rsidRPr="00275FBD">
        <w:rPr>
          <w:rFonts w:cs="TimesNewRomanPSMT"/>
          <w:szCs w:val="20"/>
          <w:lang w:val="sl-SI" w:eastAsia="en-GB"/>
        </w:rPr>
        <w:t>e</w:t>
      </w:r>
      <w:r w:rsidRPr="00275FBD">
        <w:rPr>
          <w:rFonts w:cs="TimesNewRomanPSMT"/>
          <w:szCs w:val="20"/>
          <w:lang w:val="sl-SI" w:eastAsia="en-GB"/>
        </w:rPr>
        <w:t xml:space="preserve"> sta povezan</w:t>
      </w:r>
      <w:r w:rsidR="00EC5401" w:rsidRPr="00275FBD">
        <w:rPr>
          <w:rFonts w:cs="TimesNewRomanPSMT"/>
          <w:szCs w:val="20"/>
          <w:lang w:val="sl-SI" w:eastAsia="en-GB"/>
        </w:rPr>
        <w:t>i</w:t>
      </w:r>
      <w:r w:rsidRPr="00275FBD">
        <w:rPr>
          <w:rFonts w:cs="TimesNewRomanPSMT"/>
          <w:szCs w:val="20"/>
          <w:lang w:val="sl-SI" w:eastAsia="en-GB"/>
        </w:rPr>
        <w:t xml:space="preserve"> </w:t>
      </w:r>
      <w:r w:rsidR="00EC5401" w:rsidRPr="00275FBD">
        <w:rPr>
          <w:rFonts w:cs="TimesNewRomanPSMT"/>
          <w:szCs w:val="20"/>
          <w:lang w:val="sl-SI" w:eastAsia="en-GB"/>
        </w:rPr>
        <w:t>s</w:t>
      </w:r>
      <w:r w:rsidRPr="00275FBD">
        <w:rPr>
          <w:rFonts w:cs="TimesNewRomanPSMT"/>
          <w:szCs w:val="20"/>
          <w:lang w:val="sl-SI" w:eastAsia="en-GB"/>
        </w:rPr>
        <w:t xml:space="preserve"> </w:t>
      </w:r>
      <w:r w:rsidR="00437DB4" w:rsidRPr="00275FBD">
        <w:rPr>
          <w:rFonts w:cs="TimesNewRomanPSMT"/>
          <w:szCs w:val="20"/>
          <w:lang w:val="sl-SI" w:eastAsia="en-GB"/>
        </w:rPr>
        <w:t xml:space="preserve">pregledom </w:t>
      </w:r>
      <w:r w:rsidRPr="00275FBD">
        <w:rPr>
          <w:rFonts w:cs="TimesNewRomanPSMT"/>
          <w:szCs w:val="20"/>
          <w:lang w:val="sl-SI" w:eastAsia="en-GB"/>
        </w:rPr>
        <w:t>»pred</w:t>
      </w:r>
      <w:r w:rsidR="00437DB4" w:rsidRPr="00275FBD">
        <w:rPr>
          <w:rFonts w:cs="TimesNewRomanPSMT"/>
          <w:szCs w:val="20"/>
          <w:lang w:val="sl-SI" w:eastAsia="en-GB"/>
        </w:rPr>
        <w:t>-</w:t>
      </w:r>
      <w:r w:rsidRPr="00275FBD">
        <w:rPr>
          <w:rFonts w:cs="TimesNewRomanPSMT"/>
          <w:szCs w:val="20"/>
          <w:lang w:val="sl-SI" w:eastAsia="en-GB"/>
        </w:rPr>
        <w:t xml:space="preserve">SALTO« (iz kategorije »IRR«): v bistvu gre za potrebo po konsolidaciji upravljanja </w:t>
      </w:r>
      <w:r w:rsidR="00BD5705" w:rsidRPr="00275FBD">
        <w:rPr>
          <w:rFonts w:cs="TimesNewRomanPSMT"/>
          <w:szCs w:val="20"/>
          <w:lang w:val="sl-SI" w:eastAsia="en-GB"/>
        </w:rPr>
        <w:t>najdb</w:t>
      </w:r>
      <w:r w:rsidR="00611C27">
        <w:rPr>
          <w:rFonts w:cs="TimesNewRomanPSMT"/>
          <w:szCs w:val="20"/>
          <w:lang w:val="sl-SI" w:eastAsia="en-GB"/>
        </w:rPr>
        <w:t>,</w:t>
      </w:r>
      <w:r w:rsidR="00BD5705" w:rsidRPr="00275FBD">
        <w:rPr>
          <w:rFonts w:cs="TimesNewRomanPSMT"/>
          <w:szCs w:val="20"/>
          <w:lang w:val="sl-SI" w:eastAsia="en-GB"/>
        </w:rPr>
        <w:t xml:space="preserve"> </w:t>
      </w:r>
      <w:r w:rsidRPr="00275FBD">
        <w:rPr>
          <w:rFonts w:cs="TimesNewRomanPSMT"/>
          <w:szCs w:val="20"/>
          <w:lang w:val="sl-SI" w:eastAsia="en-GB"/>
        </w:rPr>
        <w:t xml:space="preserve">ki se lahko pojavijo v prihodnosti in vplivajo na dolgoročno </w:t>
      </w:r>
      <w:r w:rsidR="00437DB4" w:rsidRPr="00275FBD">
        <w:rPr>
          <w:rFonts w:cs="TimesNewRomanPSMT"/>
          <w:szCs w:val="20"/>
          <w:lang w:val="sl-SI" w:eastAsia="en-GB"/>
        </w:rPr>
        <w:t>obratovanje</w:t>
      </w:r>
      <w:r w:rsidRPr="00275FBD">
        <w:rPr>
          <w:rFonts w:cs="TimesNewRomanPSMT"/>
          <w:szCs w:val="20"/>
          <w:lang w:val="sl-SI" w:eastAsia="en-GB"/>
        </w:rPr>
        <w:t xml:space="preserve">. Zato se ne </w:t>
      </w:r>
      <w:r w:rsidR="00437DB4" w:rsidRPr="00275FBD">
        <w:rPr>
          <w:rFonts w:cs="TimesNewRomanPSMT"/>
          <w:szCs w:val="20"/>
          <w:lang w:val="sl-SI" w:eastAsia="en-GB"/>
        </w:rPr>
        <w:t>smatra</w:t>
      </w:r>
      <w:r w:rsidRPr="00275FBD">
        <w:rPr>
          <w:rFonts w:cs="TimesNewRomanPSMT"/>
          <w:szCs w:val="20"/>
          <w:lang w:val="sl-SI" w:eastAsia="en-GB"/>
        </w:rPr>
        <w:t xml:space="preserve">, da spreminjajo dojemanje </w:t>
      </w:r>
      <w:r w:rsidR="00437DB4" w:rsidRPr="00275FBD">
        <w:rPr>
          <w:rFonts w:cs="TimesNewRomanPSMT"/>
          <w:szCs w:val="20"/>
          <w:lang w:val="sl-SI" w:eastAsia="en-GB"/>
        </w:rPr>
        <w:t xml:space="preserve">tekočega </w:t>
      </w:r>
      <w:r w:rsidRPr="00275FBD">
        <w:rPr>
          <w:rFonts w:cs="TimesNewRomanPSMT"/>
          <w:szCs w:val="20"/>
          <w:lang w:val="sl-SI" w:eastAsia="en-GB"/>
        </w:rPr>
        <w:t xml:space="preserve">referenčnega </w:t>
      </w:r>
      <w:r w:rsidR="00437DB4" w:rsidRPr="00275FBD">
        <w:rPr>
          <w:rFonts w:cs="TimesNewRomanPSMT"/>
          <w:szCs w:val="20"/>
          <w:lang w:val="sl-SI" w:eastAsia="en-GB"/>
        </w:rPr>
        <w:t>stanja elektrarne</w:t>
      </w:r>
      <w:r w:rsidRPr="00275FBD">
        <w:rPr>
          <w:rFonts w:cs="TimesNewRomanPSMT"/>
          <w:szCs w:val="20"/>
          <w:lang w:val="sl-SI" w:eastAsia="en-GB"/>
        </w:rPr>
        <w:t xml:space="preserve">, o katerem </w:t>
      </w:r>
      <w:r w:rsidR="00437DB4" w:rsidRPr="00275FBD">
        <w:rPr>
          <w:rFonts w:cs="TimesNewRomanPSMT"/>
          <w:szCs w:val="20"/>
          <w:lang w:val="sl-SI" w:eastAsia="en-GB"/>
        </w:rPr>
        <w:t>se je</w:t>
      </w:r>
      <w:r w:rsidRPr="00275FBD">
        <w:rPr>
          <w:rFonts w:cs="TimesNewRomanPSMT"/>
          <w:szCs w:val="20"/>
          <w:lang w:val="sl-SI" w:eastAsia="en-GB"/>
        </w:rPr>
        <w:t xml:space="preserve"> govoril</w:t>
      </w:r>
      <w:r w:rsidR="00437DB4" w:rsidRPr="00275FBD">
        <w:rPr>
          <w:rFonts w:cs="TimesNewRomanPSMT"/>
          <w:szCs w:val="20"/>
          <w:lang w:val="sl-SI" w:eastAsia="en-GB"/>
        </w:rPr>
        <w:t>o</w:t>
      </w:r>
      <w:r w:rsidRPr="00275FBD">
        <w:rPr>
          <w:rFonts w:cs="TimesNewRomanPSMT"/>
          <w:szCs w:val="20"/>
          <w:lang w:val="sl-SI" w:eastAsia="en-GB"/>
        </w:rPr>
        <w:t xml:space="preserve"> zgoraj.</w:t>
      </w:r>
    </w:p>
    <w:p w14:paraId="6927A859" w14:textId="35C1ADDB" w:rsidR="00ED1A59" w:rsidRPr="00275FBD" w:rsidRDefault="00E72C5E" w:rsidP="0013348E">
      <w:pPr>
        <w:numPr>
          <w:ilvl w:val="1"/>
          <w:numId w:val="23"/>
        </w:numPr>
        <w:rPr>
          <w:rFonts w:cs="TimesNewRomanPSMT"/>
          <w:szCs w:val="20"/>
          <w:lang w:val="sl-SI" w:eastAsia="en-GB"/>
        </w:rPr>
      </w:pPr>
      <w:r w:rsidRPr="00275FBD">
        <w:rPr>
          <w:lang w:val="sl-SI"/>
        </w:rPr>
        <w:t>Povzetek glede ranga</w:t>
      </w:r>
      <w:r w:rsidR="0029692E" w:rsidRPr="00275FBD">
        <w:rPr>
          <w:lang w:val="sl-SI"/>
        </w:rPr>
        <w:t xml:space="preserve"> 4</w:t>
      </w:r>
      <w:r w:rsidR="00ED1A59" w:rsidRPr="00275FBD">
        <w:rPr>
          <w:rFonts w:cs="TimesNewRomanPSMT"/>
          <w:szCs w:val="20"/>
          <w:lang w:val="sl-SI" w:eastAsia="en-GB"/>
        </w:rPr>
        <w:t>:</w:t>
      </w:r>
    </w:p>
    <w:p w14:paraId="1C293927" w14:textId="24DC574D" w:rsidR="0029692E" w:rsidRPr="00275FBD" w:rsidRDefault="00935CFB" w:rsidP="0029692E">
      <w:pPr>
        <w:numPr>
          <w:ilvl w:val="2"/>
          <w:numId w:val="23"/>
        </w:numPr>
        <w:tabs>
          <w:tab w:val="left" w:pos="2268"/>
        </w:tabs>
        <w:rPr>
          <w:rFonts w:cs="TimesNewRomanPSMT"/>
          <w:szCs w:val="20"/>
          <w:lang w:val="sl-SI" w:eastAsia="en-GB"/>
        </w:rPr>
      </w:pPr>
      <w:r>
        <w:rPr>
          <w:rFonts w:cs="TimesNewRomanPSMT"/>
          <w:szCs w:val="20"/>
          <w:lang w:val="sl-SI" w:eastAsia="en-GB"/>
        </w:rPr>
        <w:t>Tak</w:t>
      </w:r>
      <w:r w:rsidR="005A4290">
        <w:rPr>
          <w:rFonts w:cs="TimesNewRomanPSMT"/>
          <w:szCs w:val="20"/>
          <w:lang w:val="sl-SI" w:eastAsia="en-GB"/>
        </w:rPr>
        <w:t>e</w:t>
      </w:r>
      <w:r>
        <w:rPr>
          <w:rFonts w:cs="TimesNewRomanPSMT"/>
          <w:szCs w:val="20"/>
          <w:lang w:val="sl-SI" w:eastAsia="en-GB"/>
        </w:rPr>
        <w:t xml:space="preserve"> ocen</w:t>
      </w:r>
      <w:r w:rsidR="005A4290">
        <w:rPr>
          <w:rFonts w:cs="TimesNewRomanPSMT"/>
          <w:szCs w:val="20"/>
          <w:lang w:val="sl-SI" w:eastAsia="en-GB"/>
        </w:rPr>
        <w:t>e ni prejela</w:t>
      </w:r>
      <w:r w:rsidR="0029692E" w:rsidRPr="00275FBD">
        <w:rPr>
          <w:rFonts w:cs="TimesNewRomanPSMT"/>
          <w:szCs w:val="20"/>
          <w:lang w:val="sl-SI" w:eastAsia="en-GB"/>
        </w:rPr>
        <w:t xml:space="preserve"> </w:t>
      </w:r>
      <w:r w:rsidR="005A4290">
        <w:rPr>
          <w:rFonts w:cs="TimesNewRomanPSMT"/>
          <w:szCs w:val="20"/>
          <w:lang w:val="sl-SI" w:eastAsia="en-GB"/>
        </w:rPr>
        <w:t>nobena</w:t>
      </w:r>
      <w:r w:rsidR="005A4290" w:rsidRPr="00275FBD">
        <w:rPr>
          <w:rFonts w:cs="TimesNewRomanPSMT"/>
          <w:szCs w:val="20"/>
          <w:lang w:val="sl-SI" w:eastAsia="en-GB"/>
        </w:rPr>
        <w:t xml:space="preserve"> najdb</w:t>
      </w:r>
      <w:r w:rsidR="005A4290">
        <w:rPr>
          <w:rFonts w:cs="TimesNewRomanPSMT"/>
          <w:szCs w:val="20"/>
          <w:lang w:val="sl-SI" w:eastAsia="en-GB"/>
        </w:rPr>
        <w:t>a</w:t>
      </w:r>
      <w:r w:rsidR="005A4290" w:rsidRPr="00275FBD">
        <w:rPr>
          <w:rFonts w:cs="TimesNewRomanPSMT"/>
          <w:szCs w:val="20"/>
          <w:lang w:val="sl-SI" w:eastAsia="en-GB"/>
        </w:rPr>
        <w:t xml:space="preserve"> </w:t>
      </w:r>
      <w:r w:rsidR="0029692E" w:rsidRPr="00275FBD">
        <w:rPr>
          <w:rFonts w:cs="TimesNewRomanPSMT"/>
          <w:szCs w:val="20"/>
          <w:lang w:val="sl-SI" w:eastAsia="en-GB"/>
        </w:rPr>
        <w:t xml:space="preserve">iz kategorije »DL« (neposredna povezava z jedrsko varnostjo). (Glede na </w:t>
      </w:r>
      <w:r w:rsidR="0029692E" w:rsidRPr="00275FBD">
        <w:rPr>
          <w:rFonts w:cs="TimesNewRomanPSMT"/>
          <w:szCs w:val="20"/>
          <w:lang w:val="sl-SI" w:eastAsia="en-GB"/>
        </w:rPr>
        <w:fldChar w:fldCharType="begin"/>
      </w:r>
      <w:r w:rsidR="0029692E" w:rsidRPr="00275FBD">
        <w:rPr>
          <w:rFonts w:cs="TimesNewRomanPSMT"/>
          <w:szCs w:val="20"/>
          <w:lang w:val="sl-SI" w:eastAsia="en-GB"/>
        </w:rPr>
        <w:instrText xml:space="preserve"> REF _Ref133222751 \r \h </w:instrText>
      </w:r>
      <w:r w:rsidR="0029692E" w:rsidRPr="00275FBD">
        <w:rPr>
          <w:rFonts w:cs="TimesNewRomanPSMT"/>
          <w:szCs w:val="20"/>
          <w:lang w:val="sl-SI" w:eastAsia="en-GB"/>
        </w:rPr>
      </w:r>
      <w:r w:rsidR="0029692E" w:rsidRPr="00275FBD">
        <w:rPr>
          <w:rFonts w:cs="TimesNewRomanPSMT"/>
          <w:szCs w:val="20"/>
          <w:lang w:val="sl-SI" w:eastAsia="en-GB"/>
        </w:rPr>
        <w:fldChar w:fldCharType="separate"/>
      </w:r>
      <w:r w:rsidR="00BA25CD">
        <w:rPr>
          <w:rFonts w:cs="TimesNewRomanPSMT"/>
          <w:szCs w:val="20"/>
          <w:lang w:val="sl-SI" w:eastAsia="en-GB"/>
        </w:rPr>
        <w:t>[1]</w:t>
      </w:r>
      <w:r w:rsidR="0029692E" w:rsidRPr="00275FBD">
        <w:rPr>
          <w:rFonts w:cs="TimesNewRomanPSMT"/>
          <w:szCs w:val="20"/>
          <w:lang w:val="sl-SI" w:eastAsia="en-GB"/>
        </w:rPr>
        <w:fldChar w:fldCharType="end"/>
      </w:r>
      <w:r w:rsidR="0029692E" w:rsidRPr="00275FBD">
        <w:rPr>
          <w:rFonts w:cs="TimesNewRomanPSMT"/>
          <w:szCs w:val="20"/>
          <w:lang w:val="sl-SI" w:eastAsia="en-GB"/>
        </w:rPr>
        <w:t xml:space="preserve"> bi bile </w:t>
      </w:r>
      <w:r w:rsidR="00737906">
        <w:rPr>
          <w:rFonts w:cs="TimesNewRomanPSMT"/>
          <w:szCs w:val="20"/>
          <w:lang w:val="sl-SI" w:eastAsia="en-GB"/>
        </w:rPr>
        <w:t>to</w:t>
      </w:r>
      <w:r w:rsidR="0029692E" w:rsidRPr="00275FBD">
        <w:rPr>
          <w:rFonts w:cs="TimesNewRomanPSMT"/>
          <w:szCs w:val="20"/>
          <w:lang w:val="sl-SI" w:eastAsia="en-GB"/>
        </w:rPr>
        <w:t xml:space="preserve"> </w:t>
      </w:r>
      <w:r w:rsidR="00CB6B10">
        <w:rPr>
          <w:rFonts w:cs="TimesNewRomanPSMT"/>
          <w:szCs w:val="20"/>
          <w:lang w:val="sl-SI" w:eastAsia="en-GB"/>
        </w:rPr>
        <w:t>najdbe</w:t>
      </w:r>
      <w:r w:rsidR="00CB6B10" w:rsidRPr="00275FBD">
        <w:rPr>
          <w:rFonts w:cs="TimesNewRomanPSMT"/>
          <w:szCs w:val="20"/>
          <w:lang w:val="sl-SI" w:eastAsia="en-GB"/>
        </w:rPr>
        <w:t xml:space="preserve"> </w:t>
      </w:r>
      <w:r w:rsidR="0029692E" w:rsidRPr="00275FBD">
        <w:rPr>
          <w:rFonts w:cs="TimesNewRomanPSMT"/>
          <w:szCs w:val="20"/>
          <w:lang w:val="sl-SI" w:eastAsia="en-GB"/>
        </w:rPr>
        <w:t>z nizkim do zmernim tveganjem, potrjenim s PSA, ali z degradacijo DOD, ki je dopustna dlje časa.)</w:t>
      </w:r>
    </w:p>
    <w:p w14:paraId="74825B8A" w14:textId="15999E65" w:rsidR="0029692E" w:rsidRPr="00275FBD" w:rsidRDefault="000066AD" w:rsidP="0029692E">
      <w:pPr>
        <w:numPr>
          <w:ilvl w:val="2"/>
          <w:numId w:val="23"/>
        </w:numPr>
        <w:tabs>
          <w:tab w:val="left" w:pos="2268"/>
        </w:tabs>
        <w:rPr>
          <w:rFonts w:cs="TimesNewRomanPSMT"/>
          <w:szCs w:val="20"/>
          <w:lang w:val="sl-SI" w:eastAsia="en-GB"/>
        </w:rPr>
      </w:pPr>
      <w:r>
        <w:rPr>
          <w:rFonts w:cs="TimesNewRomanPSMT"/>
          <w:szCs w:val="20"/>
          <w:lang w:val="sl-SI" w:eastAsia="en-GB"/>
        </w:rPr>
        <w:t>Skupno</w:t>
      </w:r>
      <w:r w:rsidR="0029692E" w:rsidRPr="00275FBD">
        <w:rPr>
          <w:rFonts w:cs="TimesNewRomanPSMT"/>
          <w:szCs w:val="20"/>
          <w:lang w:val="sl-SI" w:eastAsia="en-GB"/>
        </w:rPr>
        <w:t xml:space="preserve"> je </w:t>
      </w:r>
      <w:r w:rsidR="005A4290">
        <w:rPr>
          <w:rFonts w:cs="TimesNewRomanPSMT"/>
          <w:szCs w:val="20"/>
          <w:lang w:val="sl-SI" w:eastAsia="en-GB"/>
        </w:rPr>
        <w:t>tako oceno preje</w:t>
      </w:r>
      <w:r w:rsidR="00737906">
        <w:rPr>
          <w:rFonts w:cs="TimesNewRomanPSMT"/>
          <w:szCs w:val="20"/>
          <w:lang w:val="sl-SI" w:eastAsia="en-GB"/>
        </w:rPr>
        <w:t xml:space="preserve">lo </w:t>
      </w:r>
      <w:r w:rsidR="0029692E" w:rsidRPr="00275FBD">
        <w:rPr>
          <w:rFonts w:cs="TimesNewRomanPSMT"/>
          <w:szCs w:val="20"/>
          <w:lang w:val="sl-SI" w:eastAsia="en-GB"/>
        </w:rPr>
        <w:t xml:space="preserve">30 </w:t>
      </w:r>
      <w:r w:rsidR="00BD5705" w:rsidRPr="00275FBD">
        <w:rPr>
          <w:rFonts w:cs="TimesNewRomanPSMT"/>
          <w:szCs w:val="20"/>
          <w:lang w:val="sl-SI" w:eastAsia="en-GB"/>
        </w:rPr>
        <w:t xml:space="preserve">najdb </w:t>
      </w:r>
      <w:r w:rsidR="0029692E" w:rsidRPr="00275FBD">
        <w:rPr>
          <w:rFonts w:cs="TimesNewRomanPSMT"/>
          <w:szCs w:val="20"/>
          <w:lang w:val="sl-SI" w:eastAsia="en-GB"/>
        </w:rPr>
        <w:t xml:space="preserve">iz kategorije »RE« (ponovna ocena osnove jedrske varnosti). Po </w:t>
      </w:r>
      <w:r w:rsidR="0029692E" w:rsidRPr="00275FBD">
        <w:rPr>
          <w:rFonts w:cs="TimesNewRomanPSMT"/>
          <w:szCs w:val="20"/>
          <w:lang w:val="sl-SI" w:eastAsia="en-GB"/>
        </w:rPr>
        <w:fldChar w:fldCharType="begin"/>
      </w:r>
      <w:r w:rsidR="0029692E" w:rsidRPr="00275FBD">
        <w:rPr>
          <w:rFonts w:cs="TimesNewRomanPSMT"/>
          <w:szCs w:val="20"/>
          <w:lang w:val="sl-SI" w:eastAsia="en-GB"/>
        </w:rPr>
        <w:instrText xml:space="preserve"> REF _Ref133222751 \r \h </w:instrText>
      </w:r>
      <w:r w:rsidR="0029692E" w:rsidRPr="00275FBD">
        <w:rPr>
          <w:rFonts w:cs="TimesNewRomanPSMT"/>
          <w:szCs w:val="20"/>
          <w:lang w:val="sl-SI" w:eastAsia="en-GB"/>
        </w:rPr>
      </w:r>
      <w:r w:rsidR="0029692E" w:rsidRPr="00275FBD">
        <w:rPr>
          <w:rFonts w:cs="TimesNewRomanPSMT"/>
          <w:szCs w:val="20"/>
          <w:lang w:val="sl-SI" w:eastAsia="en-GB"/>
        </w:rPr>
        <w:fldChar w:fldCharType="separate"/>
      </w:r>
      <w:r w:rsidR="00BA25CD">
        <w:rPr>
          <w:rFonts w:cs="TimesNewRomanPSMT"/>
          <w:szCs w:val="20"/>
          <w:lang w:val="sl-SI" w:eastAsia="en-GB"/>
        </w:rPr>
        <w:t>[1]</w:t>
      </w:r>
      <w:r w:rsidR="0029692E" w:rsidRPr="00275FBD">
        <w:rPr>
          <w:rFonts w:cs="TimesNewRomanPSMT"/>
          <w:szCs w:val="20"/>
          <w:lang w:val="sl-SI" w:eastAsia="en-GB"/>
        </w:rPr>
        <w:fldChar w:fldCharType="end"/>
      </w:r>
      <w:r w:rsidR="0029692E" w:rsidRPr="00275FBD">
        <w:rPr>
          <w:rFonts w:cs="TimesNewRomanPSMT"/>
          <w:szCs w:val="20"/>
          <w:lang w:val="sl-SI" w:eastAsia="en-GB"/>
        </w:rPr>
        <w:t xml:space="preserve"> so </w:t>
      </w:r>
      <w:r w:rsidR="00737906">
        <w:rPr>
          <w:rFonts w:cs="TimesNewRomanPSMT"/>
          <w:szCs w:val="20"/>
          <w:lang w:val="sl-SI" w:eastAsia="en-GB"/>
        </w:rPr>
        <w:t>to</w:t>
      </w:r>
      <w:r w:rsidR="0029692E" w:rsidRPr="00275FBD">
        <w:rPr>
          <w:rFonts w:cs="TimesNewRomanPSMT"/>
          <w:szCs w:val="20"/>
          <w:lang w:val="sl-SI" w:eastAsia="en-GB"/>
        </w:rPr>
        <w:t xml:space="preserve"> </w:t>
      </w:r>
      <w:r w:rsidR="00910B6F" w:rsidRPr="00275FBD">
        <w:rPr>
          <w:rFonts w:cs="TimesNewRomanPSMT"/>
          <w:szCs w:val="20"/>
          <w:lang w:val="sl-SI" w:eastAsia="en-GB"/>
        </w:rPr>
        <w:t xml:space="preserve">najdbe </w:t>
      </w:r>
      <w:r w:rsidR="0029692E" w:rsidRPr="00275FBD">
        <w:rPr>
          <w:rFonts w:cs="TimesNewRomanPSMT"/>
          <w:szCs w:val="20"/>
          <w:lang w:val="sl-SI" w:eastAsia="en-GB"/>
        </w:rPr>
        <w:t>z verodostojno indikacijo zmernega tveganja ali degradacij</w:t>
      </w:r>
      <w:r w:rsidR="00737906">
        <w:rPr>
          <w:rFonts w:cs="TimesNewRomanPSMT"/>
          <w:szCs w:val="20"/>
          <w:lang w:val="sl-SI" w:eastAsia="en-GB"/>
        </w:rPr>
        <w:t>o</w:t>
      </w:r>
      <w:r w:rsidR="0029692E" w:rsidRPr="00275FBD">
        <w:rPr>
          <w:rFonts w:cs="TimesNewRomanPSMT"/>
          <w:szCs w:val="20"/>
          <w:lang w:val="sl-SI" w:eastAsia="en-GB"/>
        </w:rPr>
        <w:t xml:space="preserve"> DOD z omejeno sprejemljivostjo, kar je mogoče potrditi s ponovno oceno varnosti; ali </w:t>
      </w:r>
      <w:r w:rsidR="00910B6F" w:rsidRPr="00275FBD">
        <w:rPr>
          <w:rFonts w:cs="TimesNewRomanPSMT"/>
          <w:szCs w:val="20"/>
          <w:lang w:val="sl-SI" w:eastAsia="en-GB"/>
        </w:rPr>
        <w:t xml:space="preserve">najdbe </w:t>
      </w:r>
      <w:r w:rsidR="0029692E" w:rsidRPr="00275FBD">
        <w:rPr>
          <w:rFonts w:cs="TimesNewRomanPSMT"/>
          <w:szCs w:val="20"/>
          <w:lang w:val="sl-SI" w:eastAsia="en-GB"/>
        </w:rPr>
        <w:t xml:space="preserve">z velikim neskladjem </w:t>
      </w:r>
      <w:r w:rsidR="00737906">
        <w:rPr>
          <w:rFonts w:cs="TimesNewRomanPSMT"/>
          <w:szCs w:val="20"/>
          <w:lang w:val="sl-SI" w:eastAsia="en-GB"/>
        </w:rPr>
        <w:t>z</w:t>
      </w:r>
      <w:r w:rsidR="00737906" w:rsidRPr="00275FBD">
        <w:rPr>
          <w:rFonts w:cs="TimesNewRomanPSMT"/>
          <w:szCs w:val="20"/>
          <w:lang w:val="sl-SI" w:eastAsia="en-GB"/>
        </w:rPr>
        <w:t xml:space="preserve"> mednarodni</w:t>
      </w:r>
      <w:r w:rsidR="00737906">
        <w:rPr>
          <w:rFonts w:cs="TimesNewRomanPSMT"/>
          <w:szCs w:val="20"/>
          <w:lang w:val="sl-SI" w:eastAsia="en-GB"/>
        </w:rPr>
        <w:t>mi</w:t>
      </w:r>
      <w:r w:rsidR="00737906" w:rsidRPr="00275FBD">
        <w:rPr>
          <w:rFonts w:cs="TimesNewRomanPSMT"/>
          <w:szCs w:val="20"/>
          <w:lang w:val="sl-SI" w:eastAsia="en-GB"/>
        </w:rPr>
        <w:t xml:space="preserve"> standard</w:t>
      </w:r>
      <w:r w:rsidR="00737906">
        <w:rPr>
          <w:rFonts w:cs="TimesNewRomanPSMT"/>
          <w:szCs w:val="20"/>
          <w:lang w:val="sl-SI" w:eastAsia="en-GB"/>
        </w:rPr>
        <w:t>i</w:t>
      </w:r>
      <w:r w:rsidR="00737906" w:rsidRPr="00275FBD">
        <w:rPr>
          <w:rFonts w:cs="TimesNewRomanPSMT"/>
          <w:szCs w:val="20"/>
          <w:lang w:val="sl-SI" w:eastAsia="en-GB"/>
        </w:rPr>
        <w:t xml:space="preserve"> </w:t>
      </w:r>
      <w:r w:rsidR="0029692E" w:rsidRPr="00275FBD">
        <w:rPr>
          <w:rFonts w:cs="TimesNewRomanPSMT"/>
          <w:szCs w:val="20"/>
          <w:lang w:val="sl-SI" w:eastAsia="en-GB"/>
        </w:rPr>
        <w:t xml:space="preserve">jedrske varnosti. </w:t>
      </w:r>
      <w:r w:rsidR="00737906">
        <w:rPr>
          <w:rFonts w:cs="TimesNewRomanPSMT"/>
          <w:szCs w:val="20"/>
          <w:lang w:val="sl-SI" w:eastAsia="en-GB"/>
        </w:rPr>
        <w:t>Ta</w:t>
      </w:r>
      <w:r w:rsidR="005A4290">
        <w:rPr>
          <w:rFonts w:cs="TimesNewRomanPSMT"/>
          <w:szCs w:val="20"/>
          <w:lang w:val="sl-SI" w:eastAsia="en-GB"/>
        </w:rPr>
        <w:t>k</w:t>
      </w:r>
      <w:r w:rsidR="00737906">
        <w:rPr>
          <w:rFonts w:cs="TimesNewRomanPSMT"/>
          <w:szCs w:val="20"/>
          <w:lang w:val="sl-SI" w:eastAsia="en-GB"/>
        </w:rPr>
        <w:t>e</w:t>
      </w:r>
      <w:r w:rsidR="00737906" w:rsidRPr="00275FBD">
        <w:rPr>
          <w:rFonts w:cs="TimesNewRomanPSMT"/>
          <w:szCs w:val="20"/>
          <w:lang w:val="sl-SI" w:eastAsia="en-GB"/>
        </w:rPr>
        <w:t xml:space="preserve"> </w:t>
      </w:r>
      <w:r w:rsidR="00910B6F" w:rsidRPr="00275FBD">
        <w:rPr>
          <w:rFonts w:cs="TimesNewRomanPSMT"/>
          <w:szCs w:val="20"/>
          <w:lang w:val="sl-SI" w:eastAsia="en-GB"/>
        </w:rPr>
        <w:t xml:space="preserve">najdbe </w:t>
      </w:r>
      <w:r w:rsidR="0029692E" w:rsidRPr="00275FBD">
        <w:rPr>
          <w:rFonts w:cs="TimesNewRomanPSMT"/>
          <w:szCs w:val="20"/>
          <w:lang w:val="sl-SI" w:eastAsia="en-GB"/>
        </w:rPr>
        <w:t>vključujejo: vrednotenje dejanskega stanja zgradb in objektov elektrarne; ocene okoljskih kvalifikacijskih zahtev kot tudi seizmičnih kvalifikacijskih zahtev; vrednotenja / analize DEC sistemov in pogojev; ponovne ocene sistema delovnih nalogov; (ponovne) ocene radiološke varnosti glede na procese v elektrarni in glede na okolje; (ponovne) ocene projektnih osnov ali funkcij in zaporedij DEC, vključno s funkcijo izolacije zadrževalnega hrama in scenarijem opustitve MCR; ponovna ocena požarne ogroženosti; in izvajanje integriranega procesa odločanja upoštevajoč informacije o tveganjih.</w:t>
      </w:r>
    </w:p>
    <w:p w14:paraId="576AF085" w14:textId="5A5BEB15" w:rsidR="0029692E" w:rsidRPr="00275FBD" w:rsidRDefault="005A4290" w:rsidP="0029692E">
      <w:pPr>
        <w:numPr>
          <w:ilvl w:val="2"/>
          <w:numId w:val="23"/>
        </w:numPr>
        <w:tabs>
          <w:tab w:val="left" w:pos="2268"/>
        </w:tabs>
        <w:rPr>
          <w:rFonts w:cs="TimesNewRomanPSMT"/>
          <w:szCs w:val="20"/>
          <w:lang w:val="sl-SI" w:eastAsia="en-GB"/>
        </w:rPr>
      </w:pPr>
      <w:r>
        <w:rPr>
          <w:rFonts w:cs="TimesNewRomanPSMT"/>
          <w:szCs w:val="20"/>
          <w:lang w:val="sl-SI" w:eastAsia="en-GB"/>
        </w:rPr>
        <w:t>Skupno je tako oceno prejelo</w:t>
      </w:r>
      <w:r w:rsidR="0029692E" w:rsidRPr="00275FBD">
        <w:rPr>
          <w:rFonts w:cs="TimesNewRomanPSMT"/>
          <w:szCs w:val="20"/>
          <w:lang w:val="sl-SI" w:eastAsia="en-GB"/>
        </w:rPr>
        <w:t xml:space="preserve"> 16 </w:t>
      </w:r>
      <w:r w:rsidR="00BD5705" w:rsidRPr="00275FBD">
        <w:rPr>
          <w:rFonts w:cs="TimesNewRomanPSMT"/>
          <w:szCs w:val="20"/>
          <w:lang w:val="sl-SI" w:eastAsia="en-GB"/>
        </w:rPr>
        <w:t xml:space="preserve">najdb </w:t>
      </w:r>
      <w:r w:rsidR="0029692E" w:rsidRPr="00275FBD">
        <w:rPr>
          <w:rFonts w:cs="TimesNewRomanPSMT"/>
          <w:szCs w:val="20"/>
          <w:lang w:val="sl-SI" w:eastAsia="en-GB"/>
        </w:rPr>
        <w:t>iz kategorije “SF”. (</w:t>
      </w:r>
      <w:r>
        <w:rPr>
          <w:rFonts w:cs="TimesNewRomanPSMT"/>
          <w:szCs w:val="20"/>
          <w:lang w:val="sl-SI" w:eastAsia="en-GB"/>
        </w:rPr>
        <w:t>Po</w:t>
      </w:r>
      <w:r w:rsidR="0029692E" w:rsidRPr="00275FBD">
        <w:rPr>
          <w:rFonts w:cs="TimesNewRomanPSMT"/>
          <w:szCs w:val="20"/>
          <w:lang w:val="sl-SI" w:eastAsia="en-GB"/>
        </w:rPr>
        <w:t xml:space="preserve"> </w:t>
      </w:r>
      <w:r w:rsidR="0029692E" w:rsidRPr="00275FBD">
        <w:rPr>
          <w:rFonts w:cs="TimesNewRomanPSMT"/>
          <w:szCs w:val="20"/>
          <w:lang w:val="sl-SI" w:eastAsia="en-GB"/>
        </w:rPr>
        <w:fldChar w:fldCharType="begin"/>
      </w:r>
      <w:r w:rsidR="0029692E" w:rsidRPr="00275FBD">
        <w:rPr>
          <w:rFonts w:cs="TimesNewRomanPSMT"/>
          <w:szCs w:val="20"/>
          <w:lang w:val="sl-SI" w:eastAsia="en-GB"/>
        </w:rPr>
        <w:instrText xml:space="preserve"> REF _Ref133222751 \r \h </w:instrText>
      </w:r>
      <w:r w:rsidR="0029692E" w:rsidRPr="00275FBD">
        <w:rPr>
          <w:rFonts w:cs="TimesNewRomanPSMT"/>
          <w:szCs w:val="20"/>
          <w:lang w:val="sl-SI" w:eastAsia="en-GB"/>
        </w:rPr>
      </w:r>
      <w:r w:rsidR="0029692E" w:rsidRPr="00275FBD">
        <w:rPr>
          <w:rFonts w:cs="TimesNewRomanPSMT"/>
          <w:szCs w:val="20"/>
          <w:lang w:val="sl-SI" w:eastAsia="en-GB"/>
        </w:rPr>
        <w:fldChar w:fldCharType="separate"/>
      </w:r>
      <w:r w:rsidR="00BA25CD">
        <w:rPr>
          <w:rFonts w:cs="TimesNewRomanPSMT"/>
          <w:szCs w:val="20"/>
          <w:lang w:val="sl-SI" w:eastAsia="en-GB"/>
        </w:rPr>
        <w:t>[1]</w:t>
      </w:r>
      <w:r w:rsidR="0029692E" w:rsidRPr="00275FBD">
        <w:rPr>
          <w:rFonts w:cs="TimesNewRomanPSMT"/>
          <w:szCs w:val="20"/>
          <w:lang w:val="sl-SI" w:eastAsia="en-GB"/>
        </w:rPr>
        <w:fldChar w:fldCharType="end"/>
      </w:r>
      <w:r w:rsidR="0029692E" w:rsidRPr="00275FBD">
        <w:rPr>
          <w:rFonts w:cs="TimesNewRomanPSMT"/>
          <w:szCs w:val="20"/>
          <w:lang w:val="sl-SI" w:eastAsia="en-GB"/>
        </w:rPr>
        <w:t xml:space="preserve"> so </w:t>
      </w:r>
      <w:r>
        <w:rPr>
          <w:rFonts w:cs="TimesNewRomanPSMT"/>
          <w:szCs w:val="20"/>
          <w:lang w:val="sl-SI" w:eastAsia="en-GB"/>
        </w:rPr>
        <w:t xml:space="preserve">to </w:t>
      </w:r>
      <w:r w:rsidR="00910B6F" w:rsidRPr="00275FBD">
        <w:rPr>
          <w:rFonts w:cs="TimesNewRomanPSMT"/>
          <w:szCs w:val="20"/>
          <w:lang w:val="sl-SI" w:eastAsia="en-GB"/>
        </w:rPr>
        <w:t xml:space="preserve">najdbe </w:t>
      </w:r>
      <w:r w:rsidR="0029692E" w:rsidRPr="00275FBD">
        <w:rPr>
          <w:rFonts w:cs="TimesNewRomanPSMT"/>
          <w:szCs w:val="20"/>
          <w:lang w:val="sl-SI" w:eastAsia="en-GB"/>
        </w:rPr>
        <w:t xml:space="preserve">z možnimi </w:t>
      </w:r>
      <w:r>
        <w:rPr>
          <w:rFonts w:cs="TimesNewRomanPSMT"/>
          <w:szCs w:val="20"/>
          <w:lang w:val="sl-SI" w:eastAsia="en-GB"/>
        </w:rPr>
        <w:t>pomanjkljivostmi</w:t>
      </w:r>
      <w:r w:rsidRPr="00275FBD">
        <w:rPr>
          <w:rFonts w:cs="TimesNewRomanPSMT"/>
          <w:szCs w:val="20"/>
          <w:lang w:val="sl-SI" w:eastAsia="en-GB"/>
        </w:rPr>
        <w:t xml:space="preserve"> </w:t>
      </w:r>
      <w:r w:rsidR="0029692E" w:rsidRPr="00275FBD">
        <w:rPr>
          <w:rFonts w:cs="TimesNewRomanPSMT"/>
          <w:szCs w:val="20"/>
          <w:lang w:val="sl-SI" w:eastAsia="en-GB"/>
        </w:rPr>
        <w:t>v obratovalni</w:t>
      </w:r>
      <w:r w:rsidR="00A64603">
        <w:rPr>
          <w:rFonts w:cs="TimesNewRomanPSMT"/>
          <w:szCs w:val="20"/>
          <w:lang w:val="sl-SI" w:eastAsia="en-GB"/>
        </w:rPr>
        <w:t>h</w:t>
      </w:r>
      <w:r w:rsidR="0029692E" w:rsidRPr="00275FBD">
        <w:rPr>
          <w:rFonts w:cs="TimesNewRomanPSMT"/>
          <w:szCs w:val="20"/>
          <w:lang w:val="sl-SI" w:eastAsia="en-GB"/>
        </w:rPr>
        <w:t xml:space="preserve"> varnostni</w:t>
      </w:r>
      <w:r w:rsidR="00A64603">
        <w:rPr>
          <w:rFonts w:cs="TimesNewRomanPSMT"/>
          <w:szCs w:val="20"/>
          <w:lang w:val="sl-SI" w:eastAsia="en-GB"/>
        </w:rPr>
        <w:t>h</w:t>
      </w:r>
      <w:r w:rsidR="0029692E" w:rsidRPr="00275FBD">
        <w:rPr>
          <w:rFonts w:cs="TimesNewRomanPSMT"/>
          <w:szCs w:val="20"/>
          <w:lang w:val="sl-SI" w:eastAsia="en-GB"/>
        </w:rPr>
        <w:t xml:space="preserve"> značilnosti</w:t>
      </w:r>
      <w:r>
        <w:rPr>
          <w:rFonts w:cs="TimesNewRomanPSMT"/>
          <w:szCs w:val="20"/>
          <w:lang w:val="sl-SI" w:eastAsia="en-GB"/>
        </w:rPr>
        <w:t>h</w:t>
      </w:r>
      <w:r w:rsidR="0029692E" w:rsidRPr="00275FBD">
        <w:rPr>
          <w:rFonts w:cs="TimesNewRomanPSMT"/>
          <w:szCs w:val="20"/>
          <w:lang w:val="sl-SI" w:eastAsia="en-GB"/>
        </w:rPr>
        <w:t xml:space="preserve"> ali </w:t>
      </w:r>
      <w:r>
        <w:rPr>
          <w:rFonts w:cs="TimesNewRomanPSMT"/>
          <w:szCs w:val="20"/>
          <w:lang w:val="sl-SI" w:eastAsia="en-GB"/>
        </w:rPr>
        <w:t xml:space="preserve">s </w:t>
      </w:r>
      <w:r w:rsidR="0029692E" w:rsidRPr="00275FBD">
        <w:rPr>
          <w:rFonts w:cs="TimesNewRomanPSMT"/>
          <w:szCs w:val="20"/>
          <w:lang w:val="sl-SI" w:eastAsia="en-GB"/>
        </w:rPr>
        <w:t>pogost</w:t>
      </w:r>
      <w:r>
        <w:rPr>
          <w:rFonts w:cs="TimesNewRomanPSMT"/>
          <w:szCs w:val="20"/>
          <w:lang w:val="sl-SI" w:eastAsia="en-GB"/>
        </w:rPr>
        <w:t>o</w:t>
      </w:r>
      <w:r w:rsidR="0029692E" w:rsidRPr="00275FBD">
        <w:rPr>
          <w:rFonts w:cs="TimesNewRomanPSMT"/>
          <w:szCs w:val="20"/>
          <w:lang w:val="sl-SI" w:eastAsia="en-GB"/>
        </w:rPr>
        <w:t xml:space="preserve"> neuspe</w:t>
      </w:r>
      <w:r>
        <w:rPr>
          <w:rFonts w:cs="TimesNewRomanPSMT"/>
          <w:szCs w:val="20"/>
          <w:lang w:val="sl-SI" w:eastAsia="en-GB"/>
        </w:rPr>
        <w:t>šnim</w:t>
      </w:r>
      <w:r w:rsidR="0029692E" w:rsidRPr="00275FBD">
        <w:rPr>
          <w:rFonts w:cs="TimesNewRomanPSMT"/>
          <w:szCs w:val="20"/>
          <w:lang w:val="sl-SI" w:eastAsia="en-GB"/>
        </w:rPr>
        <w:t xml:space="preserve"> izpolnjevanj</w:t>
      </w:r>
      <w:r>
        <w:rPr>
          <w:rFonts w:cs="TimesNewRomanPSMT"/>
          <w:szCs w:val="20"/>
          <w:lang w:val="sl-SI" w:eastAsia="en-GB"/>
        </w:rPr>
        <w:t>em</w:t>
      </w:r>
      <w:r w:rsidR="0029692E" w:rsidRPr="00275FBD">
        <w:rPr>
          <w:rFonts w:cs="TimesNewRomanPSMT"/>
          <w:szCs w:val="20"/>
          <w:lang w:val="sl-SI" w:eastAsia="en-GB"/>
        </w:rPr>
        <w:t xml:space="preserve"> </w:t>
      </w:r>
      <w:r w:rsidR="00EB53DE" w:rsidRPr="00275FBD">
        <w:rPr>
          <w:rFonts w:cs="TimesNewRomanPSMT"/>
          <w:szCs w:val="20"/>
          <w:lang w:val="sl-SI" w:eastAsia="en-GB"/>
        </w:rPr>
        <w:t xml:space="preserve">obratovalnih </w:t>
      </w:r>
      <w:r w:rsidR="0029692E" w:rsidRPr="00275FBD">
        <w:rPr>
          <w:rFonts w:cs="TimesNewRomanPSMT"/>
          <w:szCs w:val="20"/>
          <w:lang w:val="sl-SI" w:eastAsia="en-GB"/>
        </w:rPr>
        <w:t xml:space="preserve">varnostnih značilnosti.) </w:t>
      </w:r>
      <w:r>
        <w:rPr>
          <w:rFonts w:cs="TimesNewRomanPSMT"/>
          <w:szCs w:val="20"/>
          <w:lang w:val="sl-SI" w:eastAsia="en-GB"/>
        </w:rPr>
        <w:t>N</w:t>
      </w:r>
      <w:r w:rsidR="00910B6F" w:rsidRPr="00275FBD">
        <w:rPr>
          <w:rFonts w:cs="TimesNewRomanPSMT"/>
          <w:szCs w:val="20"/>
          <w:lang w:val="sl-SI" w:eastAsia="en-GB"/>
        </w:rPr>
        <w:t xml:space="preserve">ajdbe </w:t>
      </w:r>
      <w:r w:rsidR="0029692E" w:rsidRPr="00275FBD">
        <w:rPr>
          <w:rFonts w:cs="TimesNewRomanPSMT"/>
          <w:szCs w:val="20"/>
          <w:lang w:val="sl-SI" w:eastAsia="en-GB"/>
        </w:rPr>
        <w:t xml:space="preserve">vključujejo: postopek pregleda sprememb; postopki v </w:t>
      </w:r>
      <w:r>
        <w:rPr>
          <w:rFonts w:cs="TimesNewRomanPSMT"/>
          <w:szCs w:val="20"/>
          <w:lang w:val="sl-SI" w:eastAsia="en-GB"/>
        </w:rPr>
        <w:t>elektrarni</w:t>
      </w:r>
      <w:r w:rsidR="0029692E" w:rsidRPr="00275FBD">
        <w:rPr>
          <w:rFonts w:cs="TimesNewRomanPSMT"/>
          <w:szCs w:val="20"/>
          <w:lang w:val="sl-SI" w:eastAsia="en-GB"/>
        </w:rPr>
        <w:t xml:space="preserve">, vključno z zaščito pred sevanjem in drugimi </w:t>
      </w:r>
      <w:r w:rsidR="00EB53DE" w:rsidRPr="00275FBD">
        <w:rPr>
          <w:rFonts w:cs="TimesNewRomanPSMT"/>
          <w:szCs w:val="20"/>
          <w:lang w:val="sl-SI" w:eastAsia="en-GB"/>
        </w:rPr>
        <w:t xml:space="preserve">notranjimi </w:t>
      </w:r>
      <w:r w:rsidR="0029692E" w:rsidRPr="00275FBD">
        <w:rPr>
          <w:rFonts w:cs="TimesNewRomanPSMT"/>
          <w:szCs w:val="20"/>
          <w:lang w:val="sl-SI" w:eastAsia="en-GB"/>
        </w:rPr>
        <w:t xml:space="preserve">nevarnostmi; varnostna kultura; proces samoocenjevanja; ukrepi za pravočasno odkrivanje in vrednotenje dogodkov, ki bi lahko bili pomembni za varnost; in </w:t>
      </w:r>
      <w:r>
        <w:rPr>
          <w:rFonts w:cs="TimesNewRomanPSMT"/>
          <w:szCs w:val="20"/>
          <w:lang w:val="sl-SI" w:eastAsia="en-GB"/>
        </w:rPr>
        <w:t>robust</w:t>
      </w:r>
      <w:r w:rsidRPr="00275FBD">
        <w:rPr>
          <w:rFonts w:cs="TimesNewRomanPSMT"/>
          <w:szCs w:val="20"/>
          <w:lang w:val="sl-SI" w:eastAsia="en-GB"/>
        </w:rPr>
        <w:t xml:space="preserve">nost </w:t>
      </w:r>
      <w:r w:rsidR="0029692E" w:rsidRPr="00275FBD">
        <w:rPr>
          <w:rFonts w:cs="TimesNewRomanPSMT"/>
          <w:szCs w:val="20"/>
          <w:lang w:val="sl-SI" w:eastAsia="en-GB"/>
        </w:rPr>
        <w:t>organizacijske strukture glede odgovornosti za varno delovanje.</w:t>
      </w:r>
    </w:p>
    <w:p w14:paraId="1570865D" w14:textId="2CE3E532" w:rsidR="00ED1A59" w:rsidRPr="00275FBD" w:rsidRDefault="00EB53DE" w:rsidP="0013348E">
      <w:pPr>
        <w:numPr>
          <w:ilvl w:val="1"/>
          <w:numId w:val="23"/>
        </w:numPr>
        <w:rPr>
          <w:lang w:val="sl-SI"/>
        </w:rPr>
      </w:pPr>
      <w:r w:rsidRPr="00275FBD">
        <w:rPr>
          <w:lang w:val="sl-SI"/>
        </w:rPr>
        <w:t>Za preostal</w:t>
      </w:r>
      <w:r w:rsidR="00910B6F" w:rsidRPr="00275FBD">
        <w:rPr>
          <w:lang w:val="sl-SI"/>
        </w:rPr>
        <w:t>e</w:t>
      </w:r>
      <w:r w:rsidRPr="00275FBD">
        <w:rPr>
          <w:lang w:val="sl-SI"/>
        </w:rPr>
        <w:t xml:space="preserve"> </w:t>
      </w:r>
      <w:r w:rsidR="00910B6F" w:rsidRPr="00275FBD">
        <w:rPr>
          <w:lang w:val="sl-SI"/>
        </w:rPr>
        <w:t xml:space="preserve">najdbe </w:t>
      </w:r>
      <w:r w:rsidRPr="00275FBD">
        <w:rPr>
          <w:lang w:val="sl-SI"/>
        </w:rPr>
        <w:t>je bilo ugotovljeno, da imajo primarni rang 3 ali nižji</w:t>
      </w:r>
      <w:r w:rsidR="00ED1A59" w:rsidRPr="00275FBD">
        <w:rPr>
          <w:lang w:val="sl-SI"/>
        </w:rPr>
        <w:t>.</w:t>
      </w:r>
    </w:p>
    <w:p w14:paraId="26792DDC" w14:textId="4B27EE4B" w:rsidR="004B309B" w:rsidRPr="00275FBD" w:rsidRDefault="004B309B" w:rsidP="004B309B">
      <w:pPr>
        <w:rPr>
          <w:rFonts w:cs="TimesNewRomanPSMT"/>
          <w:szCs w:val="20"/>
          <w:lang w:val="sl-SI" w:eastAsia="en-GB"/>
        </w:rPr>
      </w:pPr>
      <w:r w:rsidRPr="00275FBD">
        <w:rPr>
          <w:rFonts w:cs="TimesNewRomanPSMT"/>
          <w:szCs w:val="20"/>
          <w:lang w:val="sl-SI" w:eastAsia="en-GB"/>
        </w:rPr>
        <w:t xml:space="preserve">Glede na </w:t>
      </w:r>
      <w:r w:rsidRPr="00275FBD">
        <w:rPr>
          <w:rFonts w:cs="TimesNewRomanPSMT"/>
          <w:szCs w:val="20"/>
          <w:lang w:val="sl-SI" w:eastAsia="en-GB"/>
        </w:rPr>
        <w:fldChar w:fldCharType="begin"/>
      </w:r>
      <w:r w:rsidRPr="00275FBD">
        <w:rPr>
          <w:rFonts w:cs="TimesNewRomanPSMT"/>
          <w:szCs w:val="20"/>
          <w:lang w:val="sl-SI" w:eastAsia="en-GB"/>
        </w:rPr>
        <w:instrText xml:space="preserve"> REF _Ref133222751 \r \h </w:instrText>
      </w:r>
      <w:r w:rsidRPr="00275FBD">
        <w:rPr>
          <w:rFonts w:cs="TimesNewRomanPSMT"/>
          <w:szCs w:val="20"/>
          <w:lang w:val="sl-SI" w:eastAsia="en-GB"/>
        </w:rPr>
      </w:r>
      <w:r w:rsidRPr="00275FBD">
        <w:rPr>
          <w:rFonts w:cs="TimesNewRomanPSMT"/>
          <w:szCs w:val="20"/>
          <w:lang w:val="sl-SI" w:eastAsia="en-GB"/>
        </w:rPr>
        <w:fldChar w:fldCharType="separate"/>
      </w:r>
      <w:r w:rsidR="00BA25CD">
        <w:rPr>
          <w:rFonts w:cs="TimesNewRomanPSMT"/>
          <w:szCs w:val="20"/>
          <w:lang w:val="sl-SI" w:eastAsia="en-GB"/>
        </w:rPr>
        <w:t>[1]</w:t>
      </w:r>
      <w:r w:rsidRPr="00275FBD">
        <w:rPr>
          <w:rFonts w:cs="TimesNewRomanPSMT"/>
          <w:szCs w:val="20"/>
          <w:lang w:val="sl-SI" w:eastAsia="en-GB"/>
        </w:rPr>
        <w:fldChar w:fldCharType="end"/>
      </w:r>
      <w:r w:rsidRPr="00275FBD">
        <w:rPr>
          <w:rFonts w:cs="TimesNewRomanPSMT"/>
          <w:szCs w:val="20"/>
          <w:lang w:val="sl-SI" w:eastAsia="en-GB"/>
        </w:rPr>
        <w:t xml:space="preserve"> </w:t>
      </w:r>
      <w:r w:rsidR="00910B6F" w:rsidRPr="00275FBD">
        <w:rPr>
          <w:rFonts w:cs="TimesNewRomanPSMT"/>
          <w:szCs w:val="20"/>
          <w:lang w:val="sl-SI" w:eastAsia="en-GB"/>
        </w:rPr>
        <w:t xml:space="preserve">najdbe </w:t>
      </w:r>
      <w:r w:rsidRPr="00275FBD">
        <w:rPr>
          <w:rFonts w:cs="TimesNewRomanPSMT"/>
          <w:szCs w:val="20"/>
          <w:lang w:val="sl-SI" w:eastAsia="en-GB"/>
        </w:rPr>
        <w:t xml:space="preserve">ranga 3 z neposredno povezavo z jedrsko varnostjo (vrsta »DL«) predstavljajo </w:t>
      </w:r>
      <w:r w:rsidR="00EC5401" w:rsidRPr="00275FBD">
        <w:rPr>
          <w:rFonts w:cs="TimesNewRomanPSMT"/>
          <w:szCs w:val="20"/>
          <w:lang w:val="sl-SI" w:eastAsia="en-GB"/>
        </w:rPr>
        <w:t>najdbe</w:t>
      </w:r>
      <w:r w:rsidRPr="00275FBD">
        <w:rPr>
          <w:rFonts w:cs="TimesNewRomanPSMT"/>
          <w:szCs w:val="20"/>
          <w:lang w:val="sl-SI" w:eastAsia="en-GB"/>
        </w:rPr>
        <w:t>, omejen</w:t>
      </w:r>
      <w:r w:rsidR="00EC5401" w:rsidRPr="00275FBD">
        <w:rPr>
          <w:rFonts w:cs="TimesNewRomanPSMT"/>
          <w:szCs w:val="20"/>
          <w:lang w:val="sl-SI" w:eastAsia="en-GB"/>
        </w:rPr>
        <w:t>e</w:t>
      </w:r>
      <w:r w:rsidRPr="00275FBD">
        <w:rPr>
          <w:rFonts w:cs="TimesNewRomanPSMT"/>
          <w:szCs w:val="20"/>
          <w:lang w:val="sl-SI" w:eastAsia="en-GB"/>
        </w:rPr>
        <w:t xml:space="preserve"> na sistemsko ali funkcionalno raven, s sprejemljivim vplivom na status elektrarne z vidika obrambe </w:t>
      </w:r>
      <w:r w:rsidR="00E72C5E" w:rsidRPr="00275FBD">
        <w:rPr>
          <w:rFonts w:cs="TimesNewRomanPSMT"/>
          <w:szCs w:val="20"/>
          <w:lang w:val="sl-SI" w:eastAsia="en-GB"/>
        </w:rPr>
        <w:t xml:space="preserve">v globino </w:t>
      </w:r>
      <w:r w:rsidRPr="00275FBD">
        <w:rPr>
          <w:rFonts w:cs="TimesNewRomanPSMT"/>
          <w:szCs w:val="20"/>
          <w:lang w:val="sl-SI" w:eastAsia="en-GB"/>
        </w:rPr>
        <w:t>oziroma tveganja. Določen</w:t>
      </w:r>
      <w:r w:rsidR="00EC5401" w:rsidRPr="00275FBD">
        <w:rPr>
          <w:rFonts w:cs="TimesNewRomanPSMT"/>
          <w:szCs w:val="20"/>
          <w:lang w:val="sl-SI" w:eastAsia="en-GB"/>
        </w:rPr>
        <w:t>a</w:t>
      </w:r>
      <w:r w:rsidRPr="00275FBD">
        <w:rPr>
          <w:rFonts w:cs="TimesNewRomanPSMT"/>
          <w:szCs w:val="20"/>
          <w:lang w:val="sl-SI" w:eastAsia="en-GB"/>
        </w:rPr>
        <w:t xml:space="preserve"> </w:t>
      </w:r>
      <w:r w:rsidR="00EC5401" w:rsidRPr="00275FBD">
        <w:rPr>
          <w:rFonts w:cs="TimesNewRomanPSMT"/>
          <w:szCs w:val="20"/>
          <w:lang w:val="sl-SI" w:eastAsia="en-GB"/>
        </w:rPr>
        <w:t>najdba</w:t>
      </w:r>
      <w:r w:rsidRPr="00275FBD">
        <w:rPr>
          <w:rFonts w:cs="TimesNewRomanPSMT"/>
          <w:szCs w:val="20"/>
          <w:lang w:val="sl-SI" w:eastAsia="en-GB"/>
        </w:rPr>
        <w:t xml:space="preserve"> stopnje 3 lahko vpliva na posamezen varnostni sistem ali funkcijo, ki je vključena v zaporedje nesreč znotraj projektne osnove (DB), vendar ne more vplivati ali poslabšati katere koli funkcije DB kot celote ali odziva elektrarne na </w:t>
      </w:r>
      <w:r w:rsidR="009B3344" w:rsidRPr="00275FBD">
        <w:rPr>
          <w:iCs/>
          <w:lang w:val="sl-SI"/>
        </w:rPr>
        <w:t>začetn</w:t>
      </w:r>
      <w:r w:rsidR="009B3344">
        <w:rPr>
          <w:iCs/>
          <w:lang w:val="sl-SI"/>
        </w:rPr>
        <w:t>i</w:t>
      </w:r>
      <w:r w:rsidR="009B3344" w:rsidRPr="00275FBD">
        <w:rPr>
          <w:iCs/>
          <w:lang w:val="sl-SI"/>
        </w:rPr>
        <w:t xml:space="preserve"> dogod</w:t>
      </w:r>
      <w:r w:rsidR="009B3344">
        <w:rPr>
          <w:iCs/>
          <w:lang w:val="sl-SI"/>
        </w:rPr>
        <w:t>e</w:t>
      </w:r>
      <w:r w:rsidR="009B3344" w:rsidRPr="00275FBD">
        <w:rPr>
          <w:iCs/>
          <w:lang w:val="sl-SI"/>
        </w:rPr>
        <w:t>k</w:t>
      </w:r>
      <w:r w:rsidRPr="00275FBD">
        <w:rPr>
          <w:rFonts w:cs="TimesNewRomanPSMT"/>
          <w:szCs w:val="20"/>
          <w:lang w:val="sl-SI" w:eastAsia="en-GB"/>
        </w:rPr>
        <w:t xml:space="preserve"> znotraj DB. Potencialni vpliv več povezanih </w:t>
      </w:r>
      <w:r w:rsidR="00BD5705" w:rsidRPr="00275FBD">
        <w:rPr>
          <w:rFonts w:cs="TimesNewRomanPSMT"/>
          <w:szCs w:val="20"/>
          <w:lang w:val="sl-SI" w:eastAsia="en-GB"/>
        </w:rPr>
        <w:t xml:space="preserve">najdb </w:t>
      </w:r>
      <w:r w:rsidRPr="00275FBD">
        <w:rPr>
          <w:rFonts w:cs="TimesNewRomanPSMT"/>
          <w:szCs w:val="20"/>
          <w:lang w:val="sl-SI" w:eastAsia="en-GB"/>
        </w:rPr>
        <w:t xml:space="preserve">ranga 3 je bil obravnavan s postopkom </w:t>
      </w:r>
      <w:r w:rsidR="005A4290">
        <w:rPr>
          <w:rFonts w:cs="TimesNewRomanPSMT"/>
          <w:szCs w:val="20"/>
          <w:lang w:val="sl-SI" w:eastAsia="en-GB"/>
        </w:rPr>
        <w:t>obravnave</w:t>
      </w:r>
      <w:r w:rsidR="005A4290" w:rsidRPr="00275FBD">
        <w:rPr>
          <w:rFonts w:cs="TimesNewRomanPSMT"/>
          <w:szCs w:val="20"/>
          <w:lang w:val="sl-SI" w:eastAsia="en-GB"/>
        </w:rPr>
        <w:t xml:space="preserve"> </w:t>
      </w:r>
      <w:r w:rsidR="008335E8">
        <w:rPr>
          <w:rFonts w:cs="TimesNewRomanPSMT"/>
          <w:szCs w:val="20"/>
          <w:lang w:val="sl-SI" w:eastAsia="en-GB"/>
        </w:rPr>
        <w:t>povezav</w:t>
      </w:r>
      <w:r w:rsidRPr="00275FBD">
        <w:rPr>
          <w:rFonts w:cs="TimesNewRomanPSMT"/>
          <w:szCs w:val="20"/>
          <w:lang w:val="sl-SI" w:eastAsia="en-GB"/>
        </w:rPr>
        <w:t xml:space="preserve">, kot je opisano v </w:t>
      </w:r>
      <w:r w:rsidR="00052E53" w:rsidRPr="00275FBD">
        <w:rPr>
          <w:rFonts w:cs="TimesNewRomanPSMT"/>
          <w:szCs w:val="20"/>
          <w:lang w:val="sl-SI" w:eastAsia="en-GB"/>
        </w:rPr>
        <w:t xml:space="preserve">poglavju </w:t>
      </w:r>
      <w:r w:rsidRPr="00275FBD">
        <w:rPr>
          <w:rFonts w:cs="TimesNewRomanPSMT"/>
          <w:szCs w:val="20"/>
          <w:lang w:val="sl-SI" w:eastAsia="en-GB"/>
        </w:rPr>
        <w:fldChar w:fldCharType="begin"/>
      </w:r>
      <w:r w:rsidRPr="00275FBD">
        <w:rPr>
          <w:rFonts w:cs="TimesNewRomanPSMT"/>
          <w:szCs w:val="20"/>
          <w:lang w:val="sl-SI" w:eastAsia="en-GB"/>
        </w:rPr>
        <w:instrText xml:space="preserve"> REF _Ref138432221 \r \h </w:instrText>
      </w:r>
      <w:r w:rsidRPr="00275FBD">
        <w:rPr>
          <w:rFonts w:cs="TimesNewRomanPSMT"/>
          <w:szCs w:val="20"/>
          <w:lang w:val="sl-SI" w:eastAsia="en-GB"/>
        </w:rPr>
      </w:r>
      <w:r w:rsidRPr="00275FBD">
        <w:rPr>
          <w:rFonts w:cs="TimesNewRomanPSMT"/>
          <w:szCs w:val="20"/>
          <w:lang w:val="sl-SI" w:eastAsia="en-GB"/>
        </w:rPr>
        <w:fldChar w:fldCharType="separate"/>
      </w:r>
      <w:r w:rsidR="00BA25CD">
        <w:rPr>
          <w:rFonts w:cs="TimesNewRomanPSMT"/>
          <w:szCs w:val="20"/>
          <w:lang w:val="sl-SI" w:eastAsia="en-GB"/>
        </w:rPr>
        <w:t>4</w:t>
      </w:r>
      <w:r w:rsidRPr="00275FBD">
        <w:rPr>
          <w:rFonts w:cs="TimesNewRomanPSMT"/>
          <w:szCs w:val="20"/>
          <w:lang w:val="sl-SI" w:eastAsia="en-GB"/>
        </w:rPr>
        <w:fldChar w:fldCharType="end"/>
      </w:r>
      <w:r w:rsidRPr="00275FBD">
        <w:rPr>
          <w:rFonts w:cs="TimesNewRomanPSMT"/>
          <w:szCs w:val="20"/>
          <w:lang w:val="sl-SI" w:eastAsia="en-GB"/>
        </w:rPr>
        <w:t xml:space="preserve"> zgoraj in v </w:t>
      </w:r>
      <w:r w:rsidRPr="00275FBD">
        <w:rPr>
          <w:rFonts w:cs="TimesNewRomanPSMT"/>
          <w:szCs w:val="20"/>
          <w:lang w:val="sl-SI" w:eastAsia="en-GB"/>
        </w:rPr>
        <w:fldChar w:fldCharType="begin"/>
      </w:r>
      <w:r w:rsidRPr="00275FBD">
        <w:rPr>
          <w:rFonts w:cs="TimesNewRomanPSMT"/>
          <w:szCs w:val="20"/>
          <w:lang w:val="sl-SI" w:eastAsia="en-GB"/>
        </w:rPr>
        <w:instrText xml:space="preserve"> REF _Ref131143634 \r \h </w:instrText>
      </w:r>
      <w:r w:rsidRPr="00275FBD">
        <w:rPr>
          <w:rFonts w:cs="TimesNewRomanPSMT"/>
          <w:szCs w:val="20"/>
          <w:lang w:val="sl-SI" w:eastAsia="en-GB"/>
        </w:rPr>
      </w:r>
      <w:r w:rsidRPr="00275FBD">
        <w:rPr>
          <w:rFonts w:cs="TimesNewRomanPSMT"/>
          <w:szCs w:val="20"/>
          <w:lang w:val="sl-SI" w:eastAsia="en-GB"/>
        </w:rPr>
        <w:fldChar w:fldCharType="separate"/>
      </w:r>
      <w:r w:rsidR="00BA25CD">
        <w:rPr>
          <w:rFonts w:cs="TimesNewRomanPSMT"/>
          <w:szCs w:val="20"/>
          <w:lang w:val="sl-SI" w:eastAsia="en-GB"/>
        </w:rPr>
        <w:t>[9]</w:t>
      </w:r>
      <w:r w:rsidRPr="00275FBD">
        <w:rPr>
          <w:rFonts w:cs="TimesNewRomanPSMT"/>
          <w:szCs w:val="20"/>
          <w:lang w:val="sl-SI" w:eastAsia="en-GB"/>
        </w:rPr>
        <w:fldChar w:fldCharType="end"/>
      </w:r>
      <w:r w:rsidRPr="00275FBD">
        <w:rPr>
          <w:rFonts w:cs="TimesNewRomanPSMT"/>
          <w:szCs w:val="20"/>
          <w:lang w:val="sl-SI" w:eastAsia="en-GB"/>
        </w:rPr>
        <w:t>.</w:t>
      </w:r>
    </w:p>
    <w:p w14:paraId="11E11868" w14:textId="14FCBA29" w:rsidR="004B309B" w:rsidRPr="00275FBD" w:rsidRDefault="00910B6F" w:rsidP="004B309B">
      <w:pPr>
        <w:rPr>
          <w:rFonts w:cs="TimesNewRomanPSMT"/>
          <w:szCs w:val="20"/>
          <w:lang w:val="sl-SI" w:eastAsia="en-GB"/>
        </w:rPr>
      </w:pPr>
      <w:r w:rsidRPr="00275FBD">
        <w:rPr>
          <w:rFonts w:cs="TimesNewRomanPSMT"/>
          <w:szCs w:val="20"/>
          <w:lang w:val="sl-SI" w:eastAsia="en-GB"/>
        </w:rPr>
        <w:t>Najdbe</w:t>
      </w:r>
      <w:r w:rsidR="004B309B" w:rsidRPr="00275FBD">
        <w:rPr>
          <w:rFonts w:cs="TimesNewRomanPSMT"/>
          <w:szCs w:val="20"/>
          <w:lang w:val="sl-SI" w:eastAsia="en-GB"/>
        </w:rPr>
        <w:t xml:space="preserve"> </w:t>
      </w:r>
      <w:r w:rsidR="00997B22">
        <w:rPr>
          <w:lang w:val="sl-SI" w:eastAsia="en-GB"/>
        </w:rPr>
        <w:t>kategorije</w:t>
      </w:r>
      <w:r w:rsidR="004B309B" w:rsidRPr="00275FBD">
        <w:rPr>
          <w:rFonts w:cs="TimesNewRomanPSMT"/>
          <w:szCs w:val="20"/>
          <w:lang w:val="sl-SI" w:eastAsia="en-GB"/>
        </w:rPr>
        <w:t xml:space="preserve"> »RE« z rangom 3 so glede na </w:t>
      </w:r>
      <w:r w:rsidR="004B309B" w:rsidRPr="00275FBD">
        <w:rPr>
          <w:rFonts w:cs="TimesNewRomanPSMT"/>
          <w:szCs w:val="20"/>
          <w:lang w:val="sl-SI" w:eastAsia="en-GB"/>
        </w:rPr>
        <w:fldChar w:fldCharType="begin"/>
      </w:r>
      <w:r w:rsidR="004B309B" w:rsidRPr="00275FBD">
        <w:rPr>
          <w:rFonts w:cs="TimesNewRomanPSMT"/>
          <w:szCs w:val="20"/>
          <w:lang w:val="sl-SI" w:eastAsia="en-GB"/>
        </w:rPr>
        <w:instrText xml:space="preserve"> REF _Ref133222751 \r \h </w:instrText>
      </w:r>
      <w:r w:rsidR="004B309B" w:rsidRPr="00275FBD">
        <w:rPr>
          <w:rFonts w:cs="TimesNewRomanPSMT"/>
          <w:szCs w:val="20"/>
          <w:lang w:val="sl-SI" w:eastAsia="en-GB"/>
        </w:rPr>
      </w:r>
      <w:r w:rsidR="004B309B" w:rsidRPr="00275FBD">
        <w:rPr>
          <w:rFonts w:cs="TimesNewRomanPSMT"/>
          <w:szCs w:val="20"/>
          <w:lang w:val="sl-SI" w:eastAsia="en-GB"/>
        </w:rPr>
        <w:fldChar w:fldCharType="separate"/>
      </w:r>
      <w:r w:rsidR="00BA25CD">
        <w:rPr>
          <w:rFonts w:cs="TimesNewRomanPSMT"/>
          <w:szCs w:val="20"/>
          <w:lang w:val="sl-SI" w:eastAsia="en-GB"/>
        </w:rPr>
        <w:t>[1]</w:t>
      </w:r>
      <w:r w:rsidR="004B309B" w:rsidRPr="00275FBD">
        <w:rPr>
          <w:rFonts w:cs="TimesNewRomanPSMT"/>
          <w:szCs w:val="20"/>
          <w:lang w:val="sl-SI" w:eastAsia="en-GB"/>
        </w:rPr>
        <w:fldChar w:fldCharType="end"/>
      </w:r>
      <w:r w:rsidR="004B309B" w:rsidRPr="00275FBD">
        <w:rPr>
          <w:rFonts w:cs="TimesNewRomanPSMT"/>
          <w:szCs w:val="20"/>
          <w:lang w:val="sl-SI" w:eastAsia="en-GB"/>
        </w:rPr>
        <w:t xml:space="preserve"> </w:t>
      </w:r>
      <w:r w:rsidRPr="00275FBD">
        <w:rPr>
          <w:rFonts w:cs="TimesNewRomanPSMT"/>
          <w:szCs w:val="20"/>
          <w:lang w:val="sl-SI" w:eastAsia="en-GB"/>
        </w:rPr>
        <w:t xml:space="preserve">najdbe </w:t>
      </w:r>
      <w:r w:rsidR="004B309B" w:rsidRPr="00275FBD">
        <w:rPr>
          <w:rFonts w:cs="TimesNewRomanPSMT"/>
          <w:szCs w:val="20"/>
          <w:lang w:val="sl-SI" w:eastAsia="en-GB"/>
        </w:rPr>
        <w:t xml:space="preserve">z verodostojno indikacijo nizkega tveganja ali </w:t>
      </w:r>
      <w:r w:rsidR="00A7693C">
        <w:rPr>
          <w:rFonts w:cs="TimesNewRomanPSMT"/>
          <w:szCs w:val="20"/>
          <w:lang w:val="sl-SI" w:eastAsia="en-GB"/>
        </w:rPr>
        <w:t>majhn</w:t>
      </w:r>
      <w:r w:rsidR="00A7693C" w:rsidRPr="00275FBD">
        <w:rPr>
          <w:rFonts w:cs="TimesNewRomanPSMT"/>
          <w:szCs w:val="20"/>
          <w:lang w:val="sl-SI" w:eastAsia="en-GB"/>
        </w:rPr>
        <w:t xml:space="preserve">e </w:t>
      </w:r>
      <w:r w:rsidR="004B309B" w:rsidRPr="00275FBD">
        <w:rPr>
          <w:rFonts w:cs="TimesNewRomanPSMT"/>
          <w:szCs w:val="20"/>
          <w:lang w:val="sl-SI" w:eastAsia="en-GB"/>
        </w:rPr>
        <w:t xml:space="preserve">degradacije DOD (z </w:t>
      </w:r>
      <w:r w:rsidR="00A64603" w:rsidRPr="00275FBD">
        <w:rPr>
          <w:rFonts w:cs="TimesNewRomanPSMT"/>
          <w:szCs w:val="20"/>
          <w:lang w:val="sl-SI" w:eastAsia="en-GB"/>
        </w:rPr>
        <w:t>d</w:t>
      </w:r>
      <w:r w:rsidR="00A64603">
        <w:rPr>
          <w:rFonts w:cs="TimesNewRomanPSMT"/>
          <w:szCs w:val="20"/>
          <w:lang w:val="sl-SI" w:eastAsia="en-GB"/>
        </w:rPr>
        <w:t>aljšo</w:t>
      </w:r>
      <w:r w:rsidR="00A64603" w:rsidRPr="00275FBD">
        <w:rPr>
          <w:rFonts w:cs="TimesNewRomanPSMT"/>
          <w:szCs w:val="20"/>
          <w:lang w:val="sl-SI" w:eastAsia="en-GB"/>
        </w:rPr>
        <w:t xml:space="preserve"> </w:t>
      </w:r>
      <w:r w:rsidR="004B309B" w:rsidRPr="00275FBD">
        <w:rPr>
          <w:rFonts w:cs="TimesNewRomanPSMT"/>
          <w:szCs w:val="20"/>
          <w:lang w:val="sl-SI" w:eastAsia="en-GB"/>
        </w:rPr>
        <w:t xml:space="preserve">časovno toleranco), kar je mogoče potrditi s ponovno oceno varnosti; ali </w:t>
      </w:r>
      <w:r w:rsidRPr="00275FBD">
        <w:rPr>
          <w:rFonts w:cs="TimesNewRomanPSMT"/>
          <w:szCs w:val="20"/>
          <w:lang w:val="sl-SI" w:eastAsia="en-GB"/>
        </w:rPr>
        <w:t xml:space="preserve">najdbe </w:t>
      </w:r>
      <w:r w:rsidR="004B309B" w:rsidRPr="00275FBD">
        <w:rPr>
          <w:rFonts w:cs="TimesNewRomanPSMT"/>
          <w:szCs w:val="20"/>
          <w:lang w:val="sl-SI" w:eastAsia="en-GB"/>
        </w:rPr>
        <w:t>z določenim neskladjem glede mednarodnih standardov za oceno jedrske varnosti.</w:t>
      </w:r>
    </w:p>
    <w:p w14:paraId="57C389B8" w14:textId="5A664B40" w:rsidR="004B309B" w:rsidRPr="00275FBD" w:rsidRDefault="004B309B" w:rsidP="004B309B">
      <w:pPr>
        <w:rPr>
          <w:rFonts w:cs="TimesNewRomanPSMT"/>
          <w:szCs w:val="20"/>
          <w:lang w:val="sl-SI" w:eastAsia="en-GB"/>
        </w:rPr>
      </w:pPr>
      <w:r w:rsidRPr="00275FBD">
        <w:rPr>
          <w:rFonts w:cs="TimesNewRomanPSMT"/>
          <w:szCs w:val="20"/>
          <w:lang w:val="sl-SI" w:eastAsia="en-GB"/>
        </w:rPr>
        <w:lastRenderedPageBreak/>
        <w:t xml:space="preserve">V primeru </w:t>
      </w:r>
      <w:r w:rsidR="00997B22">
        <w:rPr>
          <w:lang w:val="sl-SI" w:eastAsia="en-GB"/>
        </w:rPr>
        <w:t>kategorije</w:t>
      </w:r>
      <w:r w:rsidRPr="00275FBD">
        <w:rPr>
          <w:rFonts w:cs="TimesNewRomanPSMT"/>
          <w:szCs w:val="20"/>
          <w:lang w:val="sl-SI" w:eastAsia="en-GB"/>
        </w:rPr>
        <w:t xml:space="preserve"> "SF" je rang 3 dodeljen </w:t>
      </w:r>
      <w:r w:rsidR="00CB6B10">
        <w:rPr>
          <w:rFonts w:cs="TimesNewRomanPSMT"/>
          <w:szCs w:val="20"/>
          <w:lang w:val="sl-SI" w:eastAsia="en-GB"/>
        </w:rPr>
        <w:t>najdbam</w:t>
      </w:r>
      <w:r w:rsidR="00CB6B10" w:rsidRPr="00275FBD">
        <w:rPr>
          <w:rFonts w:cs="TimesNewRomanPSMT"/>
          <w:szCs w:val="20"/>
          <w:lang w:val="sl-SI" w:eastAsia="en-GB"/>
        </w:rPr>
        <w:t xml:space="preserve"> </w:t>
      </w:r>
      <w:r w:rsidRPr="00275FBD">
        <w:rPr>
          <w:rFonts w:cs="TimesNewRomanPSMT"/>
          <w:szCs w:val="20"/>
          <w:lang w:val="sl-SI" w:eastAsia="en-GB"/>
        </w:rPr>
        <w:t>z majhnimi pomanjkljivostmi / možnostmi izboljšav obratovalni</w:t>
      </w:r>
      <w:r w:rsidR="00A64603">
        <w:rPr>
          <w:rFonts w:cs="TimesNewRomanPSMT"/>
          <w:szCs w:val="20"/>
          <w:lang w:val="sl-SI" w:eastAsia="en-GB"/>
        </w:rPr>
        <w:t>h</w:t>
      </w:r>
      <w:r w:rsidRPr="00275FBD">
        <w:rPr>
          <w:rFonts w:cs="TimesNewRomanPSMT"/>
          <w:szCs w:val="20"/>
          <w:lang w:val="sl-SI" w:eastAsia="en-GB"/>
        </w:rPr>
        <w:t xml:space="preserve"> varnostni</w:t>
      </w:r>
      <w:r w:rsidR="00A64603">
        <w:rPr>
          <w:rFonts w:cs="TimesNewRomanPSMT"/>
          <w:szCs w:val="20"/>
          <w:lang w:val="sl-SI" w:eastAsia="en-GB"/>
        </w:rPr>
        <w:t>h</w:t>
      </w:r>
      <w:r w:rsidRPr="00275FBD">
        <w:rPr>
          <w:rFonts w:cs="TimesNewRomanPSMT"/>
          <w:szCs w:val="20"/>
          <w:lang w:val="sl-SI" w:eastAsia="en-GB"/>
        </w:rPr>
        <w:t xml:space="preserve"> značilnosti ali občasnim </w:t>
      </w:r>
      <w:r w:rsidR="00CB6B10">
        <w:rPr>
          <w:rFonts w:cs="TimesNewRomanPSMT"/>
          <w:szCs w:val="20"/>
          <w:lang w:val="sl-SI" w:eastAsia="en-GB"/>
        </w:rPr>
        <w:t>najdbam</w:t>
      </w:r>
      <w:r w:rsidRPr="00275FBD">
        <w:rPr>
          <w:rFonts w:cs="TimesNewRomanPSMT"/>
          <w:szCs w:val="20"/>
          <w:lang w:val="sl-SI" w:eastAsia="en-GB"/>
        </w:rPr>
        <w:t xml:space="preserve"> </w:t>
      </w:r>
      <w:r w:rsidR="005A4290">
        <w:rPr>
          <w:rFonts w:cs="TimesNewRomanPSMT"/>
          <w:szCs w:val="20"/>
          <w:lang w:val="sl-SI" w:eastAsia="en-GB"/>
        </w:rPr>
        <w:t>neskladij</w:t>
      </w:r>
      <w:r w:rsidR="00F433AB" w:rsidRPr="00275FBD">
        <w:rPr>
          <w:rFonts w:cs="TimesNewRomanPSMT"/>
          <w:szCs w:val="20"/>
          <w:lang w:val="sl-SI" w:eastAsia="en-GB"/>
        </w:rPr>
        <w:t xml:space="preserve"> s postopki</w:t>
      </w:r>
      <w:r w:rsidRPr="00275FBD">
        <w:rPr>
          <w:rFonts w:cs="TimesNewRomanPSMT"/>
          <w:szCs w:val="20"/>
          <w:lang w:val="sl-SI" w:eastAsia="en-GB"/>
        </w:rPr>
        <w:t>.</w:t>
      </w:r>
    </w:p>
    <w:p w14:paraId="43BC24CC" w14:textId="17DCFB7F" w:rsidR="00F433AB" w:rsidRPr="00275FBD" w:rsidRDefault="005A4290" w:rsidP="00F433AB">
      <w:pPr>
        <w:rPr>
          <w:rFonts w:cs="TimesNewRomanPSMT"/>
          <w:szCs w:val="20"/>
          <w:lang w:val="sl-SI" w:eastAsia="en-GB"/>
        </w:rPr>
      </w:pPr>
      <w:r>
        <w:rPr>
          <w:rFonts w:cs="TimesNewRomanPSMT"/>
          <w:szCs w:val="20"/>
          <w:lang w:val="sl-SI" w:eastAsia="en-GB"/>
        </w:rPr>
        <w:t>Zaključki so</w:t>
      </w:r>
      <w:r w:rsidR="00F433AB" w:rsidRPr="00275FBD">
        <w:rPr>
          <w:rFonts w:cs="TimesNewRomanPSMT"/>
          <w:szCs w:val="20"/>
          <w:lang w:val="sl-SI" w:eastAsia="en-GB"/>
        </w:rPr>
        <w:t xml:space="preserve"> naslednj</w:t>
      </w:r>
      <w:r>
        <w:rPr>
          <w:rFonts w:cs="TimesNewRomanPSMT"/>
          <w:szCs w:val="20"/>
          <w:lang w:val="sl-SI" w:eastAsia="en-GB"/>
        </w:rPr>
        <w:t>i</w:t>
      </w:r>
      <w:r w:rsidR="00F433AB" w:rsidRPr="00275FBD">
        <w:rPr>
          <w:rFonts w:cs="TimesNewRomanPSMT"/>
          <w:szCs w:val="20"/>
          <w:lang w:val="sl-SI" w:eastAsia="en-GB"/>
        </w:rPr>
        <w:t>:</w:t>
      </w:r>
    </w:p>
    <w:p w14:paraId="23DC6D98" w14:textId="13A8F315" w:rsidR="00F433AB" w:rsidRPr="00275FBD" w:rsidRDefault="00F433AB" w:rsidP="00F433AB">
      <w:pPr>
        <w:pStyle w:val="Odstavekseznama"/>
        <w:numPr>
          <w:ilvl w:val="0"/>
          <w:numId w:val="38"/>
        </w:numPr>
        <w:ind w:left="714" w:hanging="357"/>
        <w:contextualSpacing w:val="0"/>
        <w:rPr>
          <w:rFonts w:cs="TimesNewRomanPSMT"/>
          <w:szCs w:val="20"/>
          <w:lang w:val="sl-SI" w:eastAsia="en-GB"/>
        </w:rPr>
      </w:pPr>
      <w:r w:rsidRPr="00275FBD">
        <w:rPr>
          <w:rFonts w:cs="TimesNewRomanPSMT"/>
          <w:szCs w:val="20"/>
          <w:lang w:val="sl-SI" w:eastAsia="en-GB"/>
        </w:rPr>
        <w:t>Ugotovljen</w:t>
      </w:r>
      <w:r w:rsidR="00EC5401" w:rsidRPr="00275FBD">
        <w:rPr>
          <w:rFonts w:cs="TimesNewRomanPSMT"/>
          <w:szCs w:val="20"/>
          <w:lang w:val="sl-SI" w:eastAsia="en-GB"/>
        </w:rPr>
        <w:t>a</w:t>
      </w:r>
      <w:r w:rsidRPr="00275FBD">
        <w:rPr>
          <w:rFonts w:cs="TimesNewRomanPSMT"/>
          <w:szCs w:val="20"/>
          <w:lang w:val="sl-SI" w:eastAsia="en-GB"/>
        </w:rPr>
        <w:t xml:space="preserve"> ni bil</w:t>
      </w:r>
      <w:r w:rsidR="00EC5401" w:rsidRPr="00275FBD">
        <w:rPr>
          <w:rFonts w:cs="TimesNewRomanPSMT"/>
          <w:szCs w:val="20"/>
          <w:lang w:val="sl-SI" w:eastAsia="en-GB"/>
        </w:rPr>
        <w:t>a</w:t>
      </w:r>
      <w:r w:rsidRPr="00275FBD">
        <w:rPr>
          <w:rFonts w:cs="TimesNewRomanPSMT"/>
          <w:szCs w:val="20"/>
          <w:lang w:val="sl-SI" w:eastAsia="en-GB"/>
        </w:rPr>
        <w:t xml:space="preserve"> noben</w:t>
      </w:r>
      <w:r w:rsidR="00EC5401" w:rsidRPr="00275FBD">
        <w:rPr>
          <w:rFonts w:cs="TimesNewRomanPSMT"/>
          <w:szCs w:val="20"/>
          <w:lang w:val="sl-SI" w:eastAsia="en-GB"/>
        </w:rPr>
        <w:t>a</w:t>
      </w:r>
      <w:r w:rsidRPr="00275FBD">
        <w:rPr>
          <w:rFonts w:cs="TimesNewRomanPSMT"/>
          <w:szCs w:val="20"/>
          <w:lang w:val="sl-SI" w:eastAsia="en-GB"/>
        </w:rPr>
        <w:t xml:space="preserve"> </w:t>
      </w:r>
      <w:r w:rsidR="00EC5401" w:rsidRPr="00275FBD">
        <w:rPr>
          <w:rFonts w:cs="TimesNewRomanPSMT"/>
          <w:szCs w:val="20"/>
          <w:lang w:val="sl-SI" w:eastAsia="en-GB"/>
        </w:rPr>
        <w:t>najdba</w:t>
      </w:r>
      <w:r w:rsidRPr="00275FBD">
        <w:rPr>
          <w:rFonts w:cs="TimesNewRomanPSMT"/>
          <w:szCs w:val="20"/>
          <w:lang w:val="sl-SI" w:eastAsia="en-GB"/>
        </w:rPr>
        <w:t xml:space="preserve"> z visokim tveganjem, ki bi ga lahko potrdil PSA, ali z nedopustno degradacijo obrambe</w:t>
      </w:r>
      <w:r w:rsidR="000302B9">
        <w:rPr>
          <w:rFonts w:cs="TimesNewRomanPSMT"/>
          <w:szCs w:val="20"/>
          <w:lang w:val="sl-SI" w:eastAsia="en-GB"/>
        </w:rPr>
        <w:t xml:space="preserve"> v globino</w:t>
      </w:r>
      <w:r w:rsidRPr="00275FBD">
        <w:rPr>
          <w:rFonts w:cs="TimesNewRomanPSMT"/>
          <w:szCs w:val="20"/>
          <w:lang w:val="sl-SI" w:eastAsia="en-GB"/>
        </w:rPr>
        <w:t>.</w:t>
      </w:r>
    </w:p>
    <w:p w14:paraId="7E749F75" w14:textId="662E033A" w:rsidR="00F433AB" w:rsidRPr="00275FBD" w:rsidRDefault="00F433AB" w:rsidP="00A76F79">
      <w:pPr>
        <w:pStyle w:val="Odstavekseznama"/>
        <w:numPr>
          <w:ilvl w:val="0"/>
          <w:numId w:val="38"/>
        </w:numPr>
        <w:ind w:left="714" w:hanging="357"/>
        <w:contextualSpacing w:val="0"/>
        <w:rPr>
          <w:rFonts w:cs="TimesNewRomanPSMT"/>
          <w:szCs w:val="20"/>
          <w:lang w:val="sl-SI" w:eastAsia="en-GB"/>
        </w:rPr>
      </w:pPr>
      <w:r w:rsidRPr="00275FBD">
        <w:rPr>
          <w:rFonts w:cs="TimesNewRomanPSMT"/>
          <w:szCs w:val="20"/>
          <w:lang w:val="sl-SI" w:eastAsia="en-GB"/>
        </w:rPr>
        <w:t>Ugotovljen</w:t>
      </w:r>
      <w:r w:rsidR="00910B6F" w:rsidRPr="00275FBD">
        <w:rPr>
          <w:rFonts w:cs="TimesNewRomanPSMT"/>
          <w:szCs w:val="20"/>
          <w:lang w:val="sl-SI" w:eastAsia="en-GB"/>
        </w:rPr>
        <w:t>e</w:t>
      </w:r>
      <w:r w:rsidRPr="00275FBD">
        <w:rPr>
          <w:rFonts w:cs="TimesNewRomanPSMT"/>
          <w:szCs w:val="20"/>
          <w:lang w:val="sl-SI" w:eastAsia="en-GB"/>
        </w:rPr>
        <w:t xml:space="preserve"> so bil</w:t>
      </w:r>
      <w:r w:rsidR="000302B9">
        <w:rPr>
          <w:rFonts w:cs="TimesNewRomanPSMT"/>
          <w:szCs w:val="20"/>
          <w:lang w:val="sl-SI" w:eastAsia="en-GB"/>
        </w:rPr>
        <w:t>e</w:t>
      </w:r>
      <w:r w:rsidRPr="00275FBD">
        <w:rPr>
          <w:rFonts w:cs="TimesNewRomanPSMT"/>
          <w:szCs w:val="20"/>
          <w:lang w:val="sl-SI" w:eastAsia="en-GB"/>
        </w:rPr>
        <w:t xml:space="preserve"> tri </w:t>
      </w:r>
      <w:r w:rsidR="00910B6F" w:rsidRPr="00275FBD">
        <w:rPr>
          <w:rFonts w:cs="TimesNewRomanPSMT"/>
          <w:szCs w:val="20"/>
          <w:lang w:val="sl-SI" w:eastAsia="en-GB"/>
        </w:rPr>
        <w:t>najdbe</w:t>
      </w:r>
      <w:r w:rsidRPr="00275FBD">
        <w:rPr>
          <w:rFonts w:cs="TimesNewRomanPSMT"/>
          <w:szCs w:val="20"/>
          <w:lang w:val="sl-SI" w:eastAsia="en-GB"/>
        </w:rPr>
        <w:t xml:space="preserve"> s potencialnim vplivom na varnost, ki jih je mogoče tolerirati le za omejen čas (Dodatek 1, </w:t>
      </w:r>
      <w:r w:rsidR="0014523E">
        <w:rPr>
          <w:rFonts w:cs="TimesNewRomanPSMT"/>
          <w:szCs w:val="20"/>
          <w:lang w:val="sl-SI" w:eastAsia="en-GB"/>
        </w:rPr>
        <w:t>T</w:t>
      </w:r>
      <w:r w:rsidR="0014523E" w:rsidRPr="00275FBD">
        <w:rPr>
          <w:rFonts w:cs="TimesNewRomanPSMT"/>
          <w:szCs w:val="20"/>
          <w:lang w:val="sl-SI" w:eastAsia="en-GB"/>
        </w:rPr>
        <w:t xml:space="preserve">abela </w:t>
      </w:r>
      <w:r w:rsidRPr="00275FBD">
        <w:rPr>
          <w:rFonts w:cs="TimesNewRomanPSMT"/>
          <w:szCs w:val="20"/>
          <w:lang w:val="sl-SI" w:eastAsia="en-GB"/>
        </w:rPr>
        <w:t xml:space="preserve">A-1, </w:t>
      </w:r>
      <w:r w:rsidR="00910B6F" w:rsidRPr="00275FBD">
        <w:rPr>
          <w:rFonts w:cs="TimesNewRomanPSMT"/>
          <w:szCs w:val="20"/>
          <w:lang w:val="sl-SI" w:eastAsia="en-GB"/>
        </w:rPr>
        <w:t xml:space="preserve">najdbe </w:t>
      </w:r>
      <w:r w:rsidRPr="00275FBD">
        <w:rPr>
          <w:rFonts w:cs="TimesNewRomanPSMT"/>
          <w:szCs w:val="20"/>
          <w:lang w:val="sl-SI" w:eastAsia="en-GB"/>
        </w:rPr>
        <w:t>»DL«). E</w:t>
      </w:r>
      <w:r w:rsidR="00CD0C69">
        <w:rPr>
          <w:rFonts w:cs="TimesNewRomanPSMT"/>
          <w:szCs w:val="20"/>
          <w:lang w:val="sl-SI" w:eastAsia="en-GB"/>
        </w:rPr>
        <w:t>na</w:t>
      </w:r>
      <w:r w:rsidRPr="00275FBD">
        <w:rPr>
          <w:rFonts w:cs="TimesNewRomanPSMT"/>
          <w:szCs w:val="20"/>
          <w:lang w:val="sl-SI" w:eastAsia="en-GB"/>
        </w:rPr>
        <w:t xml:space="preserve"> od treh je povezan</w:t>
      </w:r>
      <w:r w:rsidR="00CD0C69">
        <w:rPr>
          <w:rFonts w:cs="TimesNewRomanPSMT"/>
          <w:szCs w:val="20"/>
          <w:lang w:val="sl-SI" w:eastAsia="en-GB"/>
        </w:rPr>
        <w:t>a</w:t>
      </w:r>
      <w:r w:rsidRPr="00275FBD">
        <w:rPr>
          <w:rFonts w:cs="TimesNewRomanPSMT"/>
          <w:szCs w:val="20"/>
          <w:lang w:val="sl-SI" w:eastAsia="en-GB"/>
        </w:rPr>
        <w:t xml:space="preserve"> z možnim vplivom na </w:t>
      </w:r>
      <w:r w:rsidR="0014523E">
        <w:rPr>
          <w:rFonts w:cs="TimesNewRomanPSMT"/>
          <w:szCs w:val="20"/>
          <w:lang w:val="sl-SI" w:eastAsia="en-GB"/>
        </w:rPr>
        <w:t xml:space="preserve">zagotavljanje </w:t>
      </w:r>
      <w:r w:rsidRPr="00275FBD">
        <w:rPr>
          <w:rFonts w:cs="TimesNewRomanPSMT"/>
          <w:szCs w:val="20"/>
          <w:lang w:val="sl-SI" w:eastAsia="en-GB"/>
        </w:rPr>
        <w:t>bivaln</w:t>
      </w:r>
      <w:r w:rsidR="0014523E">
        <w:rPr>
          <w:rFonts w:cs="TimesNewRomanPSMT"/>
          <w:szCs w:val="20"/>
          <w:lang w:val="sl-SI" w:eastAsia="en-GB"/>
        </w:rPr>
        <w:t>ih razmer v</w:t>
      </w:r>
      <w:r w:rsidRPr="00275FBD">
        <w:rPr>
          <w:rFonts w:cs="TimesNewRomanPSMT"/>
          <w:szCs w:val="20"/>
          <w:lang w:val="sl-SI" w:eastAsia="en-GB"/>
        </w:rPr>
        <w:t xml:space="preserve"> MCR (indikacije v zvezi z izgubo tlačne tesnosti MCR / potencialno puščanje), PSR3 1.2-025. Preostal</w:t>
      </w:r>
      <w:r w:rsidR="00E77441">
        <w:rPr>
          <w:rFonts w:cs="TimesNewRomanPSMT"/>
          <w:szCs w:val="20"/>
          <w:lang w:val="sl-SI" w:eastAsia="en-GB"/>
        </w:rPr>
        <w:t>i</w:t>
      </w:r>
      <w:r w:rsidRPr="00275FBD">
        <w:rPr>
          <w:rFonts w:cs="TimesNewRomanPSMT"/>
          <w:szCs w:val="20"/>
          <w:lang w:val="sl-SI" w:eastAsia="en-GB"/>
        </w:rPr>
        <w:t xml:space="preserve"> dv</w:t>
      </w:r>
      <w:r w:rsidR="00E77441">
        <w:rPr>
          <w:rFonts w:cs="TimesNewRomanPSMT"/>
          <w:szCs w:val="20"/>
          <w:lang w:val="sl-SI" w:eastAsia="en-GB"/>
        </w:rPr>
        <w:t>e</w:t>
      </w:r>
      <w:r w:rsidRPr="00275FBD">
        <w:rPr>
          <w:rFonts w:cs="TimesNewRomanPSMT"/>
          <w:szCs w:val="20"/>
          <w:lang w:val="sl-SI" w:eastAsia="en-GB"/>
        </w:rPr>
        <w:t xml:space="preserve"> (PSR3 1.4-015 in PSR3 5.2-014) sta povezan</w:t>
      </w:r>
      <w:r w:rsidR="00E77441">
        <w:rPr>
          <w:rFonts w:cs="TimesNewRomanPSMT"/>
          <w:szCs w:val="20"/>
          <w:lang w:val="sl-SI" w:eastAsia="en-GB"/>
        </w:rPr>
        <w:t>i</w:t>
      </w:r>
      <w:r w:rsidRPr="00275FBD">
        <w:rPr>
          <w:rFonts w:cs="TimesNewRomanPSMT"/>
          <w:szCs w:val="20"/>
          <w:lang w:val="sl-SI" w:eastAsia="en-GB"/>
        </w:rPr>
        <w:t xml:space="preserve"> z </w:t>
      </w:r>
      <w:r w:rsidR="005A4290">
        <w:rPr>
          <w:rFonts w:cs="TimesNewRomanPSMT"/>
          <w:szCs w:val="20"/>
          <w:lang w:val="sl-SI" w:eastAsia="en-GB"/>
        </w:rPr>
        <w:t>nadzorom</w:t>
      </w:r>
      <w:r w:rsidR="005A4290" w:rsidRPr="00275FBD">
        <w:rPr>
          <w:rFonts w:cs="TimesNewRomanPSMT"/>
          <w:szCs w:val="20"/>
          <w:lang w:val="sl-SI" w:eastAsia="en-GB"/>
        </w:rPr>
        <w:t xml:space="preserve"> </w:t>
      </w:r>
      <w:r w:rsidRPr="00275FBD">
        <w:rPr>
          <w:rFonts w:cs="TimesNewRomanPSMT"/>
          <w:szCs w:val="20"/>
          <w:lang w:val="sl-SI" w:eastAsia="en-GB"/>
        </w:rPr>
        <w:t xml:space="preserve">staranja v </w:t>
      </w:r>
      <w:r w:rsidR="00D202DF">
        <w:rPr>
          <w:rFonts w:cs="TimesNewRomanPSMT"/>
          <w:szCs w:val="20"/>
          <w:lang w:val="sl-SI" w:eastAsia="en-GB"/>
        </w:rPr>
        <w:t>dolgoročnem obratovanju</w:t>
      </w:r>
      <w:r w:rsidRPr="00275FBD">
        <w:rPr>
          <w:rFonts w:cs="TimesNewRomanPSMT"/>
          <w:szCs w:val="20"/>
          <w:lang w:val="sl-SI" w:eastAsia="en-GB"/>
        </w:rPr>
        <w:t>.</w:t>
      </w:r>
    </w:p>
    <w:p w14:paraId="52BEC3CA" w14:textId="7DAC78DD" w:rsidR="00F433AB" w:rsidRPr="00275FBD" w:rsidRDefault="00F433AB" w:rsidP="00EC42C3">
      <w:pPr>
        <w:pStyle w:val="Odstavekseznama"/>
        <w:numPr>
          <w:ilvl w:val="1"/>
          <w:numId w:val="38"/>
        </w:numPr>
        <w:contextualSpacing w:val="0"/>
        <w:rPr>
          <w:rFonts w:cs="TimesNewRomanPSMT"/>
          <w:szCs w:val="20"/>
          <w:lang w:val="sl-SI" w:eastAsia="en-GB"/>
        </w:rPr>
      </w:pPr>
      <w:r w:rsidRPr="00275FBD">
        <w:rPr>
          <w:rFonts w:cs="TimesNewRomanPSMT"/>
          <w:szCs w:val="20"/>
          <w:lang w:val="sl-SI" w:eastAsia="en-GB"/>
        </w:rPr>
        <w:t xml:space="preserve">V zvezi z </w:t>
      </w:r>
      <w:r w:rsidR="00EC5401" w:rsidRPr="00275FBD">
        <w:rPr>
          <w:rFonts w:cs="TimesNewRomanPSMT"/>
          <w:szCs w:val="20"/>
          <w:lang w:val="sl-SI" w:eastAsia="en-GB"/>
        </w:rPr>
        <w:t>najdbo</w:t>
      </w:r>
      <w:r w:rsidRPr="00275FBD">
        <w:rPr>
          <w:rFonts w:cs="TimesNewRomanPSMT"/>
          <w:szCs w:val="20"/>
          <w:lang w:val="sl-SI" w:eastAsia="en-GB"/>
        </w:rPr>
        <w:t xml:space="preserve"> PSR3 1.2-025 se že izvajajo </w:t>
      </w:r>
      <w:r w:rsidR="005A4290" w:rsidRPr="00275FBD">
        <w:rPr>
          <w:rFonts w:cs="TimesNewRomanPSMT"/>
          <w:szCs w:val="20"/>
          <w:lang w:val="sl-SI" w:eastAsia="en-GB"/>
        </w:rPr>
        <w:t xml:space="preserve">ukrepi </w:t>
      </w:r>
      <w:r w:rsidRPr="00275FBD">
        <w:rPr>
          <w:rFonts w:cs="TimesNewRomanPSMT"/>
          <w:szCs w:val="20"/>
          <w:lang w:val="sl-SI" w:eastAsia="en-GB"/>
        </w:rPr>
        <w:t xml:space="preserve">v okviru </w:t>
      </w:r>
      <w:r w:rsidR="00CD68BA" w:rsidRPr="00275FBD">
        <w:rPr>
          <w:rFonts w:cs="TimesNewRomanPSMT"/>
          <w:szCs w:val="20"/>
          <w:lang w:val="sl-SI" w:eastAsia="en-GB"/>
        </w:rPr>
        <w:t>CAP</w:t>
      </w:r>
      <w:r w:rsidRPr="00275FBD">
        <w:rPr>
          <w:rFonts w:cs="TimesNewRomanPSMT"/>
          <w:szCs w:val="20"/>
          <w:lang w:val="sl-SI" w:eastAsia="en-GB"/>
        </w:rPr>
        <w:t xml:space="preserve"> za obravnavo tlačne tesnosti MCR, </w:t>
      </w:r>
      <w:r w:rsidR="00CD68BA" w:rsidRPr="00275FBD">
        <w:rPr>
          <w:rFonts w:cs="TimesNewRomanPSMT"/>
          <w:szCs w:val="20"/>
          <w:lang w:val="sl-SI" w:eastAsia="en-GB"/>
        </w:rPr>
        <w:t>kot so</w:t>
      </w:r>
      <w:r w:rsidRPr="00275FBD">
        <w:rPr>
          <w:rFonts w:cs="TimesNewRomanPSMT"/>
          <w:szCs w:val="20"/>
          <w:lang w:val="sl-SI" w:eastAsia="en-GB"/>
        </w:rPr>
        <w:t>:</w:t>
      </w:r>
    </w:p>
    <w:p w14:paraId="5C0CF723" w14:textId="54550937" w:rsidR="00F433AB" w:rsidRPr="00275FBD" w:rsidRDefault="00F433AB" w:rsidP="00521BC9">
      <w:pPr>
        <w:pStyle w:val="Odstavekseznama"/>
        <w:numPr>
          <w:ilvl w:val="2"/>
          <w:numId w:val="38"/>
        </w:numPr>
        <w:contextualSpacing w:val="0"/>
        <w:rPr>
          <w:rFonts w:cs="TimesNewRomanPSMT"/>
          <w:szCs w:val="20"/>
          <w:lang w:val="sl-SI" w:eastAsia="en-GB"/>
        </w:rPr>
      </w:pPr>
      <w:r w:rsidRPr="00275FBD">
        <w:rPr>
          <w:rFonts w:cs="TimesNewRomanPSMT"/>
          <w:szCs w:val="20"/>
          <w:lang w:val="sl-SI" w:eastAsia="en-GB"/>
        </w:rPr>
        <w:t xml:space="preserve">Pregled </w:t>
      </w:r>
      <w:r w:rsidR="00CD68BA" w:rsidRPr="00275FBD">
        <w:rPr>
          <w:rFonts w:cs="TimesNewRomanPSMT"/>
          <w:szCs w:val="20"/>
          <w:lang w:val="sl-SI" w:eastAsia="en-GB"/>
        </w:rPr>
        <w:t>ventilacijskih</w:t>
      </w:r>
      <w:r w:rsidRPr="00275FBD">
        <w:rPr>
          <w:rFonts w:cs="TimesNewRomanPSMT"/>
          <w:szCs w:val="20"/>
          <w:lang w:val="sl-SI" w:eastAsia="en-GB"/>
        </w:rPr>
        <w:t xml:space="preserve"> kanalov,</w:t>
      </w:r>
    </w:p>
    <w:p w14:paraId="54DF38C9" w14:textId="77777777" w:rsidR="00F433AB" w:rsidRPr="00275FBD" w:rsidRDefault="00F433AB" w:rsidP="00863939">
      <w:pPr>
        <w:pStyle w:val="Odstavekseznama"/>
        <w:numPr>
          <w:ilvl w:val="2"/>
          <w:numId w:val="38"/>
        </w:numPr>
        <w:contextualSpacing w:val="0"/>
        <w:rPr>
          <w:rFonts w:cs="TimesNewRomanPSMT"/>
          <w:szCs w:val="20"/>
          <w:lang w:val="sl-SI" w:eastAsia="en-GB"/>
        </w:rPr>
      </w:pPr>
      <w:r w:rsidRPr="00275FBD">
        <w:rPr>
          <w:rFonts w:cs="TimesNewRomanPSMT"/>
          <w:szCs w:val="20"/>
          <w:lang w:val="sl-SI" w:eastAsia="en-GB"/>
        </w:rPr>
        <w:t>Tesnjenje prebojev in odprtin,</w:t>
      </w:r>
    </w:p>
    <w:p w14:paraId="54DAE23F" w14:textId="77777777" w:rsidR="00CD68BA" w:rsidRPr="00275FBD" w:rsidRDefault="00F433AB" w:rsidP="003F1F3C">
      <w:pPr>
        <w:pStyle w:val="Odstavekseznama"/>
        <w:numPr>
          <w:ilvl w:val="2"/>
          <w:numId w:val="38"/>
        </w:numPr>
        <w:contextualSpacing w:val="0"/>
        <w:rPr>
          <w:rFonts w:cs="TimesNewRomanPSMT"/>
          <w:szCs w:val="20"/>
          <w:lang w:val="sl-SI" w:eastAsia="en-GB"/>
        </w:rPr>
      </w:pPr>
      <w:r w:rsidRPr="00275FBD">
        <w:rPr>
          <w:rFonts w:cs="TimesNewRomanPSMT"/>
          <w:szCs w:val="20"/>
          <w:lang w:val="sl-SI" w:eastAsia="en-GB"/>
        </w:rPr>
        <w:t>Identifikacija puščajočih prebojev in poti.</w:t>
      </w:r>
    </w:p>
    <w:p w14:paraId="68C73074" w14:textId="1658C31D" w:rsidR="00F433AB" w:rsidRPr="00275FBD" w:rsidRDefault="00F433AB" w:rsidP="00CD68BA">
      <w:pPr>
        <w:pStyle w:val="Odstavekseznama"/>
        <w:numPr>
          <w:ilvl w:val="1"/>
          <w:numId w:val="38"/>
        </w:numPr>
        <w:contextualSpacing w:val="0"/>
        <w:rPr>
          <w:rFonts w:cs="TimesNewRomanPSMT"/>
          <w:szCs w:val="20"/>
          <w:lang w:val="sl-SI" w:eastAsia="en-GB"/>
        </w:rPr>
      </w:pPr>
      <w:r w:rsidRPr="00275FBD">
        <w:rPr>
          <w:rFonts w:cs="TimesNewRomanPSMT"/>
          <w:szCs w:val="20"/>
          <w:lang w:val="sl-SI" w:eastAsia="en-GB"/>
        </w:rPr>
        <w:t xml:space="preserve">Za </w:t>
      </w:r>
      <w:r w:rsidR="005A4290" w:rsidRPr="00275FBD">
        <w:rPr>
          <w:rFonts w:cs="TimesNewRomanPSMT"/>
          <w:szCs w:val="20"/>
          <w:lang w:val="sl-SI" w:eastAsia="en-GB"/>
        </w:rPr>
        <w:t>preostal</w:t>
      </w:r>
      <w:r w:rsidR="005A4290">
        <w:rPr>
          <w:rFonts w:cs="TimesNewRomanPSMT"/>
          <w:szCs w:val="20"/>
          <w:lang w:val="sl-SI" w:eastAsia="en-GB"/>
        </w:rPr>
        <w:t>i</w:t>
      </w:r>
      <w:r w:rsidR="005A4290" w:rsidRPr="00275FBD">
        <w:rPr>
          <w:rFonts w:cs="TimesNewRomanPSMT"/>
          <w:szCs w:val="20"/>
          <w:lang w:val="sl-SI" w:eastAsia="en-GB"/>
        </w:rPr>
        <w:t xml:space="preserve"> </w:t>
      </w:r>
      <w:r w:rsidRPr="00275FBD">
        <w:rPr>
          <w:rFonts w:cs="TimesNewRomanPSMT"/>
          <w:szCs w:val="20"/>
          <w:lang w:val="sl-SI" w:eastAsia="en-GB"/>
        </w:rPr>
        <w:t xml:space="preserve">dve zadevi </w:t>
      </w:r>
      <w:r w:rsidR="005A4290">
        <w:rPr>
          <w:rFonts w:cs="TimesNewRomanPSMT"/>
          <w:szCs w:val="20"/>
          <w:lang w:val="sl-SI" w:eastAsia="en-GB"/>
        </w:rPr>
        <w:t xml:space="preserve">je </w:t>
      </w:r>
      <w:r w:rsidR="005A4290" w:rsidRPr="00275FBD">
        <w:rPr>
          <w:rFonts w:cs="TimesNewRomanPSMT"/>
          <w:szCs w:val="20"/>
          <w:lang w:val="sl-SI" w:eastAsia="en-GB"/>
        </w:rPr>
        <w:t>reševanj</w:t>
      </w:r>
      <w:r w:rsidR="005A4290">
        <w:rPr>
          <w:rFonts w:cs="TimesNewRomanPSMT"/>
          <w:szCs w:val="20"/>
          <w:lang w:val="sl-SI" w:eastAsia="en-GB"/>
        </w:rPr>
        <w:t>e</w:t>
      </w:r>
      <w:r w:rsidR="005A4290" w:rsidRPr="00275FBD">
        <w:rPr>
          <w:rFonts w:cs="TimesNewRomanPSMT"/>
          <w:szCs w:val="20"/>
          <w:lang w:val="sl-SI" w:eastAsia="en-GB"/>
        </w:rPr>
        <w:t xml:space="preserve"> </w:t>
      </w:r>
      <w:r w:rsidRPr="00275FBD">
        <w:rPr>
          <w:rFonts w:cs="TimesNewRomanPSMT"/>
          <w:szCs w:val="20"/>
          <w:lang w:val="sl-SI" w:eastAsia="en-GB"/>
        </w:rPr>
        <w:t xml:space="preserve">prav tako </w:t>
      </w:r>
      <w:r w:rsidR="0014523E">
        <w:rPr>
          <w:rFonts w:cs="TimesNewRomanPSMT"/>
          <w:szCs w:val="20"/>
          <w:lang w:val="sl-SI" w:eastAsia="en-GB"/>
        </w:rPr>
        <w:t xml:space="preserve">že </w:t>
      </w:r>
      <w:r w:rsidRPr="00275FBD">
        <w:rPr>
          <w:rFonts w:cs="TimesNewRomanPSMT"/>
          <w:szCs w:val="20"/>
          <w:lang w:val="sl-SI" w:eastAsia="en-GB"/>
        </w:rPr>
        <w:t>v teku.</w:t>
      </w:r>
    </w:p>
    <w:p w14:paraId="4D53C426" w14:textId="67B1E0A9" w:rsidR="00A24FD1" w:rsidRPr="00275FBD" w:rsidRDefault="00A24FD1" w:rsidP="002E355C">
      <w:pPr>
        <w:pStyle w:val="Odstavekseznama"/>
        <w:numPr>
          <w:ilvl w:val="0"/>
          <w:numId w:val="38"/>
        </w:numPr>
        <w:ind w:left="714" w:hanging="357"/>
        <w:contextualSpacing w:val="0"/>
        <w:rPr>
          <w:rFonts w:cs="TimesNewRomanPSMT"/>
          <w:szCs w:val="20"/>
          <w:lang w:val="sl-SI" w:eastAsia="en-GB"/>
        </w:rPr>
      </w:pPr>
      <w:r w:rsidRPr="00275FBD">
        <w:rPr>
          <w:rFonts w:cs="TimesNewRomanPSMT"/>
          <w:szCs w:val="20"/>
          <w:lang w:val="sl-SI" w:eastAsia="en-GB"/>
        </w:rPr>
        <w:t xml:space="preserve">Ugotovljenih je bilo skupno 30 </w:t>
      </w:r>
      <w:r w:rsidR="00BD5705" w:rsidRPr="00275FBD">
        <w:rPr>
          <w:rFonts w:cs="TimesNewRomanPSMT"/>
          <w:szCs w:val="20"/>
          <w:lang w:val="sl-SI" w:eastAsia="en-GB"/>
        </w:rPr>
        <w:t>najdb,</w:t>
      </w:r>
      <w:r w:rsidRPr="00275FBD">
        <w:rPr>
          <w:rFonts w:cs="TimesNewRomanPSMT"/>
          <w:szCs w:val="20"/>
          <w:lang w:val="sl-SI" w:eastAsia="en-GB"/>
        </w:rPr>
        <w:t xml:space="preserve"> ki kažejo na potrebo po ponovni oceni jedrske varnosti s časovno omejeno sprejemljivostjo (Dodatek 1, </w:t>
      </w:r>
      <w:r w:rsidR="0014523E">
        <w:rPr>
          <w:rFonts w:cs="TimesNewRomanPSMT"/>
          <w:szCs w:val="20"/>
          <w:lang w:val="sl-SI" w:eastAsia="en-GB"/>
        </w:rPr>
        <w:t>T</w:t>
      </w:r>
      <w:r w:rsidRPr="00275FBD">
        <w:rPr>
          <w:rFonts w:cs="TimesNewRomanPSMT"/>
          <w:szCs w:val="20"/>
          <w:lang w:val="sl-SI" w:eastAsia="en-GB"/>
        </w:rPr>
        <w:t xml:space="preserve">abela A-1, </w:t>
      </w:r>
      <w:r w:rsidR="00910B6F" w:rsidRPr="00275FBD">
        <w:rPr>
          <w:rFonts w:cs="TimesNewRomanPSMT"/>
          <w:szCs w:val="20"/>
          <w:lang w:val="sl-SI" w:eastAsia="en-GB"/>
        </w:rPr>
        <w:t xml:space="preserve">najdbe </w:t>
      </w:r>
      <w:r w:rsidRPr="00275FBD">
        <w:rPr>
          <w:rFonts w:cs="TimesNewRomanPSMT"/>
          <w:szCs w:val="20"/>
          <w:lang w:val="sl-SI" w:eastAsia="en-GB"/>
        </w:rPr>
        <w:t xml:space="preserve">»RE«). </w:t>
      </w:r>
      <w:r w:rsidR="0014523E" w:rsidRPr="00275FBD">
        <w:rPr>
          <w:rFonts w:cs="TimesNewRomanPSMT"/>
          <w:szCs w:val="20"/>
          <w:lang w:val="sl-SI" w:eastAsia="en-GB"/>
        </w:rPr>
        <w:t>T</w:t>
      </w:r>
      <w:r w:rsidR="0014523E">
        <w:rPr>
          <w:rFonts w:cs="TimesNewRomanPSMT"/>
          <w:szCs w:val="20"/>
          <w:lang w:val="sl-SI" w:eastAsia="en-GB"/>
        </w:rPr>
        <w:t>e</w:t>
      </w:r>
      <w:r w:rsidR="0014523E" w:rsidRPr="00275FBD">
        <w:rPr>
          <w:rFonts w:cs="TimesNewRomanPSMT"/>
          <w:szCs w:val="20"/>
          <w:lang w:val="sl-SI" w:eastAsia="en-GB"/>
        </w:rPr>
        <w:t xml:space="preserve"> </w:t>
      </w:r>
      <w:r w:rsidRPr="00275FBD">
        <w:rPr>
          <w:rFonts w:cs="TimesNewRomanPSMT"/>
          <w:szCs w:val="20"/>
          <w:lang w:val="sl-SI" w:eastAsia="en-GB"/>
        </w:rPr>
        <w:t xml:space="preserve">vključujejo različne </w:t>
      </w:r>
      <w:r w:rsidR="0014523E">
        <w:rPr>
          <w:rFonts w:cs="TimesNewRomanPSMT"/>
          <w:szCs w:val="20"/>
          <w:lang w:val="sl-SI" w:eastAsia="en-GB"/>
        </w:rPr>
        <w:t>ukrepe</w:t>
      </w:r>
      <w:r w:rsidRPr="00275FBD">
        <w:rPr>
          <w:rFonts w:cs="TimesNewRomanPSMT"/>
          <w:szCs w:val="20"/>
          <w:lang w:val="sl-SI" w:eastAsia="en-GB"/>
        </w:rPr>
        <w:t>.</w:t>
      </w:r>
    </w:p>
    <w:p w14:paraId="25137D7A" w14:textId="3EF18D25" w:rsidR="00A24FD1" w:rsidRPr="00275FBD" w:rsidRDefault="00A24FD1" w:rsidP="002011AB">
      <w:pPr>
        <w:pStyle w:val="Odstavekseznama"/>
        <w:numPr>
          <w:ilvl w:val="1"/>
          <w:numId w:val="38"/>
        </w:numPr>
        <w:contextualSpacing w:val="0"/>
        <w:rPr>
          <w:rFonts w:cs="TimesNewRomanPSMT"/>
          <w:szCs w:val="20"/>
          <w:lang w:val="sl-SI" w:eastAsia="en-GB"/>
        </w:rPr>
      </w:pPr>
      <w:r w:rsidRPr="00275FBD">
        <w:rPr>
          <w:rFonts w:cs="TimesNewRomanPSMT"/>
          <w:szCs w:val="20"/>
          <w:lang w:val="sl-SI" w:eastAsia="en-GB"/>
        </w:rPr>
        <w:t xml:space="preserve">Za skupino </w:t>
      </w:r>
      <w:r w:rsidR="00BD5705" w:rsidRPr="00275FBD">
        <w:rPr>
          <w:rFonts w:cs="TimesNewRomanPSMT"/>
          <w:szCs w:val="20"/>
          <w:lang w:val="sl-SI" w:eastAsia="en-GB"/>
        </w:rPr>
        <w:t xml:space="preserve">najdb </w:t>
      </w:r>
      <w:r w:rsidRPr="00275FBD">
        <w:rPr>
          <w:rFonts w:cs="TimesNewRomanPSMT"/>
          <w:szCs w:val="20"/>
          <w:lang w:val="sl-SI" w:eastAsia="en-GB"/>
        </w:rPr>
        <w:t xml:space="preserve">v zvezi z opaženimi indikacijami stanja gradbenih objektov (PSR3 1.2-016, 017 in </w:t>
      </w:r>
      <w:r w:rsidR="00B20813" w:rsidRPr="00275FBD">
        <w:rPr>
          <w:rFonts w:cs="TimesNewRomanPSMT"/>
          <w:szCs w:val="20"/>
          <w:lang w:val="sl-SI" w:eastAsia="en-GB"/>
        </w:rPr>
        <w:t>drug</w:t>
      </w:r>
      <w:r w:rsidR="00B20813">
        <w:rPr>
          <w:rFonts w:cs="TimesNewRomanPSMT"/>
          <w:szCs w:val="20"/>
          <w:lang w:val="sl-SI" w:eastAsia="en-GB"/>
        </w:rPr>
        <w:t>e</w:t>
      </w:r>
      <w:r w:rsidRPr="00275FBD">
        <w:rPr>
          <w:rFonts w:cs="TimesNewRomanPSMT"/>
          <w:szCs w:val="20"/>
          <w:lang w:val="sl-SI" w:eastAsia="en-GB"/>
        </w:rPr>
        <w:t xml:space="preserve">) je reševanje že v teku. Glede na pogovore z osebjem elektrarne bodo </w:t>
      </w:r>
      <w:r w:rsidR="00CB6B10">
        <w:rPr>
          <w:rFonts w:cs="TimesNewRomanPSMT"/>
          <w:szCs w:val="20"/>
          <w:lang w:val="sl-SI" w:eastAsia="en-GB"/>
        </w:rPr>
        <w:t>najdbe</w:t>
      </w:r>
      <w:r w:rsidR="00CB6B10" w:rsidRPr="00275FBD">
        <w:rPr>
          <w:rFonts w:cs="TimesNewRomanPSMT"/>
          <w:szCs w:val="20"/>
          <w:lang w:val="sl-SI" w:eastAsia="en-GB"/>
        </w:rPr>
        <w:t xml:space="preserve"> </w:t>
      </w:r>
      <w:r w:rsidRPr="00275FBD">
        <w:rPr>
          <w:rFonts w:cs="TimesNewRomanPSMT"/>
          <w:szCs w:val="20"/>
          <w:lang w:val="sl-SI" w:eastAsia="en-GB"/>
        </w:rPr>
        <w:t xml:space="preserve">reševane v dveh korakih. Prvi korak je priprava načrta gradbenih popravil na podlagi ugotovitev spremljanja. Ta ukrep je bil vnesen v CAP in že poteka. Ukrepi za drugi korak, popravilo gradbenih struktur, bodo </w:t>
      </w:r>
      <w:r w:rsidR="00DC549D">
        <w:rPr>
          <w:rFonts w:cs="TimesNewRomanPSMT"/>
          <w:szCs w:val="20"/>
          <w:lang w:val="sl-SI" w:eastAsia="en-GB"/>
        </w:rPr>
        <w:t>določ</w:t>
      </w:r>
      <w:r w:rsidR="00DC549D" w:rsidRPr="00275FBD">
        <w:rPr>
          <w:rFonts w:cs="TimesNewRomanPSMT"/>
          <w:szCs w:val="20"/>
          <w:lang w:val="sl-SI" w:eastAsia="en-GB"/>
        </w:rPr>
        <w:t xml:space="preserve">eni </w:t>
      </w:r>
      <w:r w:rsidRPr="00275FBD">
        <w:rPr>
          <w:rFonts w:cs="TimesNewRomanPSMT"/>
          <w:szCs w:val="20"/>
          <w:lang w:val="sl-SI" w:eastAsia="en-GB"/>
        </w:rPr>
        <w:t>na podlagi zaključkov načrta popravil.</w:t>
      </w:r>
    </w:p>
    <w:p w14:paraId="615DCBC0" w14:textId="1EBBCAE2" w:rsidR="00A24FD1" w:rsidRPr="00275FBD" w:rsidRDefault="00A24FD1" w:rsidP="0030751F">
      <w:pPr>
        <w:pStyle w:val="Odstavekseznama"/>
        <w:numPr>
          <w:ilvl w:val="1"/>
          <w:numId w:val="38"/>
        </w:numPr>
        <w:contextualSpacing w:val="0"/>
        <w:rPr>
          <w:rFonts w:cs="TimesNewRomanPSMT"/>
          <w:szCs w:val="20"/>
          <w:lang w:val="sl-SI" w:eastAsia="en-GB"/>
        </w:rPr>
      </w:pPr>
      <w:r w:rsidRPr="00275FBD">
        <w:rPr>
          <w:rFonts w:cs="TimesNewRomanPSMT"/>
          <w:szCs w:val="20"/>
          <w:lang w:val="sl-SI" w:eastAsia="en-GB"/>
        </w:rPr>
        <w:t xml:space="preserve">Podobno </w:t>
      </w:r>
      <w:r w:rsidR="00DC549D">
        <w:rPr>
          <w:rFonts w:cs="TimesNewRomanPSMT"/>
          <w:szCs w:val="20"/>
          <w:lang w:val="sl-SI" w:eastAsia="en-GB"/>
        </w:rPr>
        <w:t xml:space="preserve">se </w:t>
      </w:r>
      <w:r w:rsidRPr="00275FBD">
        <w:rPr>
          <w:rFonts w:cs="TimesNewRomanPSMT"/>
          <w:szCs w:val="20"/>
          <w:lang w:val="sl-SI" w:eastAsia="en-GB"/>
        </w:rPr>
        <w:t xml:space="preserve">je za </w:t>
      </w:r>
      <w:r w:rsidR="00EC5401" w:rsidRPr="00275FBD">
        <w:rPr>
          <w:rFonts w:cs="TimesNewRomanPSMT"/>
          <w:szCs w:val="20"/>
          <w:lang w:val="sl-SI" w:eastAsia="en-GB"/>
        </w:rPr>
        <w:t>najdbo</w:t>
      </w:r>
      <w:r w:rsidRPr="00275FBD">
        <w:rPr>
          <w:rFonts w:cs="TimesNewRomanPSMT"/>
          <w:szCs w:val="20"/>
          <w:lang w:val="sl-SI" w:eastAsia="en-GB"/>
        </w:rPr>
        <w:t xml:space="preserve"> PSR3 3.1-004 (cevi sistema CC v reaktorski zgradbi) </w:t>
      </w:r>
      <w:r w:rsidR="00E72C5E" w:rsidRPr="00275FBD">
        <w:rPr>
          <w:rFonts w:cs="TimesNewRomanPSMT"/>
          <w:szCs w:val="20"/>
          <w:lang w:val="sl-SI" w:eastAsia="en-GB"/>
        </w:rPr>
        <w:t xml:space="preserve">izvedba </w:t>
      </w:r>
      <w:r w:rsidRPr="00275FBD">
        <w:rPr>
          <w:rFonts w:cs="TimesNewRomanPSMT"/>
          <w:szCs w:val="20"/>
          <w:lang w:val="sl-SI" w:eastAsia="en-GB"/>
        </w:rPr>
        <w:t xml:space="preserve">v CAP že </w:t>
      </w:r>
      <w:r w:rsidR="00DC549D">
        <w:rPr>
          <w:rFonts w:cs="TimesNewRomanPSMT"/>
          <w:szCs w:val="20"/>
          <w:lang w:val="sl-SI" w:eastAsia="en-GB"/>
        </w:rPr>
        <w:t>začel</w:t>
      </w:r>
      <w:r w:rsidR="00DC549D" w:rsidRPr="00275FBD">
        <w:rPr>
          <w:rFonts w:cs="TimesNewRomanPSMT"/>
          <w:szCs w:val="20"/>
          <w:lang w:val="sl-SI" w:eastAsia="en-GB"/>
        </w:rPr>
        <w:t>a</w:t>
      </w:r>
      <w:r w:rsidRPr="00275FBD">
        <w:rPr>
          <w:rFonts w:cs="TimesNewRomanPSMT"/>
          <w:szCs w:val="20"/>
          <w:lang w:val="sl-SI" w:eastAsia="en-GB"/>
        </w:rPr>
        <w:t>.</w:t>
      </w:r>
    </w:p>
    <w:p w14:paraId="5D77C85F" w14:textId="25630710" w:rsidR="00CD68BA" w:rsidRPr="00275FBD" w:rsidRDefault="00A24FD1" w:rsidP="0030751F">
      <w:pPr>
        <w:pStyle w:val="Odstavekseznama"/>
        <w:numPr>
          <w:ilvl w:val="1"/>
          <w:numId w:val="38"/>
        </w:numPr>
        <w:contextualSpacing w:val="0"/>
        <w:rPr>
          <w:rFonts w:cs="TimesNewRomanPSMT"/>
          <w:szCs w:val="20"/>
          <w:lang w:val="sl-SI" w:eastAsia="en-GB"/>
        </w:rPr>
      </w:pPr>
      <w:r w:rsidRPr="00275FBD">
        <w:rPr>
          <w:rFonts w:cs="TimesNewRomanPSMT"/>
          <w:szCs w:val="20"/>
          <w:lang w:val="sl-SI" w:eastAsia="en-GB"/>
        </w:rPr>
        <w:t xml:space="preserve">Za </w:t>
      </w:r>
      <w:r w:rsidR="00910B6F" w:rsidRPr="00275FBD">
        <w:rPr>
          <w:rFonts w:cs="TimesNewRomanPSMT"/>
          <w:szCs w:val="20"/>
          <w:lang w:val="sl-SI" w:eastAsia="en-GB"/>
        </w:rPr>
        <w:t xml:space="preserve">najdbe </w:t>
      </w:r>
      <w:r w:rsidRPr="00275FBD">
        <w:rPr>
          <w:rFonts w:cs="TimesNewRomanPSMT"/>
          <w:szCs w:val="20"/>
          <w:lang w:val="sl-SI" w:eastAsia="en-GB"/>
        </w:rPr>
        <w:t xml:space="preserve">v zvezi s potresno ali okoljsko kvalifikacijo ali preživetjem opreme (npr. PSR3 1.2-024, PSR3 1.3-001, PSR3 1.3-002 in druga) je rešitev načrtovana ali že poteka. </w:t>
      </w:r>
      <w:r w:rsidR="00CB6B10">
        <w:rPr>
          <w:rFonts w:cs="TimesNewRomanPSMT"/>
          <w:szCs w:val="20"/>
          <w:lang w:val="sl-SI" w:eastAsia="en-GB"/>
        </w:rPr>
        <w:t>Najdbe</w:t>
      </w:r>
      <w:r w:rsidR="00CB6B10" w:rsidRPr="00275FBD">
        <w:rPr>
          <w:rFonts w:cs="TimesNewRomanPSMT"/>
          <w:szCs w:val="20"/>
          <w:lang w:val="sl-SI" w:eastAsia="en-GB"/>
        </w:rPr>
        <w:t xml:space="preserve"> </w:t>
      </w:r>
      <w:r w:rsidRPr="00275FBD">
        <w:rPr>
          <w:rFonts w:cs="TimesNewRomanPSMT"/>
          <w:szCs w:val="20"/>
          <w:lang w:val="sl-SI" w:eastAsia="en-GB"/>
        </w:rPr>
        <w:t>predstavljajo nedoslednosti ali pomanjkljivo opredelitev pogojev.</w:t>
      </w:r>
    </w:p>
    <w:p w14:paraId="61BAEBFD" w14:textId="23DB570C" w:rsidR="003C609E" w:rsidRPr="00275FBD" w:rsidRDefault="003C609E" w:rsidP="003C609E">
      <w:pPr>
        <w:pStyle w:val="Odstavekseznama"/>
        <w:numPr>
          <w:ilvl w:val="1"/>
          <w:numId w:val="38"/>
        </w:numPr>
        <w:ind w:left="1434" w:hanging="357"/>
        <w:contextualSpacing w:val="0"/>
        <w:rPr>
          <w:rFonts w:cs="TimesNewRomanPSMT"/>
          <w:szCs w:val="20"/>
          <w:lang w:val="sl-SI" w:eastAsia="en-GB"/>
        </w:rPr>
      </w:pPr>
      <w:r w:rsidRPr="00275FBD">
        <w:rPr>
          <w:rFonts w:cs="TimesNewRomanPSMT"/>
          <w:szCs w:val="20"/>
          <w:lang w:val="sl-SI" w:eastAsia="en-GB"/>
        </w:rPr>
        <w:t>N</w:t>
      </w:r>
      <w:r w:rsidR="00EC5401" w:rsidRPr="00275FBD">
        <w:rPr>
          <w:rFonts w:cs="TimesNewRomanPSMT"/>
          <w:szCs w:val="20"/>
          <w:lang w:val="sl-SI" w:eastAsia="en-GB"/>
        </w:rPr>
        <w:t>ajdbe</w:t>
      </w:r>
      <w:r w:rsidRPr="00275FBD">
        <w:rPr>
          <w:rFonts w:cs="TimesNewRomanPSMT"/>
          <w:szCs w:val="20"/>
          <w:lang w:val="sl-SI" w:eastAsia="en-GB"/>
        </w:rPr>
        <w:t xml:space="preserve">, ki se nanašajo na radiološke </w:t>
      </w:r>
      <w:r w:rsidR="004F2A6D" w:rsidRPr="00275FBD">
        <w:rPr>
          <w:rFonts w:cs="TimesNewRomanPSMT"/>
          <w:szCs w:val="20"/>
          <w:lang w:val="sl-SI" w:eastAsia="en-GB"/>
        </w:rPr>
        <w:t>iz</w:t>
      </w:r>
      <w:r w:rsidR="004F2A6D">
        <w:rPr>
          <w:rFonts w:cs="TimesNewRomanPSMT"/>
          <w:szCs w:val="20"/>
          <w:lang w:val="sl-SI" w:eastAsia="en-GB"/>
        </w:rPr>
        <w:t>puste</w:t>
      </w:r>
      <w:r w:rsidR="004F2A6D" w:rsidRPr="00275FBD">
        <w:rPr>
          <w:rFonts w:cs="TimesNewRomanPSMT"/>
          <w:szCs w:val="20"/>
          <w:lang w:val="sl-SI" w:eastAsia="en-GB"/>
        </w:rPr>
        <w:t xml:space="preserve"> </w:t>
      </w:r>
      <w:r w:rsidRPr="00275FBD">
        <w:rPr>
          <w:rFonts w:cs="TimesNewRomanPSMT"/>
          <w:szCs w:val="20"/>
          <w:lang w:val="sl-SI" w:eastAsia="en-GB"/>
        </w:rPr>
        <w:t xml:space="preserve">ali dekontaminacijo, ki jih je mogoče </w:t>
      </w:r>
      <w:r w:rsidR="00A06361" w:rsidRPr="00275FBD">
        <w:rPr>
          <w:rFonts w:cs="TimesNewRomanPSMT"/>
          <w:szCs w:val="20"/>
          <w:lang w:val="sl-SI" w:eastAsia="en-GB"/>
        </w:rPr>
        <w:t xml:space="preserve">samo posredno povezati </w:t>
      </w:r>
      <w:r w:rsidR="00A06361">
        <w:rPr>
          <w:rFonts w:cs="TimesNewRomanPSMT"/>
          <w:szCs w:val="20"/>
          <w:lang w:val="sl-SI" w:eastAsia="en-GB"/>
        </w:rPr>
        <w:t>z</w:t>
      </w:r>
      <w:r w:rsidR="00A06361" w:rsidRPr="00275FBD">
        <w:rPr>
          <w:rFonts w:cs="TimesNewRomanPSMT"/>
          <w:szCs w:val="20"/>
          <w:lang w:val="sl-SI" w:eastAsia="en-GB"/>
        </w:rPr>
        <w:t xml:space="preserve"> </w:t>
      </w:r>
      <w:r w:rsidRPr="00275FBD">
        <w:rPr>
          <w:rFonts w:cs="TimesNewRomanPSMT"/>
          <w:szCs w:val="20"/>
          <w:lang w:val="sl-SI" w:eastAsia="en-GB"/>
        </w:rPr>
        <w:t xml:space="preserve">referenčnim statusom elektrarne v smislu varnosti </w:t>
      </w:r>
      <w:r w:rsidR="0071739C">
        <w:rPr>
          <w:rFonts w:cs="TimesNewRomanPSMT"/>
          <w:szCs w:val="20"/>
          <w:lang w:val="sl-SI" w:eastAsia="en-GB"/>
        </w:rPr>
        <w:t>jed</w:t>
      </w:r>
      <w:r w:rsidR="0071739C" w:rsidRPr="00275FBD">
        <w:rPr>
          <w:rFonts w:cs="TimesNewRomanPSMT"/>
          <w:szCs w:val="20"/>
          <w:lang w:val="sl-SI" w:eastAsia="en-GB"/>
        </w:rPr>
        <w:t xml:space="preserve">rskega </w:t>
      </w:r>
      <w:r w:rsidRPr="00275FBD">
        <w:rPr>
          <w:rFonts w:cs="TimesNewRomanPSMT"/>
          <w:szCs w:val="20"/>
          <w:lang w:val="sl-SI" w:eastAsia="en-GB"/>
        </w:rPr>
        <w:t>goriva (DOD, tveganje)</w:t>
      </w:r>
      <w:r w:rsidR="00A06361">
        <w:rPr>
          <w:rFonts w:cs="TimesNewRomanPSMT"/>
          <w:szCs w:val="20"/>
          <w:lang w:val="sl-SI" w:eastAsia="en-GB"/>
        </w:rPr>
        <w:t>:</w:t>
      </w:r>
      <w:r w:rsidRPr="00275FBD">
        <w:rPr>
          <w:rFonts w:cs="TimesNewRomanPSMT"/>
          <w:szCs w:val="20"/>
          <w:lang w:val="sl-SI" w:eastAsia="en-GB"/>
        </w:rPr>
        <w:t xml:space="preserve"> </w:t>
      </w:r>
      <w:r w:rsidR="00A06361">
        <w:rPr>
          <w:rFonts w:cs="TimesNewRomanPSMT"/>
          <w:szCs w:val="20"/>
          <w:lang w:val="sl-SI" w:eastAsia="en-GB"/>
        </w:rPr>
        <w:t>npr.</w:t>
      </w:r>
      <w:r w:rsidRPr="00275FBD">
        <w:rPr>
          <w:rFonts w:cs="TimesNewRomanPSMT"/>
          <w:szCs w:val="20"/>
          <w:lang w:val="sl-SI" w:eastAsia="en-GB"/>
        </w:rPr>
        <w:t xml:space="preserve"> PSR3 4.5-001, PSR3 5.1-013 ali PSR3 5.2 -003. Za vse te se načrtujejo </w:t>
      </w:r>
      <w:r w:rsidR="0071739C">
        <w:rPr>
          <w:rFonts w:cs="TimesNewRomanPSMT"/>
          <w:szCs w:val="20"/>
          <w:lang w:val="sl-SI" w:eastAsia="en-GB"/>
        </w:rPr>
        <w:t>ukrepi</w:t>
      </w:r>
      <w:r w:rsidR="0071739C" w:rsidRPr="00275FBD">
        <w:rPr>
          <w:rFonts w:cs="TimesNewRomanPSMT"/>
          <w:szCs w:val="20"/>
          <w:lang w:val="sl-SI" w:eastAsia="en-GB"/>
        </w:rPr>
        <w:t xml:space="preserve"> </w:t>
      </w:r>
      <w:r w:rsidRPr="00275FBD">
        <w:rPr>
          <w:rFonts w:cs="TimesNewRomanPSMT"/>
          <w:szCs w:val="20"/>
          <w:lang w:val="sl-SI" w:eastAsia="en-GB"/>
        </w:rPr>
        <w:t xml:space="preserve">za njihovo </w:t>
      </w:r>
      <w:r w:rsidR="0071739C">
        <w:rPr>
          <w:rFonts w:cs="TimesNewRomanPSMT"/>
          <w:szCs w:val="20"/>
          <w:lang w:val="sl-SI" w:eastAsia="en-GB"/>
        </w:rPr>
        <w:t>raz</w:t>
      </w:r>
      <w:r w:rsidRPr="00275FBD">
        <w:rPr>
          <w:rFonts w:cs="TimesNewRomanPSMT"/>
          <w:szCs w:val="20"/>
          <w:lang w:val="sl-SI" w:eastAsia="en-GB"/>
        </w:rPr>
        <w:t>rešitev.</w:t>
      </w:r>
    </w:p>
    <w:p w14:paraId="5AFC2991" w14:textId="05DC218F" w:rsidR="003C609E" w:rsidRPr="00275FBD" w:rsidRDefault="003C609E" w:rsidP="003C609E">
      <w:pPr>
        <w:pStyle w:val="Odstavekseznama"/>
        <w:numPr>
          <w:ilvl w:val="1"/>
          <w:numId w:val="38"/>
        </w:numPr>
        <w:ind w:left="1434" w:hanging="357"/>
        <w:contextualSpacing w:val="0"/>
        <w:rPr>
          <w:rFonts w:cs="TimesNewRomanPSMT"/>
          <w:szCs w:val="20"/>
          <w:lang w:val="sl-SI" w:eastAsia="en-GB"/>
        </w:rPr>
      </w:pPr>
      <w:r w:rsidRPr="00275FBD">
        <w:rPr>
          <w:rFonts w:cs="TimesNewRomanPSMT"/>
          <w:szCs w:val="20"/>
          <w:lang w:val="sl-SI" w:eastAsia="en-GB"/>
        </w:rPr>
        <w:t xml:space="preserve">Obstaja več </w:t>
      </w:r>
      <w:r w:rsidR="00BD5705" w:rsidRPr="00275FBD">
        <w:rPr>
          <w:rFonts w:cs="TimesNewRomanPSMT"/>
          <w:szCs w:val="20"/>
          <w:lang w:val="sl-SI" w:eastAsia="en-GB"/>
        </w:rPr>
        <w:t>najdb,</w:t>
      </w:r>
      <w:r w:rsidRPr="00275FBD">
        <w:rPr>
          <w:rFonts w:cs="TimesNewRomanPSMT"/>
          <w:szCs w:val="20"/>
          <w:lang w:val="sl-SI" w:eastAsia="en-GB"/>
        </w:rPr>
        <w:t xml:space="preserve"> povezanih s suhim skladiščenjem in prenosom sodov</w:t>
      </w:r>
      <w:r w:rsidR="0071739C">
        <w:rPr>
          <w:rFonts w:cs="TimesNewRomanPSMT"/>
          <w:szCs w:val="20"/>
          <w:lang w:val="sl-SI" w:eastAsia="en-GB"/>
        </w:rPr>
        <w:t xml:space="preserve"> z radioaktivnimi odpadki</w:t>
      </w:r>
      <w:r w:rsidRPr="00275FBD">
        <w:rPr>
          <w:rFonts w:cs="TimesNewRomanPSMT"/>
          <w:szCs w:val="20"/>
          <w:lang w:val="sl-SI" w:eastAsia="en-GB"/>
        </w:rPr>
        <w:t xml:space="preserve">, npr. PSR3 1.1-103 in PSR3 1.1-094. </w:t>
      </w:r>
      <w:r w:rsidR="0071739C" w:rsidRPr="00275FBD">
        <w:rPr>
          <w:rFonts w:cs="TimesNewRomanPSMT"/>
          <w:szCs w:val="20"/>
          <w:lang w:val="sl-SI" w:eastAsia="en-GB"/>
        </w:rPr>
        <w:t>T</w:t>
      </w:r>
      <w:r w:rsidR="0071739C">
        <w:rPr>
          <w:rFonts w:cs="TimesNewRomanPSMT"/>
          <w:szCs w:val="20"/>
          <w:lang w:val="sl-SI" w:eastAsia="en-GB"/>
        </w:rPr>
        <w:t>e</w:t>
      </w:r>
      <w:r w:rsidR="0071739C" w:rsidRPr="00275FBD">
        <w:rPr>
          <w:rFonts w:cs="TimesNewRomanPSMT"/>
          <w:szCs w:val="20"/>
          <w:lang w:val="sl-SI" w:eastAsia="en-GB"/>
        </w:rPr>
        <w:t xml:space="preserve"> </w:t>
      </w:r>
      <w:r w:rsidRPr="00275FBD">
        <w:rPr>
          <w:rFonts w:cs="TimesNewRomanPSMT"/>
          <w:szCs w:val="20"/>
          <w:lang w:val="sl-SI" w:eastAsia="en-GB"/>
        </w:rPr>
        <w:t xml:space="preserve">se nanašajo na postopke ali status dokumentov, ki </w:t>
      </w:r>
      <w:r w:rsidR="00301C1E">
        <w:rPr>
          <w:rFonts w:cs="TimesNewRomanPSMT"/>
          <w:szCs w:val="20"/>
          <w:lang w:val="sl-SI" w:eastAsia="en-GB"/>
        </w:rPr>
        <w:t xml:space="preserve">so </w:t>
      </w:r>
      <w:r w:rsidRPr="00275FBD">
        <w:rPr>
          <w:rFonts w:cs="TimesNewRomanPSMT"/>
          <w:szCs w:val="20"/>
          <w:lang w:val="sl-SI" w:eastAsia="en-GB"/>
        </w:rPr>
        <w:t xml:space="preserve">v času pregleda </w:t>
      </w:r>
      <w:r w:rsidR="00301C1E" w:rsidRPr="00275FBD">
        <w:rPr>
          <w:rFonts w:cs="TimesNewRomanPSMT"/>
          <w:szCs w:val="20"/>
          <w:lang w:val="sl-SI" w:eastAsia="en-GB"/>
        </w:rPr>
        <w:t>manjka</w:t>
      </w:r>
      <w:r w:rsidR="00301C1E">
        <w:rPr>
          <w:rFonts w:cs="TimesNewRomanPSMT"/>
          <w:szCs w:val="20"/>
          <w:lang w:val="sl-SI" w:eastAsia="en-GB"/>
        </w:rPr>
        <w:t>li</w:t>
      </w:r>
      <w:r w:rsidR="00301C1E" w:rsidRPr="00275FBD">
        <w:rPr>
          <w:rFonts w:cs="TimesNewRomanPSMT"/>
          <w:szCs w:val="20"/>
          <w:lang w:val="sl-SI" w:eastAsia="en-GB"/>
        </w:rPr>
        <w:t xml:space="preserve"> </w:t>
      </w:r>
      <w:r w:rsidRPr="00275FBD">
        <w:rPr>
          <w:rFonts w:cs="TimesNewRomanPSMT"/>
          <w:szCs w:val="20"/>
          <w:lang w:val="sl-SI" w:eastAsia="en-GB"/>
        </w:rPr>
        <w:t xml:space="preserve">ali niso </w:t>
      </w:r>
      <w:r w:rsidR="00301C1E">
        <w:rPr>
          <w:rFonts w:cs="TimesNewRomanPSMT"/>
          <w:szCs w:val="20"/>
          <w:lang w:val="sl-SI" w:eastAsia="en-GB"/>
        </w:rPr>
        <w:t xml:space="preserve">bili </w:t>
      </w:r>
      <w:r w:rsidRPr="00275FBD">
        <w:rPr>
          <w:rFonts w:cs="TimesNewRomanPSMT"/>
          <w:szCs w:val="20"/>
          <w:lang w:val="sl-SI" w:eastAsia="en-GB"/>
        </w:rPr>
        <w:t xml:space="preserve">posodobljeni in so trenutno v postopku </w:t>
      </w:r>
      <w:r w:rsidR="00301C1E">
        <w:rPr>
          <w:rFonts w:cs="TimesNewRomanPSMT"/>
          <w:szCs w:val="20"/>
          <w:lang w:val="sl-SI" w:eastAsia="en-GB"/>
        </w:rPr>
        <w:t>revizije</w:t>
      </w:r>
      <w:r w:rsidRPr="00275FBD">
        <w:rPr>
          <w:rFonts w:cs="TimesNewRomanPSMT"/>
          <w:szCs w:val="20"/>
          <w:lang w:val="sl-SI" w:eastAsia="en-GB"/>
        </w:rPr>
        <w:t>.</w:t>
      </w:r>
    </w:p>
    <w:p w14:paraId="16D385A8" w14:textId="48A40638" w:rsidR="003C609E" w:rsidRPr="00275FBD" w:rsidRDefault="003C609E" w:rsidP="003C609E">
      <w:pPr>
        <w:pStyle w:val="Odstavekseznama"/>
        <w:numPr>
          <w:ilvl w:val="1"/>
          <w:numId w:val="38"/>
        </w:numPr>
        <w:ind w:left="1434" w:hanging="357"/>
        <w:contextualSpacing w:val="0"/>
        <w:rPr>
          <w:rFonts w:cs="TimesNewRomanPSMT"/>
          <w:szCs w:val="20"/>
          <w:lang w:val="sl-SI" w:eastAsia="en-GB"/>
        </w:rPr>
      </w:pPr>
      <w:r w:rsidRPr="00275FBD">
        <w:rPr>
          <w:rFonts w:cs="TimesNewRomanPSMT"/>
          <w:szCs w:val="20"/>
          <w:lang w:val="sl-SI" w:eastAsia="en-GB"/>
        </w:rPr>
        <w:t>Obstajajo posebn</w:t>
      </w:r>
      <w:r w:rsidR="00910B6F" w:rsidRPr="00275FBD">
        <w:rPr>
          <w:rFonts w:cs="TimesNewRomanPSMT"/>
          <w:szCs w:val="20"/>
          <w:lang w:val="sl-SI" w:eastAsia="en-GB"/>
        </w:rPr>
        <w:t>e</w:t>
      </w:r>
      <w:r w:rsidRPr="00275FBD">
        <w:rPr>
          <w:rFonts w:cs="TimesNewRomanPSMT"/>
          <w:szCs w:val="20"/>
          <w:lang w:val="sl-SI" w:eastAsia="en-GB"/>
        </w:rPr>
        <w:t xml:space="preserve"> </w:t>
      </w:r>
      <w:r w:rsidR="00910B6F" w:rsidRPr="00275FBD">
        <w:rPr>
          <w:rFonts w:cs="TimesNewRomanPSMT"/>
          <w:szCs w:val="20"/>
          <w:lang w:val="sl-SI" w:eastAsia="en-GB"/>
        </w:rPr>
        <w:t xml:space="preserve">najdbe </w:t>
      </w:r>
      <w:r w:rsidRPr="00275FBD">
        <w:rPr>
          <w:rFonts w:cs="TimesNewRomanPSMT"/>
          <w:szCs w:val="20"/>
          <w:lang w:val="sl-SI" w:eastAsia="en-GB"/>
        </w:rPr>
        <w:t xml:space="preserve">v zvezi z nedoslednostmi, ugotovljenimi v </w:t>
      </w:r>
      <w:r w:rsidR="005F56C2" w:rsidRPr="00B973B0">
        <w:rPr>
          <w:lang w:val="sl-SI"/>
        </w:rPr>
        <w:t xml:space="preserve">obratovalnih </w:t>
      </w:r>
      <w:r w:rsidR="005F56C2">
        <w:rPr>
          <w:lang w:val="sl-SI"/>
        </w:rPr>
        <w:t>pogojih in omejitvah</w:t>
      </w:r>
      <w:r w:rsidR="005F56C2" w:rsidRPr="00B973B0">
        <w:rPr>
          <w:lang w:val="sl-SI"/>
        </w:rPr>
        <w:t xml:space="preserve"> </w:t>
      </w:r>
      <w:r w:rsidRPr="00275FBD">
        <w:rPr>
          <w:rFonts w:cs="TimesNewRomanPSMT"/>
          <w:szCs w:val="20"/>
          <w:lang w:val="sl-SI" w:eastAsia="en-GB"/>
        </w:rPr>
        <w:t>(PSR3 2.1-008) in administrativni</w:t>
      </w:r>
      <w:r w:rsidR="005F56C2">
        <w:rPr>
          <w:rFonts w:cs="TimesNewRomanPSMT"/>
          <w:szCs w:val="20"/>
          <w:lang w:val="sl-SI" w:eastAsia="en-GB"/>
        </w:rPr>
        <w:t>h</w:t>
      </w:r>
      <w:r w:rsidRPr="00275FBD">
        <w:rPr>
          <w:rFonts w:cs="TimesNewRomanPSMT"/>
          <w:szCs w:val="20"/>
          <w:lang w:val="sl-SI" w:eastAsia="en-GB"/>
        </w:rPr>
        <w:t xml:space="preserve"> postopki</w:t>
      </w:r>
      <w:r w:rsidR="005F56C2">
        <w:rPr>
          <w:rFonts w:cs="TimesNewRomanPSMT"/>
          <w:szCs w:val="20"/>
          <w:lang w:val="sl-SI" w:eastAsia="en-GB"/>
        </w:rPr>
        <w:t>h</w:t>
      </w:r>
      <w:r w:rsidRPr="00275FBD">
        <w:rPr>
          <w:rFonts w:cs="TimesNewRomanPSMT"/>
          <w:szCs w:val="20"/>
          <w:lang w:val="sl-SI" w:eastAsia="en-GB"/>
        </w:rPr>
        <w:t xml:space="preserve"> (PSR3 4.3-009), ki lahko vplivajo na procese v elektrarni. Osebje elektrarne se jih zaveda in reševanje je načrtovano ali v teku.</w:t>
      </w:r>
    </w:p>
    <w:p w14:paraId="1858CDA0" w14:textId="5D9FD2C4" w:rsidR="003C609E" w:rsidRPr="00275FBD" w:rsidRDefault="003C609E" w:rsidP="003C609E">
      <w:pPr>
        <w:pStyle w:val="Odstavekseznama"/>
        <w:numPr>
          <w:ilvl w:val="1"/>
          <w:numId w:val="38"/>
        </w:numPr>
        <w:ind w:left="1434" w:hanging="357"/>
        <w:contextualSpacing w:val="0"/>
        <w:rPr>
          <w:rFonts w:cs="TimesNewRomanPSMT"/>
          <w:szCs w:val="20"/>
          <w:lang w:val="sl-SI" w:eastAsia="en-GB"/>
        </w:rPr>
      </w:pPr>
      <w:r w:rsidRPr="00275FBD">
        <w:rPr>
          <w:rFonts w:cs="TimesNewRomanPSMT"/>
          <w:szCs w:val="20"/>
          <w:lang w:val="sl-SI" w:eastAsia="en-GB"/>
        </w:rPr>
        <w:t>Preostal</w:t>
      </w:r>
      <w:r w:rsidR="00910B6F" w:rsidRPr="00275FBD">
        <w:rPr>
          <w:rFonts w:cs="TimesNewRomanPSMT"/>
          <w:szCs w:val="20"/>
          <w:lang w:val="sl-SI" w:eastAsia="en-GB"/>
        </w:rPr>
        <w:t>e</w:t>
      </w:r>
      <w:r w:rsidRPr="00275FBD">
        <w:rPr>
          <w:rFonts w:cs="TimesNewRomanPSMT"/>
          <w:szCs w:val="20"/>
          <w:lang w:val="sl-SI" w:eastAsia="en-GB"/>
        </w:rPr>
        <w:t xml:space="preserve"> </w:t>
      </w:r>
      <w:r w:rsidR="00910B6F" w:rsidRPr="00275FBD">
        <w:rPr>
          <w:rFonts w:cs="TimesNewRomanPSMT"/>
          <w:szCs w:val="20"/>
          <w:lang w:val="sl-SI" w:eastAsia="en-GB"/>
        </w:rPr>
        <w:t xml:space="preserve">najdbe </w:t>
      </w:r>
      <w:r w:rsidRPr="00275FBD">
        <w:rPr>
          <w:rFonts w:cs="TimesNewRomanPSMT"/>
          <w:szCs w:val="20"/>
          <w:lang w:val="sl-SI" w:eastAsia="en-GB"/>
        </w:rPr>
        <w:t xml:space="preserve">se nanašajo na ugotovljena neskladja z mednarodnimi standardi oziroma praksami in </w:t>
      </w:r>
      <w:r w:rsidR="00882E76">
        <w:rPr>
          <w:rFonts w:cs="TimesNewRomanPSMT"/>
          <w:szCs w:val="20"/>
          <w:lang w:val="sl-SI" w:eastAsia="en-GB"/>
        </w:rPr>
        <w:t>je</w:t>
      </w:r>
      <w:r w:rsidR="00882E76" w:rsidRPr="00275FBD">
        <w:rPr>
          <w:rFonts w:cs="TimesNewRomanPSMT"/>
          <w:szCs w:val="20"/>
          <w:lang w:val="sl-SI" w:eastAsia="en-GB"/>
        </w:rPr>
        <w:t xml:space="preserve"> </w:t>
      </w:r>
      <w:r w:rsidRPr="00275FBD">
        <w:rPr>
          <w:rFonts w:cs="TimesNewRomanPSMT"/>
          <w:szCs w:val="20"/>
          <w:lang w:val="sl-SI" w:eastAsia="en-GB"/>
        </w:rPr>
        <w:t>zanje predvidena</w:t>
      </w:r>
      <w:r w:rsidR="00882E76">
        <w:rPr>
          <w:rFonts w:cs="TimesNewRomanPSMT"/>
          <w:szCs w:val="20"/>
          <w:lang w:val="sl-SI" w:eastAsia="en-GB"/>
        </w:rPr>
        <w:t xml:space="preserve"> rešitev</w:t>
      </w:r>
      <w:r w:rsidRPr="00275FBD">
        <w:rPr>
          <w:rFonts w:cs="TimesNewRomanPSMT"/>
          <w:szCs w:val="20"/>
          <w:lang w:val="sl-SI" w:eastAsia="en-GB"/>
        </w:rPr>
        <w:t xml:space="preserve"> ali</w:t>
      </w:r>
      <w:r w:rsidR="00882E76">
        <w:rPr>
          <w:rFonts w:cs="TimesNewRomanPSMT"/>
          <w:szCs w:val="20"/>
          <w:lang w:val="sl-SI" w:eastAsia="en-GB"/>
        </w:rPr>
        <w:t xml:space="preserve"> so</w:t>
      </w:r>
      <w:r w:rsidRPr="00275FBD">
        <w:rPr>
          <w:rFonts w:cs="TimesNewRomanPSMT"/>
          <w:szCs w:val="20"/>
          <w:lang w:val="sl-SI" w:eastAsia="en-GB"/>
        </w:rPr>
        <w:t xml:space="preserve"> v teku reševanja.</w:t>
      </w:r>
    </w:p>
    <w:p w14:paraId="3EAD1C75" w14:textId="76F6DB67" w:rsidR="003C609E" w:rsidRPr="00275FBD" w:rsidRDefault="00301C1E" w:rsidP="003C609E">
      <w:pPr>
        <w:pStyle w:val="Odstavekseznama"/>
        <w:numPr>
          <w:ilvl w:val="0"/>
          <w:numId w:val="38"/>
        </w:numPr>
        <w:contextualSpacing w:val="0"/>
        <w:rPr>
          <w:rFonts w:cs="TimesNewRomanPSMT"/>
          <w:szCs w:val="20"/>
          <w:lang w:val="sl-SI" w:eastAsia="en-GB"/>
        </w:rPr>
      </w:pPr>
      <w:r>
        <w:rPr>
          <w:rFonts w:cs="TimesNewRomanPSMT"/>
          <w:szCs w:val="20"/>
          <w:lang w:val="sl-SI" w:eastAsia="en-GB"/>
        </w:rPr>
        <w:lastRenderedPageBreak/>
        <w:t>Skupno</w:t>
      </w:r>
      <w:r w:rsidR="003C609E" w:rsidRPr="00275FBD">
        <w:rPr>
          <w:rFonts w:cs="TimesNewRomanPSMT"/>
          <w:szCs w:val="20"/>
          <w:lang w:val="sl-SI" w:eastAsia="en-GB"/>
        </w:rPr>
        <w:t xml:space="preserve"> 16 </w:t>
      </w:r>
      <w:r w:rsidR="00BD5705" w:rsidRPr="00275FBD">
        <w:rPr>
          <w:rFonts w:cs="TimesNewRomanPSMT"/>
          <w:szCs w:val="20"/>
          <w:lang w:val="sl-SI" w:eastAsia="en-GB"/>
        </w:rPr>
        <w:t>najdb</w:t>
      </w:r>
      <w:r w:rsidR="003C609E" w:rsidRPr="00275FBD">
        <w:rPr>
          <w:rFonts w:cs="TimesNewRomanPSMT"/>
          <w:szCs w:val="20"/>
          <w:lang w:val="sl-SI" w:eastAsia="en-GB"/>
        </w:rPr>
        <w:t xml:space="preserve"> se nanaša na </w:t>
      </w:r>
      <w:r>
        <w:rPr>
          <w:rFonts w:cs="TimesNewRomanPSMT"/>
          <w:szCs w:val="20"/>
          <w:lang w:val="sl-SI" w:eastAsia="en-GB"/>
        </w:rPr>
        <w:t>pomanjkljivosti</w:t>
      </w:r>
      <w:r w:rsidRPr="00275FBD">
        <w:rPr>
          <w:rFonts w:cs="TimesNewRomanPSMT"/>
          <w:szCs w:val="20"/>
          <w:lang w:val="sl-SI" w:eastAsia="en-GB"/>
        </w:rPr>
        <w:t xml:space="preserve"> </w:t>
      </w:r>
      <w:r w:rsidR="003C609E" w:rsidRPr="00275FBD">
        <w:rPr>
          <w:rFonts w:cs="TimesNewRomanPSMT"/>
          <w:szCs w:val="20"/>
          <w:lang w:val="sl-SI" w:eastAsia="en-GB"/>
        </w:rPr>
        <w:t xml:space="preserve">v zagotavljanju obratovalne varnosti, ki jih je potrebno pravočasno rešiti (Dodatek 1, Tabela A-1, </w:t>
      </w:r>
      <w:r w:rsidR="00910B6F" w:rsidRPr="00275FBD">
        <w:rPr>
          <w:rFonts w:cs="TimesNewRomanPSMT"/>
          <w:szCs w:val="20"/>
          <w:lang w:val="sl-SI" w:eastAsia="en-GB"/>
        </w:rPr>
        <w:t xml:space="preserve">najdbe </w:t>
      </w:r>
      <w:r w:rsidR="003C609E" w:rsidRPr="00275FBD">
        <w:rPr>
          <w:rFonts w:cs="TimesNewRomanPSMT"/>
          <w:szCs w:val="20"/>
          <w:lang w:val="sl-SI" w:eastAsia="en-GB"/>
        </w:rPr>
        <w:t xml:space="preserve">»SF«). </w:t>
      </w:r>
      <w:r w:rsidR="00910B6F" w:rsidRPr="00275FBD">
        <w:rPr>
          <w:rFonts w:cs="TimesNewRomanPSMT"/>
          <w:szCs w:val="20"/>
          <w:lang w:val="sl-SI" w:eastAsia="en-GB"/>
        </w:rPr>
        <w:t>Najdbe</w:t>
      </w:r>
      <w:r w:rsidR="003C609E" w:rsidRPr="00275FBD">
        <w:rPr>
          <w:rFonts w:cs="TimesNewRomanPSMT"/>
          <w:szCs w:val="20"/>
          <w:lang w:val="sl-SI" w:eastAsia="en-GB"/>
        </w:rPr>
        <w:t xml:space="preserve"> vključujejo različne teme.</w:t>
      </w:r>
    </w:p>
    <w:p w14:paraId="1229826F" w14:textId="3639A978" w:rsidR="003C609E" w:rsidRPr="00275FBD" w:rsidRDefault="00301C1E" w:rsidP="003C609E">
      <w:pPr>
        <w:pStyle w:val="Odstavekseznama"/>
        <w:numPr>
          <w:ilvl w:val="1"/>
          <w:numId w:val="38"/>
        </w:numPr>
        <w:ind w:left="1434" w:hanging="357"/>
        <w:contextualSpacing w:val="0"/>
        <w:rPr>
          <w:rFonts w:cs="TimesNewRomanPSMT"/>
          <w:szCs w:val="20"/>
          <w:lang w:val="sl-SI" w:eastAsia="en-GB"/>
        </w:rPr>
      </w:pPr>
      <w:r>
        <w:rPr>
          <w:rFonts w:cs="TimesNewRomanPSMT"/>
          <w:szCs w:val="20"/>
          <w:lang w:val="sl-SI" w:eastAsia="en-GB"/>
        </w:rPr>
        <w:t>S</w:t>
      </w:r>
      <w:r w:rsidR="003C609E" w:rsidRPr="00275FBD">
        <w:rPr>
          <w:rFonts w:cs="TimesNewRomanPSMT"/>
          <w:szCs w:val="20"/>
          <w:lang w:val="sl-SI" w:eastAsia="en-GB"/>
        </w:rPr>
        <w:t xml:space="preserve">kupina </w:t>
      </w:r>
      <w:r w:rsidR="00BD5705" w:rsidRPr="00275FBD">
        <w:rPr>
          <w:rFonts w:cs="TimesNewRomanPSMT"/>
          <w:szCs w:val="20"/>
          <w:lang w:val="sl-SI" w:eastAsia="en-GB"/>
        </w:rPr>
        <w:t xml:space="preserve">najdb </w:t>
      </w:r>
      <w:r w:rsidR="003C609E" w:rsidRPr="00275FBD">
        <w:rPr>
          <w:rFonts w:cs="TimesNewRomanPSMT"/>
          <w:szCs w:val="20"/>
          <w:lang w:val="sl-SI" w:eastAsia="en-GB"/>
        </w:rPr>
        <w:t xml:space="preserve">(npr. PSR3 1.1-105, PSR3 1.1-107 ali PSR3 4.4-002) </w:t>
      </w:r>
      <w:r>
        <w:rPr>
          <w:rFonts w:cs="TimesNewRomanPSMT"/>
          <w:szCs w:val="20"/>
          <w:lang w:val="sl-SI" w:eastAsia="en-GB"/>
        </w:rPr>
        <w:t xml:space="preserve">je </w:t>
      </w:r>
      <w:r w:rsidR="003C609E" w:rsidRPr="00275FBD">
        <w:rPr>
          <w:rFonts w:cs="TimesNewRomanPSMT"/>
          <w:szCs w:val="20"/>
          <w:lang w:val="sl-SI" w:eastAsia="en-GB"/>
        </w:rPr>
        <w:t xml:space="preserve">povezanih z nedoslednostmi ali </w:t>
      </w:r>
      <w:r>
        <w:rPr>
          <w:rFonts w:cs="TimesNewRomanPSMT"/>
          <w:szCs w:val="20"/>
          <w:lang w:val="sl-SI" w:eastAsia="en-GB"/>
        </w:rPr>
        <w:t xml:space="preserve">s </w:t>
      </w:r>
      <w:r w:rsidR="003C609E" w:rsidRPr="00275FBD">
        <w:rPr>
          <w:rFonts w:cs="TimesNewRomanPSMT"/>
          <w:szCs w:val="20"/>
          <w:lang w:val="sl-SI" w:eastAsia="en-GB"/>
        </w:rPr>
        <w:t xml:space="preserve">potrebo po posodobitvi USAR elektrarne. </w:t>
      </w:r>
      <w:r>
        <w:rPr>
          <w:rFonts w:cs="TimesNewRomanPSMT"/>
          <w:szCs w:val="20"/>
          <w:lang w:val="sl-SI" w:eastAsia="en-GB"/>
        </w:rPr>
        <w:t>N</w:t>
      </w:r>
      <w:r w:rsidR="00EC5401" w:rsidRPr="00275FBD">
        <w:rPr>
          <w:rFonts w:cs="TimesNewRomanPSMT"/>
          <w:szCs w:val="20"/>
          <w:lang w:val="sl-SI" w:eastAsia="en-GB"/>
        </w:rPr>
        <w:t>ajdba</w:t>
      </w:r>
      <w:r w:rsidR="003C609E" w:rsidRPr="00275FBD">
        <w:rPr>
          <w:rFonts w:cs="TimesNewRomanPSMT"/>
          <w:szCs w:val="20"/>
          <w:lang w:val="sl-SI" w:eastAsia="en-GB"/>
        </w:rPr>
        <w:t xml:space="preserve"> PSR3 4.4-002 (v zvezi z opisom organizacije NEK v USAR) pomeni neskladnost </w:t>
      </w:r>
      <w:r w:rsidR="007A5E54">
        <w:rPr>
          <w:rFonts w:cs="TimesNewRomanPSMT"/>
          <w:szCs w:val="20"/>
          <w:lang w:val="sl-SI" w:eastAsia="en-GB"/>
        </w:rPr>
        <w:t>s slovensk</w:t>
      </w:r>
      <w:r w:rsidR="003C609E" w:rsidRPr="00275FBD">
        <w:rPr>
          <w:rFonts w:cs="TimesNewRomanPSMT"/>
          <w:szCs w:val="20"/>
          <w:lang w:val="sl-SI" w:eastAsia="en-GB"/>
        </w:rPr>
        <w:t xml:space="preserve">imi predpisi. </w:t>
      </w:r>
      <w:r>
        <w:rPr>
          <w:rFonts w:cs="TimesNewRomanPSMT"/>
          <w:szCs w:val="20"/>
          <w:lang w:val="sl-SI" w:eastAsia="en-GB"/>
        </w:rPr>
        <w:t>N</w:t>
      </w:r>
      <w:r w:rsidR="00B47200" w:rsidRPr="00275FBD">
        <w:rPr>
          <w:rFonts w:cs="TimesNewRomanPSMT"/>
          <w:szCs w:val="20"/>
          <w:lang w:val="sl-SI" w:eastAsia="en-GB"/>
        </w:rPr>
        <w:t>ajdb</w:t>
      </w:r>
      <w:r>
        <w:rPr>
          <w:rFonts w:cs="TimesNewRomanPSMT"/>
          <w:szCs w:val="20"/>
          <w:lang w:val="sl-SI" w:eastAsia="en-GB"/>
        </w:rPr>
        <w:t>a</w:t>
      </w:r>
      <w:r w:rsidR="003C609E" w:rsidRPr="00275FBD">
        <w:rPr>
          <w:rFonts w:cs="TimesNewRomanPSMT"/>
          <w:szCs w:val="20"/>
          <w:lang w:val="sl-SI" w:eastAsia="en-GB"/>
        </w:rPr>
        <w:t xml:space="preserve"> PSR3 3.2-003</w:t>
      </w:r>
      <w:r>
        <w:rPr>
          <w:rFonts w:cs="TimesNewRomanPSMT"/>
          <w:szCs w:val="20"/>
          <w:lang w:val="sl-SI" w:eastAsia="en-GB"/>
        </w:rPr>
        <w:t xml:space="preserve"> pa</w:t>
      </w:r>
      <w:r w:rsidR="003C609E" w:rsidRPr="00275FBD">
        <w:rPr>
          <w:rFonts w:cs="TimesNewRomanPSMT"/>
          <w:szCs w:val="20"/>
          <w:lang w:val="sl-SI" w:eastAsia="en-GB"/>
        </w:rPr>
        <w:t xml:space="preserve"> se nanaša na neskladnost </w:t>
      </w:r>
      <w:r w:rsidR="007A5E54">
        <w:rPr>
          <w:rFonts w:cs="TimesNewRomanPSMT"/>
          <w:szCs w:val="20"/>
          <w:lang w:val="sl-SI" w:eastAsia="en-GB"/>
        </w:rPr>
        <w:t>s slovenskimi predpisi glede</w:t>
      </w:r>
      <w:r w:rsidR="003C609E" w:rsidRPr="00275FBD">
        <w:rPr>
          <w:rFonts w:cs="TimesNewRomanPSMT"/>
          <w:szCs w:val="20"/>
          <w:lang w:val="sl-SI" w:eastAsia="en-GB"/>
        </w:rPr>
        <w:t xml:space="preserve"> definicije usposobljenosti inženirja ISEG. Osebje </w:t>
      </w:r>
      <w:r w:rsidR="000B7858" w:rsidRPr="00275FBD">
        <w:rPr>
          <w:rFonts w:cs="TimesNewRomanPSMT"/>
          <w:szCs w:val="20"/>
          <w:lang w:val="sl-SI" w:eastAsia="en-GB"/>
        </w:rPr>
        <w:t xml:space="preserve">se zaveda </w:t>
      </w:r>
      <w:r w:rsidR="00BD5705" w:rsidRPr="00275FBD">
        <w:rPr>
          <w:rFonts w:cs="TimesNewRomanPSMT"/>
          <w:szCs w:val="20"/>
          <w:lang w:val="sl-SI" w:eastAsia="en-GB"/>
        </w:rPr>
        <w:t xml:space="preserve">najdb </w:t>
      </w:r>
      <w:r w:rsidR="003C609E" w:rsidRPr="00275FBD">
        <w:rPr>
          <w:rFonts w:cs="TimesNewRomanPSMT"/>
          <w:szCs w:val="20"/>
          <w:lang w:val="sl-SI" w:eastAsia="en-GB"/>
        </w:rPr>
        <w:t>in rešitve so načrtovane ali že potekajo.</w:t>
      </w:r>
    </w:p>
    <w:p w14:paraId="55B0B51D" w14:textId="12D82AF1" w:rsidR="003C609E" w:rsidRPr="00275FBD" w:rsidRDefault="00301C1E" w:rsidP="003C609E">
      <w:pPr>
        <w:pStyle w:val="Odstavekseznama"/>
        <w:numPr>
          <w:ilvl w:val="1"/>
          <w:numId w:val="38"/>
        </w:numPr>
        <w:ind w:left="1434" w:hanging="357"/>
        <w:contextualSpacing w:val="0"/>
        <w:rPr>
          <w:rFonts w:cs="TimesNewRomanPSMT"/>
          <w:szCs w:val="20"/>
          <w:lang w:val="sl-SI" w:eastAsia="en-GB"/>
        </w:rPr>
      </w:pPr>
      <w:r>
        <w:rPr>
          <w:rFonts w:cs="TimesNewRomanPSMT"/>
          <w:szCs w:val="20"/>
          <w:lang w:val="sl-SI" w:eastAsia="en-GB"/>
        </w:rPr>
        <w:t>S</w:t>
      </w:r>
      <w:r w:rsidR="003C609E" w:rsidRPr="00275FBD">
        <w:rPr>
          <w:rFonts w:cs="TimesNewRomanPSMT"/>
          <w:szCs w:val="20"/>
          <w:lang w:val="sl-SI" w:eastAsia="en-GB"/>
        </w:rPr>
        <w:t xml:space="preserve">kupina </w:t>
      </w:r>
      <w:r w:rsidR="00BD5705" w:rsidRPr="00275FBD">
        <w:rPr>
          <w:rFonts w:cs="TimesNewRomanPSMT"/>
          <w:szCs w:val="20"/>
          <w:lang w:val="sl-SI" w:eastAsia="en-GB"/>
        </w:rPr>
        <w:t>najdb</w:t>
      </w:r>
      <w:r w:rsidR="00882E76">
        <w:rPr>
          <w:rFonts w:cs="TimesNewRomanPSMT"/>
          <w:szCs w:val="20"/>
          <w:lang w:val="sl-SI" w:eastAsia="en-GB"/>
        </w:rPr>
        <w:t>,</w:t>
      </w:r>
      <w:r w:rsidR="00BD5705" w:rsidRPr="00275FBD">
        <w:rPr>
          <w:rFonts w:cs="TimesNewRomanPSMT"/>
          <w:szCs w:val="20"/>
          <w:lang w:val="sl-SI" w:eastAsia="en-GB"/>
        </w:rPr>
        <w:t xml:space="preserve"> </w:t>
      </w:r>
      <w:r>
        <w:rPr>
          <w:rFonts w:cs="TimesNewRomanPSMT"/>
          <w:szCs w:val="20"/>
          <w:lang w:val="sl-SI" w:eastAsia="en-GB"/>
        </w:rPr>
        <w:t>po</w:t>
      </w:r>
      <w:r w:rsidR="003C609E" w:rsidRPr="00275FBD">
        <w:rPr>
          <w:rFonts w:cs="TimesNewRomanPSMT"/>
          <w:szCs w:val="20"/>
          <w:lang w:val="sl-SI" w:eastAsia="en-GB"/>
        </w:rPr>
        <w:t>vez</w:t>
      </w:r>
      <w:r>
        <w:rPr>
          <w:rFonts w:cs="TimesNewRomanPSMT"/>
          <w:szCs w:val="20"/>
          <w:lang w:val="sl-SI" w:eastAsia="en-GB"/>
        </w:rPr>
        <w:t>an</w:t>
      </w:r>
      <w:r w:rsidR="003C609E" w:rsidRPr="00275FBD">
        <w:rPr>
          <w:rFonts w:cs="TimesNewRomanPSMT"/>
          <w:szCs w:val="20"/>
          <w:lang w:val="sl-SI" w:eastAsia="en-GB"/>
        </w:rPr>
        <w:t>i</w:t>
      </w:r>
      <w:r>
        <w:rPr>
          <w:rFonts w:cs="TimesNewRomanPSMT"/>
          <w:szCs w:val="20"/>
          <w:lang w:val="sl-SI" w:eastAsia="en-GB"/>
        </w:rPr>
        <w:t>h</w:t>
      </w:r>
      <w:r w:rsidR="003C609E" w:rsidRPr="00275FBD">
        <w:rPr>
          <w:rFonts w:cs="TimesNewRomanPSMT"/>
          <w:szCs w:val="20"/>
          <w:lang w:val="sl-SI" w:eastAsia="en-GB"/>
        </w:rPr>
        <w:t xml:space="preserve"> z ravnanjem z radioaktivnimi odpadki ali radiološko varnostjo med normalnim obratovanjem. </w:t>
      </w:r>
      <w:r w:rsidR="00910B6F" w:rsidRPr="00275FBD">
        <w:rPr>
          <w:rFonts w:cs="TimesNewRomanPSMT"/>
          <w:szCs w:val="20"/>
          <w:lang w:val="sl-SI" w:eastAsia="en-GB"/>
        </w:rPr>
        <w:t>Najdbe</w:t>
      </w:r>
      <w:r w:rsidR="003C609E" w:rsidRPr="00275FBD">
        <w:rPr>
          <w:rFonts w:cs="TimesNewRomanPSMT"/>
          <w:szCs w:val="20"/>
          <w:lang w:val="sl-SI" w:eastAsia="en-GB"/>
        </w:rPr>
        <w:t xml:space="preserve"> PSR3 5.2-007, PSR3 5.2-008 in PSR3 5.2-009 se nanašajo na potrebe po posodobitvi programa ravnanja z radioaktivnimi odpadki elektrarne. </w:t>
      </w:r>
      <w:r w:rsidR="00B47200" w:rsidRPr="00275FBD">
        <w:rPr>
          <w:rFonts w:cs="TimesNewRomanPSMT"/>
          <w:szCs w:val="20"/>
          <w:lang w:val="sl-SI" w:eastAsia="en-GB"/>
        </w:rPr>
        <w:t>Najdba</w:t>
      </w:r>
      <w:r w:rsidR="003C609E" w:rsidRPr="00275FBD">
        <w:rPr>
          <w:rFonts w:cs="TimesNewRomanPSMT"/>
          <w:szCs w:val="20"/>
          <w:lang w:val="sl-SI" w:eastAsia="en-GB"/>
        </w:rPr>
        <w:t xml:space="preserve"> PSR3 7.1-018 se nanaša na nezadost</w:t>
      </w:r>
      <w:r>
        <w:rPr>
          <w:rFonts w:cs="TimesNewRomanPSMT"/>
          <w:szCs w:val="20"/>
          <w:lang w:val="sl-SI" w:eastAsia="en-GB"/>
        </w:rPr>
        <w:t>en</w:t>
      </w:r>
      <w:r w:rsidR="003C609E" w:rsidRPr="00275FBD">
        <w:rPr>
          <w:rFonts w:cs="TimesNewRomanPSMT"/>
          <w:szCs w:val="20"/>
          <w:lang w:val="sl-SI" w:eastAsia="en-GB"/>
        </w:rPr>
        <w:t xml:space="preserve"> </w:t>
      </w:r>
      <w:r>
        <w:rPr>
          <w:rFonts w:cs="TimesNewRomanPSMT"/>
          <w:szCs w:val="20"/>
          <w:lang w:val="sl-SI" w:eastAsia="en-GB"/>
        </w:rPr>
        <w:t>čas</w:t>
      </w:r>
      <w:r w:rsidRPr="00275FBD">
        <w:rPr>
          <w:rFonts w:cs="TimesNewRomanPSMT"/>
          <w:szCs w:val="20"/>
          <w:lang w:val="sl-SI" w:eastAsia="en-GB"/>
        </w:rPr>
        <w:t xml:space="preserve"> </w:t>
      </w:r>
      <w:r w:rsidR="003C609E" w:rsidRPr="00275FBD">
        <w:rPr>
          <w:rFonts w:cs="TimesNewRomanPSMT"/>
          <w:szCs w:val="20"/>
          <w:lang w:val="sl-SI" w:eastAsia="en-GB"/>
        </w:rPr>
        <w:t>hrambe dozimetričnih zapisov in s tem na radiološko varnost</w:t>
      </w:r>
      <w:r w:rsidR="000B7858" w:rsidRPr="00275FBD">
        <w:rPr>
          <w:rFonts w:cs="TimesNewRomanPSMT"/>
          <w:szCs w:val="20"/>
          <w:lang w:val="sl-SI" w:eastAsia="en-GB"/>
        </w:rPr>
        <w:t xml:space="preserve"> </w:t>
      </w:r>
      <w:r w:rsidR="003C609E" w:rsidRPr="00275FBD">
        <w:rPr>
          <w:rFonts w:cs="TimesNewRomanPSMT"/>
          <w:szCs w:val="20"/>
          <w:lang w:val="sl-SI" w:eastAsia="en-GB"/>
        </w:rPr>
        <w:t>/</w:t>
      </w:r>
      <w:r w:rsidR="000B7858" w:rsidRPr="00275FBD">
        <w:rPr>
          <w:rFonts w:cs="TimesNewRomanPSMT"/>
          <w:szCs w:val="20"/>
          <w:lang w:val="sl-SI" w:eastAsia="en-GB"/>
        </w:rPr>
        <w:t xml:space="preserve"> </w:t>
      </w:r>
      <w:r w:rsidR="003C609E" w:rsidRPr="00275FBD">
        <w:rPr>
          <w:rFonts w:cs="TimesNewRomanPSMT"/>
          <w:szCs w:val="20"/>
          <w:lang w:val="sl-SI" w:eastAsia="en-GB"/>
        </w:rPr>
        <w:t>zaščito.</w:t>
      </w:r>
    </w:p>
    <w:p w14:paraId="77AE4C53" w14:textId="0382F9BF" w:rsidR="003F2487" w:rsidRPr="00275FBD" w:rsidRDefault="003F2487" w:rsidP="003F2487">
      <w:pPr>
        <w:pStyle w:val="Odstavekseznama"/>
        <w:numPr>
          <w:ilvl w:val="1"/>
          <w:numId w:val="38"/>
        </w:numPr>
        <w:ind w:left="1434" w:hanging="357"/>
        <w:contextualSpacing w:val="0"/>
        <w:rPr>
          <w:rFonts w:cs="TimesNewRomanPSMT"/>
          <w:szCs w:val="20"/>
          <w:lang w:val="sl-SI" w:eastAsia="en-GB"/>
        </w:rPr>
      </w:pPr>
      <w:r w:rsidRPr="00275FBD">
        <w:rPr>
          <w:rFonts w:cs="TimesNewRomanPSMT"/>
          <w:szCs w:val="20"/>
          <w:lang w:val="sl-SI" w:eastAsia="en-GB"/>
        </w:rPr>
        <w:t xml:space="preserve">Zgornji skupini sta lahko pridruženi </w:t>
      </w:r>
      <w:r w:rsidR="00B47200" w:rsidRPr="00275FBD">
        <w:rPr>
          <w:rFonts w:cs="TimesNewRomanPSMT"/>
          <w:szCs w:val="20"/>
          <w:lang w:val="sl-SI" w:eastAsia="en-GB"/>
        </w:rPr>
        <w:t>najdb</w:t>
      </w:r>
      <w:r w:rsidR="00301C1E">
        <w:rPr>
          <w:rFonts w:cs="TimesNewRomanPSMT"/>
          <w:szCs w:val="20"/>
          <w:lang w:val="sl-SI" w:eastAsia="en-GB"/>
        </w:rPr>
        <w:t>ama</w:t>
      </w:r>
      <w:r w:rsidRPr="00275FBD">
        <w:rPr>
          <w:rFonts w:cs="TimesNewRomanPSMT"/>
          <w:szCs w:val="20"/>
          <w:lang w:val="sl-SI" w:eastAsia="en-GB"/>
        </w:rPr>
        <w:t xml:space="preserve"> PSR3 5.1-006 in PSR3 5.1-008, ki se nanašata na nadzor radioloških izpustov.</w:t>
      </w:r>
    </w:p>
    <w:p w14:paraId="74B3162B" w14:textId="52B3B8F3" w:rsidR="003F2487" w:rsidRPr="00275FBD" w:rsidRDefault="003F2487" w:rsidP="003F2487">
      <w:pPr>
        <w:pStyle w:val="Odstavekseznama"/>
        <w:numPr>
          <w:ilvl w:val="1"/>
          <w:numId w:val="38"/>
        </w:numPr>
        <w:ind w:left="1434" w:hanging="357"/>
        <w:contextualSpacing w:val="0"/>
        <w:rPr>
          <w:rFonts w:cs="TimesNewRomanPSMT"/>
          <w:szCs w:val="20"/>
          <w:lang w:val="sl-SI" w:eastAsia="en-GB"/>
        </w:rPr>
      </w:pPr>
      <w:r w:rsidRPr="00275FBD">
        <w:rPr>
          <w:rFonts w:cs="TimesNewRomanPSMT"/>
          <w:szCs w:val="20"/>
          <w:lang w:val="sl-SI" w:eastAsia="en-GB"/>
        </w:rPr>
        <w:t xml:space="preserve">Rešitve </w:t>
      </w:r>
      <w:r w:rsidR="00301C1E">
        <w:rPr>
          <w:rFonts w:cs="TimesNewRomanPSMT"/>
          <w:szCs w:val="20"/>
          <w:lang w:val="sl-SI" w:eastAsia="en-GB"/>
        </w:rPr>
        <w:t>se že pripravljajo</w:t>
      </w:r>
      <w:r w:rsidRPr="00275FBD">
        <w:rPr>
          <w:rFonts w:cs="TimesNewRomanPSMT"/>
          <w:szCs w:val="20"/>
          <w:lang w:val="sl-SI" w:eastAsia="en-GB"/>
        </w:rPr>
        <w:t xml:space="preserve"> za vse zadeve v zgornji skupini.</w:t>
      </w:r>
    </w:p>
    <w:p w14:paraId="15665FF1" w14:textId="6CF0C833" w:rsidR="003F2487" w:rsidRPr="00275FBD" w:rsidRDefault="003F2487" w:rsidP="003F2487">
      <w:pPr>
        <w:pStyle w:val="Odstavekseznama"/>
        <w:numPr>
          <w:ilvl w:val="1"/>
          <w:numId w:val="38"/>
        </w:numPr>
        <w:ind w:left="1434" w:hanging="357"/>
        <w:contextualSpacing w:val="0"/>
        <w:rPr>
          <w:rFonts w:cs="TimesNewRomanPSMT"/>
          <w:szCs w:val="20"/>
          <w:lang w:val="sl-SI" w:eastAsia="en-GB"/>
        </w:rPr>
      </w:pPr>
      <w:r w:rsidRPr="00275FBD">
        <w:rPr>
          <w:rFonts w:cs="TimesNewRomanPSMT"/>
          <w:szCs w:val="20"/>
          <w:lang w:val="sl-SI" w:eastAsia="en-GB"/>
        </w:rPr>
        <w:t>N</w:t>
      </w:r>
      <w:r w:rsidR="00B47200" w:rsidRPr="00275FBD">
        <w:rPr>
          <w:rFonts w:cs="TimesNewRomanPSMT"/>
          <w:szCs w:val="20"/>
          <w:lang w:val="sl-SI" w:eastAsia="en-GB"/>
        </w:rPr>
        <w:t>ajdba</w:t>
      </w:r>
      <w:r w:rsidRPr="00275FBD">
        <w:rPr>
          <w:rFonts w:cs="TimesNewRomanPSMT"/>
          <w:szCs w:val="20"/>
          <w:lang w:val="sl-SI" w:eastAsia="en-GB"/>
        </w:rPr>
        <w:t xml:space="preserve"> PSR3 7.1-016 </w:t>
      </w:r>
      <w:r w:rsidR="00301C1E">
        <w:rPr>
          <w:rFonts w:cs="TimesNewRomanPSMT"/>
          <w:szCs w:val="20"/>
          <w:lang w:val="sl-SI" w:eastAsia="en-GB"/>
        </w:rPr>
        <w:t xml:space="preserve">se navezuje </w:t>
      </w:r>
      <w:r w:rsidR="00882E76">
        <w:rPr>
          <w:rFonts w:cs="TimesNewRomanPSMT"/>
          <w:szCs w:val="20"/>
          <w:lang w:val="sl-SI" w:eastAsia="en-GB"/>
        </w:rPr>
        <w:t>na</w:t>
      </w:r>
      <w:r w:rsidRPr="00275FBD">
        <w:rPr>
          <w:rFonts w:cs="TimesNewRomanPSMT"/>
          <w:szCs w:val="20"/>
          <w:lang w:val="sl-SI" w:eastAsia="en-GB"/>
        </w:rPr>
        <w:t xml:space="preserve"> pogoj</w:t>
      </w:r>
      <w:r w:rsidR="00882E76">
        <w:rPr>
          <w:rFonts w:cs="TimesNewRomanPSMT"/>
          <w:szCs w:val="20"/>
          <w:lang w:val="sl-SI" w:eastAsia="en-GB"/>
        </w:rPr>
        <w:t>e</w:t>
      </w:r>
      <w:r w:rsidRPr="00275FBD">
        <w:rPr>
          <w:rFonts w:cs="TimesNewRomanPSMT"/>
          <w:szCs w:val="20"/>
          <w:lang w:val="sl-SI" w:eastAsia="en-GB"/>
        </w:rPr>
        <w:t xml:space="preserve"> delovne obremenitve osebja elektrarne, povezan</w:t>
      </w:r>
      <w:r w:rsidR="008870DE" w:rsidRPr="00275FBD">
        <w:rPr>
          <w:rFonts w:cs="TimesNewRomanPSMT"/>
          <w:szCs w:val="20"/>
          <w:lang w:val="sl-SI" w:eastAsia="en-GB"/>
        </w:rPr>
        <w:t>ega</w:t>
      </w:r>
      <w:r w:rsidRPr="00275FBD">
        <w:rPr>
          <w:rFonts w:cs="TimesNewRomanPSMT"/>
          <w:szCs w:val="20"/>
          <w:lang w:val="sl-SI" w:eastAsia="en-GB"/>
        </w:rPr>
        <w:t xml:space="preserve"> z varnostnimi funkcijami, </w:t>
      </w:r>
      <w:r w:rsidR="00301C1E">
        <w:rPr>
          <w:rFonts w:cs="TimesNewRomanPSMT"/>
          <w:szCs w:val="20"/>
          <w:lang w:val="sl-SI" w:eastAsia="en-GB"/>
        </w:rPr>
        <w:t xml:space="preserve">ter </w:t>
      </w:r>
      <w:r w:rsidRPr="00275FBD">
        <w:rPr>
          <w:rFonts w:cs="TimesNewRomanPSMT"/>
          <w:szCs w:val="20"/>
          <w:lang w:val="sl-SI" w:eastAsia="en-GB"/>
        </w:rPr>
        <w:t>z morebitn</w:t>
      </w:r>
      <w:r w:rsidR="00301C1E">
        <w:rPr>
          <w:rFonts w:cs="TimesNewRomanPSMT"/>
          <w:szCs w:val="20"/>
          <w:lang w:val="sl-SI" w:eastAsia="en-GB"/>
        </w:rPr>
        <w:t>im</w:t>
      </w:r>
      <w:r w:rsidRPr="00275FBD">
        <w:rPr>
          <w:rFonts w:cs="TimesNewRomanPSMT"/>
          <w:szCs w:val="20"/>
          <w:lang w:val="sl-SI" w:eastAsia="en-GB"/>
        </w:rPr>
        <w:t xml:space="preserve"> nesklad</w:t>
      </w:r>
      <w:r w:rsidR="00301C1E">
        <w:rPr>
          <w:rFonts w:cs="TimesNewRomanPSMT"/>
          <w:szCs w:val="20"/>
          <w:lang w:val="sl-SI" w:eastAsia="en-GB"/>
        </w:rPr>
        <w:t>jem</w:t>
      </w:r>
      <w:r w:rsidRPr="00275FBD">
        <w:rPr>
          <w:rFonts w:cs="TimesNewRomanPSMT"/>
          <w:szCs w:val="20"/>
          <w:lang w:val="sl-SI" w:eastAsia="en-GB"/>
        </w:rPr>
        <w:t xml:space="preserve"> </w:t>
      </w:r>
      <w:r w:rsidR="00ED53C5">
        <w:rPr>
          <w:rFonts w:cs="TimesNewRomanPSMT"/>
          <w:szCs w:val="20"/>
          <w:lang w:val="sl-SI" w:eastAsia="en-GB"/>
        </w:rPr>
        <w:t>s slovensk</w:t>
      </w:r>
      <w:r w:rsidRPr="00275FBD">
        <w:rPr>
          <w:rFonts w:cs="TimesNewRomanPSMT"/>
          <w:szCs w:val="20"/>
          <w:lang w:val="sl-SI" w:eastAsia="en-GB"/>
        </w:rPr>
        <w:t xml:space="preserve">imi predpisi. Osebje </w:t>
      </w:r>
      <w:r w:rsidR="008870DE" w:rsidRPr="00275FBD">
        <w:rPr>
          <w:rFonts w:cs="TimesNewRomanPSMT"/>
          <w:szCs w:val="20"/>
          <w:lang w:val="sl-SI" w:eastAsia="en-GB"/>
        </w:rPr>
        <w:t>elektrarne</w:t>
      </w:r>
      <w:r w:rsidRPr="00275FBD">
        <w:rPr>
          <w:rFonts w:cs="TimesNewRomanPSMT"/>
          <w:szCs w:val="20"/>
          <w:lang w:val="sl-SI" w:eastAsia="en-GB"/>
        </w:rPr>
        <w:t xml:space="preserve"> je </w:t>
      </w:r>
      <w:r w:rsidR="00B47200" w:rsidRPr="00275FBD">
        <w:rPr>
          <w:rFonts w:cs="TimesNewRomanPSMT"/>
          <w:szCs w:val="20"/>
          <w:lang w:val="sl-SI" w:eastAsia="en-GB"/>
        </w:rPr>
        <w:t>z</w:t>
      </w:r>
      <w:r w:rsidRPr="00275FBD">
        <w:rPr>
          <w:rFonts w:cs="TimesNewRomanPSMT"/>
          <w:szCs w:val="20"/>
          <w:lang w:val="sl-SI" w:eastAsia="en-GB"/>
        </w:rPr>
        <w:t xml:space="preserve"> </w:t>
      </w:r>
      <w:r w:rsidR="00DD1B08" w:rsidRPr="00275FBD">
        <w:rPr>
          <w:rFonts w:cs="TimesNewRomanPSMT"/>
          <w:szCs w:val="20"/>
          <w:lang w:val="sl-SI" w:eastAsia="en-GB"/>
        </w:rPr>
        <w:t>najdbo</w:t>
      </w:r>
      <w:r w:rsidRPr="00275FBD">
        <w:rPr>
          <w:rFonts w:cs="TimesNewRomanPSMT"/>
          <w:szCs w:val="20"/>
          <w:lang w:val="sl-SI" w:eastAsia="en-GB"/>
        </w:rPr>
        <w:t xml:space="preserve"> seznanjeno in </w:t>
      </w:r>
      <w:r w:rsidR="00301C1E" w:rsidRPr="00275FBD">
        <w:rPr>
          <w:rFonts w:cs="TimesNewRomanPSMT"/>
          <w:szCs w:val="20"/>
          <w:lang w:val="sl-SI" w:eastAsia="en-GB"/>
        </w:rPr>
        <w:t xml:space="preserve">reševanje </w:t>
      </w:r>
      <w:r w:rsidRPr="00275FBD">
        <w:rPr>
          <w:rFonts w:cs="TimesNewRomanPSMT"/>
          <w:szCs w:val="20"/>
          <w:lang w:val="sl-SI" w:eastAsia="en-GB"/>
        </w:rPr>
        <w:t>je načrtovano.</w:t>
      </w:r>
    </w:p>
    <w:p w14:paraId="137B5ED2" w14:textId="09A701BA" w:rsidR="003F2487" w:rsidRPr="00275FBD" w:rsidRDefault="00301C1E" w:rsidP="003F2487">
      <w:pPr>
        <w:pStyle w:val="Odstavekseznama"/>
        <w:numPr>
          <w:ilvl w:val="1"/>
          <w:numId w:val="38"/>
        </w:numPr>
        <w:ind w:left="1434" w:hanging="357"/>
        <w:contextualSpacing w:val="0"/>
        <w:rPr>
          <w:rFonts w:cs="TimesNewRomanPSMT"/>
          <w:szCs w:val="20"/>
          <w:lang w:val="sl-SI" w:eastAsia="en-GB"/>
        </w:rPr>
      </w:pPr>
      <w:r>
        <w:rPr>
          <w:rFonts w:cs="TimesNewRomanPSMT"/>
          <w:szCs w:val="20"/>
          <w:lang w:val="sl-SI" w:eastAsia="en-GB"/>
        </w:rPr>
        <w:t>N</w:t>
      </w:r>
      <w:r w:rsidR="00B47200" w:rsidRPr="00275FBD">
        <w:rPr>
          <w:rFonts w:cs="TimesNewRomanPSMT"/>
          <w:szCs w:val="20"/>
          <w:lang w:val="sl-SI" w:eastAsia="en-GB"/>
        </w:rPr>
        <w:t>ajdbi</w:t>
      </w:r>
      <w:r w:rsidR="003F2487" w:rsidRPr="00275FBD">
        <w:rPr>
          <w:rFonts w:cs="TimesNewRomanPSMT"/>
          <w:szCs w:val="20"/>
          <w:lang w:val="sl-SI" w:eastAsia="en-GB"/>
        </w:rPr>
        <w:t xml:space="preserve"> PSR3 5.2-002 in PSR3 5.2-006 govorita o potrebi po programu ravnanja z izrabljenim gorivom kot samostojnem dokumentu. Program je v pripravi.</w:t>
      </w:r>
    </w:p>
    <w:p w14:paraId="7EF14F97" w14:textId="3066095E" w:rsidR="003F2487" w:rsidRPr="00275FBD" w:rsidRDefault="003F2487" w:rsidP="003F2487">
      <w:pPr>
        <w:pStyle w:val="Odstavekseznama"/>
        <w:numPr>
          <w:ilvl w:val="1"/>
          <w:numId w:val="38"/>
        </w:numPr>
        <w:ind w:left="1434" w:hanging="357"/>
        <w:contextualSpacing w:val="0"/>
        <w:rPr>
          <w:rFonts w:cs="TimesNewRomanPSMT"/>
          <w:szCs w:val="20"/>
          <w:lang w:val="sl-SI" w:eastAsia="en-GB"/>
        </w:rPr>
      </w:pPr>
      <w:r w:rsidRPr="00275FBD">
        <w:rPr>
          <w:rFonts w:cs="TimesNewRomanPSMT"/>
          <w:szCs w:val="20"/>
          <w:lang w:val="sl-SI" w:eastAsia="en-GB"/>
        </w:rPr>
        <w:t xml:space="preserve">Nekaj </w:t>
      </w:r>
      <w:r w:rsidR="00BD5705" w:rsidRPr="00275FBD">
        <w:rPr>
          <w:rFonts w:cs="TimesNewRomanPSMT"/>
          <w:szCs w:val="20"/>
          <w:lang w:val="sl-SI" w:eastAsia="en-GB"/>
        </w:rPr>
        <w:t>najdb</w:t>
      </w:r>
      <w:r w:rsidR="00A443EF">
        <w:rPr>
          <w:rFonts w:cs="TimesNewRomanPSMT"/>
          <w:szCs w:val="20"/>
          <w:lang w:val="sl-SI" w:eastAsia="en-GB"/>
        </w:rPr>
        <w:t xml:space="preserve"> je</w:t>
      </w:r>
      <w:r w:rsidRPr="00275FBD">
        <w:rPr>
          <w:rFonts w:cs="TimesNewRomanPSMT"/>
          <w:szCs w:val="20"/>
          <w:lang w:val="sl-SI" w:eastAsia="en-GB"/>
        </w:rPr>
        <w:t xml:space="preserve"> povezanih s statusom izvajanja </w:t>
      </w:r>
      <w:r w:rsidR="00A443EF" w:rsidRPr="00275FBD">
        <w:rPr>
          <w:rFonts w:cs="TimesNewRomanPSMT"/>
          <w:szCs w:val="20"/>
          <w:lang w:val="sl-SI" w:eastAsia="en-GB"/>
        </w:rPr>
        <w:t>projekt</w:t>
      </w:r>
      <w:r w:rsidR="00A443EF">
        <w:rPr>
          <w:rFonts w:cs="TimesNewRomanPSMT"/>
          <w:szCs w:val="20"/>
          <w:lang w:val="sl-SI" w:eastAsia="en-GB"/>
        </w:rPr>
        <w:t>nih</w:t>
      </w:r>
      <w:r w:rsidR="00A443EF" w:rsidRPr="00275FBD">
        <w:rPr>
          <w:rFonts w:cs="TimesNewRomanPSMT"/>
          <w:szCs w:val="20"/>
          <w:lang w:val="sl-SI" w:eastAsia="en-GB"/>
        </w:rPr>
        <w:t xml:space="preserve"> </w:t>
      </w:r>
      <w:r w:rsidRPr="00275FBD">
        <w:rPr>
          <w:rFonts w:cs="TimesNewRomanPSMT"/>
          <w:szCs w:val="20"/>
          <w:lang w:val="sl-SI" w:eastAsia="en-GB"/>
        </w:rPr>
        <w:t xml:space="preserve">sprememb </w:t>
      </w:r>
      <w:r w:rsidR="008870DE" w:rsidRPr="00275FBD">
        <w:rPr>
          <w:rFonts w:cs="TimesNewRomanPSMT"/>
          <w:szCs w:val="20"/>
          <w:lang w:val="sl-SI" w:eastAsia="en-GB"/>
        </w:rPr>
        <w:t>elektrarne</w:t>
      </w:r>
      <w:r w:rsidRPr="00275FBD">
        <w:rPr>
          <w:rFonts w:cs="TimesNewRomanPSMT"/>
          <w:szCs w:val="20"/>
          <w:lang w:val="sl-SI" w:eastAsia="en-GB"/>
        </w:rPr>
        <w:t xml:space="preserve"> in povezanim postopkom </w:t>
      </w:r>
      <w:r w:rsidR="00A443EF">
        <w:rPr>
          <w:rFonts w:cs="TimesNewRomanPSMT"/>
          <w:szCs w:val="20"/>
          <w:lang w:val="sl-SI" w:eastAsia="en-GB"/>
        </w:rPr>
        <w:t xml:space="preserve">za </w:t>
      </w:r>
      <w:r w:rsidR="00A443EF" w:rsidRPr="00275FBD">
        <w:rPr>
          <w:rFonts w:cs="TimesNewRomanPSMT"/>
          <w:szCs w:val="20"/>
          <w:lang w:val="sl-SI" w:eastAsia="en-GB"/>
        </w:rPr>
        <w:t>delovn</w:t>
      </w:r>
      <w:r w:rsidR="00A443EF">
        <w:rPr>
          <w:rFonts w:cs="TimesNewRomanPSMT"/>
          <w:szCs w:val="20"/>
          <w:lang w:val="sl-SI" w:eastAsia="en-GB"/>
        </w:rPr>
        <w:t>e</w:t>
      </w:r>
      <w:r w:rsidR="00A443EF" w:rsidRPr="00275FBD">
        <w:rPr>
          <w:rFonts w:cs="TimesNewRomanPSMT"/>
          <w:szCs w:val="20"/>
          <w:lang w:val="sl-SI" w:eastAsia="en-GB"/>
        </w:rPr>
        <w:t xml:space="preserve"> </w:t>
      </w:r>
      <w:r w:rsidR="008870DE" w:rsidRPr="00275FBD">
        <w:rPr>
          <w:rFonts w:cs="TimesNewRomanPSMT"/>
          <w:szCs w:val="20"/>
          <w:lang w:val="sl-SI" w:eastAsia="en-GB"/>
        </w:rPr>
        <w:t>nalog</w:t>
      </w:r>
      <w:r w:rsidR="00A443EF">
        <w:rPr>
          <w:rFonts w:cs="TimesNewRomanPSMT"/>
          <w:szCs w:val="20"/>
          <w:lang w:val="sl-SI" w:eastAsia="en-GB"/>
        </w:rPr>
        <w:t>e</w:t>
      </w:r>
      <w:r w:rsidRPr="00275FBD">
        <w:rPr>
          <w:rFonts w:cs="TimesNewRomanPSMT"/>
          <w:szCs w:val="20"/>
          <w:lang w:val="sl-SI" w:eastAsia="en-GB"/>
        </w:rPr>
        <w:t xml:space="preserve">: PSR3 4.2-002 in PSR3 3.1-007. </w:t>
      </w:r>
      <w:r w:rsidR="00A443EF">
        <w:rPr>
          <w:rFonts w:cs="TimesNewRomanPSMT"/>
          <w:szCs w:val="20"/>
          <w:lang w:val="sl-SI" w:eastAsia="en-GB"/>
        </w:rPr>
        <w:t>R</w:t>
      </w:r>
      <w:r w:rsidRPr="00275FBD">
        <w:rPr>
          <w:rFonts w:cs="TimesNewRomanPSMT"/>
          <w:szCs w:val="20"/>
          <w:lang w:val="sl-SI" w:eastAsia="en-GB"/>
        </w:rPr>
        <w:t xml:space="preserve">eševanje </w:t>
      </w:r>
      <w:r w:rsidR="00A443EF">
        <w:rPr>
          <w:rFonts w:cs="TimesNewRomanPSMT"/>
          <w:szCs w:val="20"/>
          <w:lang w:val="sl-SI" w:eastAsia="en-GB"/>
        </w:rPr>
        <w:t>po</w:t>
      </w:r>
      <w:r w:rsidRPr="00275FBD">
        <w:rPr>
          <w:rFonts w:cs="TimesNewRomanPSMT"/>
          <w:szCs w:val="20"/>
          <w:lang w:val="sl-SI" w:eastAsia="en-GB"/>
        </w:rPr>
        <w:t>tek</w:t>
      </w:r>
      <w:r w:rsidR="00A443EF">
        <w:rPr>
          <w:rFonts w:cs="TimesNewRomanPSMT"/>
          <w:szCs w:val="20"/>
          <w:lang w:val="sl-SI" w:eastAsia="en-GB"/>
        </w:rPr>
        <w:t>a</w:t>
      </w:r>
      <w:r w:rsidRPr="00275FBD">
        <w:rPr>
          <w:rFonts w:cs="TimesNewRomanPSMT"/>
          <w:szCs w:val="20"/>
          <w:lang w:val="sl-SI" w:eastAsia="en-GB"/>
        </w:rPr>
        <w:t>.</w:t>
      </w:r>
    </w:p>
    <w:p w14:paraId="0A8741A1" w14:textId="0DCAB239" w:rsidR="003F2487" w:rsidRPr="00275FBD" w:rsidRDefault="00A443EF" w:rsidP="003F2487">
      <w:pPr>
        <w:pStyle w:val="Odstavekseznama"/>
        <w:numPr>
          <w:ilvl w:val="1"/>
          <w:numId w:val="38"/>
        </w:numPr>
        <w:ind w:left="1434" w:hanging="357"/>
        <w:contextualSpacing w:val="0"/>
        <w:rPr>
          <w:rFonts w:cs="TimesNewRomanPSMT"/>
          <w:szCs w:val="20"/>
          <w:lang w:val="sl-SI" w:eastAsia="en-GB"/>
        </w:rPr>
      </w:pPr>
      <w:r>
        <w:rPr>
          <w:rFonts w:cs="TimesNewRomanPSMT"/>
          <w:szCs w:val="20"/>
          <w:lang w:val="sl-SI" w:eastAsia="en-GB"/>
        </w:rPr>
        <w:t>N</w:t>
      </w:r>
      <w:r w:rsidR="00B47200" w:rsidRPr="00275FBD">
        <w:rPr>
          <w:rFonts w:cs="TimesNewRomanPSMT"/>
          <w:szCs w:val="20"/>
          <w:lang w:val="sl-SI" w:eastAsia="en-GB"/>
        </w:rPr>
        <w:t>ajdba</w:t>
      </w:r>
      <w:r w:rsidR="003F2487" w:rsidRPr="00275FBD">
        <w:rPr>
          <w:rFonts w:cs="TimesNewRomanPSMT"/>
          <w:szCs w:val="20"/>
          <w:lang w:val="sl-SI" w:eastAsia="en-GB"/>
        </w:rPr>
        <w:t xml:space="preserve"> PSR3 1.3-010 </w:t>
      </w:r>
      <w:r>
        <w:rPr>
          <w:rFonts w:cs="TimesNewRomanPSMT"/>
          <w:szCs w:val="20"/>
          <w:lang w:val="sl-SI" w:eastAsia="en-GB"/>
        </w:rPr>
        <w:t>je po</w:t>
      </w:r>
      <w:r w:rsidR="003F2487" w:rsidRPr="00275FBD">
        <w:rPr>
          <w:rFonts w:cs="TimesNewRomanPSMT"/>
          <w:szCs w:val="20"/>
          <w:lang w:val="sl-SI" w:eastAsia="en-GB"/>
        </w:rPr>
        <w:t>vez</w:t>
      </w:r>
      <w:r>
        <w:rPr>
          <w:rFonts w:cs="TimesNewRomanPSMT"/>
          <w:szCs w:val="20"/>
          <w:lang w:val="sl-SI" w:eastAsia="en-GB"/>
        </w:rPr>
        <w:t>ana</w:t>
      </w:r>
      <w:r w:rsidR="003F2487" w:rsidRPr="00275FBD">
        <w:rPr>
          <w:rFonts w:cs="TimesNewRomanPSMT"/>
          <w:szCs w:val="20"/>
          <w:lang w:val="sl-SI" w:eastAsia="en-GB"/>
        </w:rPr>
        <w:t xml:space="preserve"> s kazalniki uspešnosti za kvalifikacijske programe elektrarne.</w:t>
      </w:r>
    </w:p>
    <w:p w14:paraId="6FC4647A" w14:textId="7FFCE8AB" w:rsidR="000E2E32" w:rsidRPr="00275FBD" w:rsidRDefault="003F2487" w:rsidP="003F2487">
      <w:pPr>
        <w:pStyle w:val="Odstavekseznama"/>
        <w:numPr>
          <w:ilvl w:val="1"/>
          <w:numId w:val="38"/>
        </w:numPr>
        <w:ind w:left="1434" w:hanging="357"/>
        <w:contextualSpacing w:val="0"/>
        <w:rPr>
          <w:rFonts w:cs="TimesNewRomanPSMT"/>
          <w:szCs w:val="20"/>
          <w:lang w:val="sl-SI" w:eastAsia="en-GB"/>
        </w:rPr>
      </w:pPr>
      <w:r w:rsidRPr="00275FBD">
        <w:rPr>
          <w:rFonts w:cs="TimesNewRomanPSMT"/>
          <w:szCs w:val="20"/>
          <w:lang w:val="sl-SI" w:eastAsia="en-GB"/>
        </w:rPr>
        <w:t>Zgornj</w:t>
      </w:r>
      <w:r w:rsidR="00910B6F" w:rsidRPr="00275FBD">
        <w:rPr>
          <w:rFonts w:cs="TimesNewRomanPSMT"/>
          <w:szCs w:val="20"/>
          <w:lang w:val="sl-SI" w:eastAsia="en-GB"/>
        </w:rPr>
        <w:t>e</w:t>
      </w:r>
      <w:r w:rsidRPr="00275FBD">
        <w:rPr>
          <w:rFonts w:cs="TimesNewRomanPSMT"/>
          <w:szCs w:val="20"/>
          <w:lang w:val="sl-SI" w:eastAsia="en-GB"/>
        </w:rPr>
        <w:t xml:space="preserve"> </w:t>
      </w:r>
      <w:r w:rsidR="00910B6F" w:rsidRPr="00275FBD">
        <w:rPr>
          <w:rFonts w:cs="TimesNewRomanPSMT"/>
          <w:szCs w:val="20"/>
          <w:lang w:val="sl-SI" w:eastAsia="en-GB"/>
        </w:rPr>
        <w:t xml:space="preserve">najdbe </w:t>
      </w:r>
      <w:r w:rsidRPr="00275FBD">
        <w:rPr>
          <w:rFonts w:cs="TimesNewRomanPSMT"/>
          <w:szCs w:val="20"/>
          <w:lang w:val="sl-SI" w:eastAsia="en-GB"/>
        </w:rPr>
        <w:t xml:space="preserve">ne spreminjajo </w:t>
      </w:r>
      <w:r w:rsidR="008870DE" w:rsidRPr="00275FBD">
        <w:rPr>
          <w:rFonts w:cs="TimesNewRomanPSMT"/>
          <w:szCs w:val="20"/>
          <w:lang w:val="sl-SI" w:eastAsia="en-GB"/>
        </w:rPr>
        <w:t xml:space="preserve">tekoče </w:t>
      </w:r>
      <w:r w:rsidRPr="00275FBD">
        <w:rPr>
          <w:rFonts w:cs="TimesNewRomanPSMT"/>
          <w:szCs w:val="20"/>
          <w:lang w:val="sl-SI" w:eastAsia="en-GB"/>
        </w:rPr>
        <w:t xml:space="preserve">ocene referenčnega </w:t>
      </w:r>
      <w:r w:rsidR="008870DE" w:rsidRPr="00275FBD">
        <w:rPr>
          <w:rFonts w:cs="TimesNewRomanPSMT"/>
          <w:szCs w:val="20"/>
          <w:lang w:val="sl-SI" w:eastAsia="en-GB"/>
        </w:rPr>
        <w:t>stanja elektrarne</w:t>
      </w:r>
      <w:r w:rsidRPr="00275FBD">
        <w:rPr>
          <w:rFonts w:cs="TimesNewRomanPSMT"/>
          <w:szCs w:val="20"/>
          <w:lang w:val="sl-SI" w:eastAsia="en-GB"/>
        </w:rPr>
        <w:t xml:space="preserve">, kot je </w:t>
      </w:r>
      <w:r w:rsidR="00A443EF">
        <w:rPr>
          <w:rFonts w:cs="TimesNewRomanPSMT"/>
          <w:szCs w:val="20"/>
          <w:lang w:val="sl-SI" w:eastAsia="en-GB"/>
        </w:rPr>
        <w:t xml:space="preserve">ta </w:t>
      </w:r>
      <w:r w:rsidR="00A443EF" w:rsidRPr="00275FBD">
        <w:rPr>
          <w:rFonts w:cs="TimesNewRomanPSMT"/>
          <w:szCs w:val="20"/>
          <w:lang w:val="sl-SI" w:eastAsia="en-GB"/>
        </w:rPr>
        <w:t>predstavljen</w:t>
      </w:r>
      <w:r w:rsidR="00A443EF">
        <w:rPr>
          <w:rFonts w:cs="TimesNewRomanPSMT"/>
          <w:szCs w:val="20"/>
          <w:lang w:val="sl-SI" w:eastAsia="en-GB"/>
        </w:rPr>
        <w:t>a</w:t>
      </w:r>
      <w:r w:rsidR="00A443EF" w:rsidRPr="00275FBD">
        <w:rPr>
          <w:rFonts w:cs="TimesNewRomanPSMT"/>
          <w:szCs w:val="20"/>
          <w:lang w:val="sl-SI" w:eastAsia="en-GB"/>
        </w:rPr>
        <w:t xml:space="preserve"> </w:t>
      </w:r>
      <w:r w:rsidRPr="00275FBD">
        <w:rPr>
          <w:rFonts w:cs="TimesNewRomanPSMT"/>
          <w:szCs w:val="20"/>
          <w:lang w:val="sl-SI" w:eastAsia="en-GB"/>
        </w:rPr>
        <w:t>zgoraj. Vnesen</w:t>
      </w:r>
      <w:r w:rsidR="00B43BB4">
        <w:rPr>
          <w:rFonts w:cs="TimesNewRomanPSMT"/>
          <w:szCs w:val="20"/>
          <w:lang w:val="sl-SI" w:eastAsia="en-GB"/>
        </w:rPr>
        <w:t>e</w:t>
      </w:r>
      <w:r w:rsidRPr="00275FBD">
        <w:rPr>
          <w:rFonts w:cs="TimesNewRomanPSMT"/>
          <w:szCs w:val="20"/>
          <w:lang w:val="sl-SI" w:eastAsia="en-GB"/>
        </w:rPr>
        <w:t xml:space="preserve"> </w:t>
      </w:r>
      <w:r w:rsidR="008870DE" w:rsidRPr="00275FBD">
        <w:rPr>
          <w:rFonts w:cs="TimesNewRomanPSMT"/>
          <w:szCs w:val="20"/>
          <w:lang w:val="sl-SI" w:eastAsia="en-GB"/>
        </w:rPr>
        <w:t>so</w:t>
      </w:r>
      <w:r w:rsidRPr="00275FBD">
        <w:rPr>
          <w:rFonts w:cs="TimesNewRomanPSMT"/>
          <w:szCs w:val="20"/>
          <w:lang w:val="sl-SI" w:eastAsia="en-GB"/>
        </w:rPr>
        <w:t xml:space="preserve"> v IAP in </w:t>
      </w:r>
      <w:r w:rsidR="008870DE" w:rsidRPr="00275FBD">
        <w:rPr>
          <w:rFonts w:cs="TimesNewRomanPSMT"/>
          <w:szCs w:val="20"/>
          <w:lang w:val="sl-SI" w:eastAsia="en-GB"/>
        </w:rPr>
        <w:t xml:space="preserve">bodo </w:t>
      </w:r>
      <w:r w:rsidRPr="00275FBD">
        <w:rPr>
          <w:rFonts w:cs="TimesNewRomanPSMT"/>
          <w:szCs w:val="20"/>
          <w:lang w:val="sl-SI" w:eastAsia="en-GB"/>
        </w:rPr>
        <w:t>pravočasno rešen</w:t>
      </w:r>
      <w:r w:rsidR="00B43BB4">
        <w:rPr>
          <w:rFonts w:cs="TimesNewRomanPSMT"/>
          <w:szCs w:val="20"/>
          <w:lang w:val="sl-SI" w:eastAsia="en-GB"/>
        </w:rPr>
        <w:t>e</w:t>
      </w:r>
      <w:r w:rsidRPr="00275FBD">
        <w:rPr>
          <w:rFonts w:cs="TimesNewRomanPSMT"/>
          <w:szCs w:val="20"/>
          <w:lang w:val="sl-SI" w:eastAsia="en-GB"/>
        </w:rPr>
        <w:t>.</w:t>
      </w:r>
    </w:p>
    <w:p w14:paraId="1035D1A0" w14:textId="6A28D6E1" w:rsidR="008870DE" w:rsidRPr="00275FBD" w:rsidRDefault="008870DE" w:rsidP="008870DE">
      <w:pPr>
        <w:pStyle w:val="Odstavekseznama"/>
        <w:numPr>
          <w:ilvl w:val="0"/>
          <w:numId w:val="46"/>
        </w:numPr>
        <w:ind w:left="714" w:hanging="357"/>
        <w:contextualSpacing w:val="0"/>
        <w:rPr>
          <w:lang w:val="sl-SI" w:eastAsia="en-GB"/>
        </w:rPr>
      </w:pPr>
      <w:r w:rsidRPr="00275FBD">
        <w:rPr>
          <w:lang w:val="sl-SI" w:eastAsia="en-GB"/>
        </w:rPr>
        <w:t xml:space="preserve">Dodatno je bilo </w:t>
      </w:r>
      <w:r w:rsidR="00B20813">
        <w:rPr>
          <w:lang w:val="sl-SI" w:eastAsia="en-GB"/>
        </w:rPr>
        <w:t>določ</w:t>
      </w:r>
      <w:r w:rsidR="00B20813" w:rsidRPr="00275FBD">
        <w:rPr>
          <w:lang w:val="sl-SI" w:eastAsia="en-GB"/>
        </w:rPr>
        <w:t xml:space="preserve">enih </w:t>
      </w:r>
      <w:r w:rsidRPr="00275FBD">
        <w:rPr>
          <w:lang w:val="sl-SI" w:eastAsia="en-GB"/>
        </w:rPr>
        <w:t xml:space="preserve">15 </w:t>
      </w:r>
      <w:r w:rsidR="00BD5705" w:rsidRPr="00275FBD">
        <w:rPr>
          <w:lang w:val="sl-SI" w:eastAsia="en-GB"/>
        </w:rPr>
        <w:t xml:space="preserve">najdb </w:t>
      </w:r>
      <w:r w:rsidRPr="00275FBD">
        <w:rPr>
          <w:lang w:val="sl-SI" w:eastAsia="en-GB"/>
        </w:rPr>
        <w:t xml:space="preserve">za neposreden vnos v IAP na podlagi dogovora med NEK in URSJV (Dodatek 1, </w:t>
      </w:r>
      <w:r w:rsidR="0014523E">
        <w:rPr>
          <w:lang w:val="sl-SI" w:eastAsia="en-GB"/>
        </w:rPr>
        <w:t>T</w:t>
      </w:r>
      <w:r w:rsidRPr="00275FBD">
        <w:rPr>
          <w:lang w:val="sl-SI" w:eastAsia="en-GB"/>
        </w:rPr>
        <w:t>abela A-2). Od teh jih 14 predstavlja tako imenovan</w:t>
      </w:r>
      <w:r w:rsidR="00910B6F" w:rsidRPr="00275FBD">
        <w:rPr>
          <w:lang w:val="sl-SI" w:eastAsia="en-GB"/>
        </w:rPr>
        <w:t>e</w:t>
      </w:r>
      <w:r w:rsidRPr="00275FBD">
        <w:rPr>
          <w:lang w:val="sl-SI" w:eastAsia="en-GB"/>
        </w:rPr>
        <w:t xml:space="preserve"> </w:t>
      </w:r>
      <w:r w:rsidR="00910B6F" w:rsidRPr="00275FBD">
        <w:rPr>
          <w:lang w:val="sl-SI" w:eastAsia="en-GB"/>
        </w:rPr>
        <w:t xml:space="preserve">najdbe </w:t>
      </w:r>
      <w:r w:rsidRPr="00275FBD">
        <w:rPr>
          <w:lang w:val="sl-SI" w:eastAsia="en-GB"/>
        </w:rPr>
        <w:t>iz »pred</w:t>
      </w:r>
      <w:r w:rsidR="00CA6715" w:rsidRPr="00275FBD">
        <w:rPr>
          <w:lang w:val="sl-SI" w:eastAsia="en-GB"/>
        </w:rPr>
        <w:t>-</w:t>
      </w:r>
      <w:r w:rsidRPr="00275FBD">
        <w:rPr>
          <w:lang w:val="sl-SI" w:eastAsia="en-GB"/>
        </w:rPr>
        <w:t xml:space="preserve">SALTO« pregleda (PSR3 SAL-*). Vse to predstavlja </w:t>
      </w:r>
      <w:r w:rsidRPr="00D202DF">
        <w:rPr>
          <w:lang w:val="sl-SI" w:eastAsia="en-GB"/>
        </w:rPr>
        <w:t xml:space="preserve">pomanjkljivosti ali </w:t>
      </w:r>
      <w:r w:rsidR="00A443EF" w:rsidRPr="00D202DF">
        <w:rPr>
          <w:lang w:val="sl-SI" w:eastAsia="en-GB"/>
        </w:rPr>
        <w:t xml:space="preserve">neskladja </w:t>
      </w:r>
      <w:r w:rsidRPr="00D202DF">
        <w:rPr>
          <w:lang w:val="sl-SI" w:eastAsia="en-GB"/>
        </w:rPr>
        <w:t xml:space="preserve">glede dolgoročnih programov </w:t>
      </w:r>
      <w:r w:rsidR="00A443EF" w:rsidRPr="00D202DF">
        <w:rPr>
          <w:lang w:val="sl-SI" w:eastAsia="en-GB"/>
        </w:rPr>
        <w:t xml:space="preserve">nadzora </w:t>
      </w:r>
      <w:r w:rsidRPr="00D202DF">
        <w:rPr>
          <w:lang w:val="sl-SI" w:eastAsia="en-GB"/>
        </w:rPr>
        <w:t xml:space="preserve">staranja ali upravljanja </w:t>
      </w:r>
      <w:r w:rsidR="00185883" w:rsidRPr="00D202DF">
        <w:rPr>
          <w:lang w:val="sl-SI" w:eastAsia="en-GB"/>
        </w:rPr>
        <w:t>s</w:t>
      </w:r>
      <w:r w:rsidR="00CA6715" w:rsidRPr="00D202DF">
        <w:rPr>
          <w:lang w:val="sl-SI" w:eastAsia="en-GB"/>
        </w:rPr>
        <w:t xml:space="preserve"> </w:t>
      </w:r>
      <w:r w:rsidR="00185883" w:rsidRPr="00D202DF">
        <w:rPr>
          <w:lang w:val="sl-SI" w:eastAsia="en-GB"/>
        </w:rPr>
        <w:t xml:space="preserve">sredstvi </w:t>
      </w:r>
      <w:r w:rsidRPr="00D202DF">
        <w:rPr>
          <w:lang w:val="sl-SI" w:eastAsia="en-GB"/>
        </w:rPr>
        <w:t xml:space="preserve">za </w:t>
      </w:r>
      <w:r w:rsidR="00D202DF" w:rsidRPr="00D202DF">
        <w:rPr>
          <w:lang w:val="sl-SI" w:eastAsia="en-GB"/>
        </w:rPr>
        <w:t>dolgoročno obratovanje (LTO)</w:t>
      </w:r>
      <w:r w:rsidRPr="00D202DF">
        <w:rPr>
          <w:lang w:val="sl-SI" w:eastAsia="en-GB"/>
        </w:rPr>
        <w:t>. Preostal</w:t>
      </w:r>
      <w:r w:rsidR="00B47200" w:rsidRPr="00D202DF">
        <w:rPr>
          <w:lang w:val="sl-SI" w:eastAsia="en-GB"/>
        </w:rPr>
        <w:t>a</w:t>
      </w:r>
      <w:r w:rsidRPr="00D202DF">
        <w:rPr>
          <w:lang w:val="sl-SI" w:eastAsia="en-GB"/>
        </w:rPr>
        <w:t xml:space="preserve"> </w:t>
      </w:r>
      <w:r w:rsidR="00B47200" w:rsidRPr="00D202DF">
        <w:rPr>
          <w:lang w:val="sl-SI" w:eastAsia="en-GB"/>
        </w:rPr>
        <w:t>najdba</w:t>
      </w:r>
      <w:r w:rsidRPr="00D202DF">
        <w:rPr>
          <w:lang w:val="sl-SI" w:eastAsia="en-GB"/>
        </w:rPr>
        <w:t xml:space="preserve"> (PSR3 2.3-004) je povezan</w:t>
      </w:r>
      <w:r w:rsidR="00B47200" w:rsidRPr="00D202DF">
        <w:rPr>
          <w:lang w:val="sl-SI" w:eastAsia="en-GB"/>
        </w:rPr>
        <w:t>a</w:t>
      </w:r>
      <w:r w:rsidRPr="00D202DF">
        <w:rPr>
          <w:lang w:val="sl-SI" w:eastAsia="en-GB"/>
        </w:rPr>
        <w:t xml:space="preserve"> s potreb</w:t>
      </w:r>
      <w:r w:rsidR="00D202DF">
        <w:rPr>
          <w:lang w:val="sl-SI" w:eastAsia="en-GB"/>
        </w:rPr>
        <w:t>n</w:t>
      </w:r>
      <w:r w:rsidRPr="00D202DF">
        <w:rPr>
          <w:lang w:val="sl-SI" w:eastAsia="en-GB"/>
        </w:rPr>
        <w:t>o posodobitvi</w:t>
      </w:r>
      <w:r w:rsidR="00D202DF">
        <w:rPr>
          <w:lang w:val="sl-SI" w:eastAsia="en-GB"/>
        </w:rPr>
        <w:t>jo</w:t>
      </w:r>
      <w:r w:rsidRPr="00D202DF">
        <w:rPr>
          <w:lang w:val="sl-SI" w:eastAsia="en-GB"/>
        </w:rPr>
        <w:t xml:space="preserve"> PSHA. </w:t>
      </w:r>
      <w:r w:rsidR="00A443EF" w:rsidRPr="00D202DF">
        <w:rPr>
          <w:lang w:val="sl-SI" w:eastAsia="en-GB"/>
        </w:rPr>
        <w:t>T</w:t>
      </w:r>
      <w:r w:rsidRPr="00D202DF">
        <w:rPr>
          <w:lang w:val="sl-SI" w:eastAsia="en-GB"/>
        </w:rPr>
        <w:t xml:space="preserve">e </w:t>
      </w:r>
      <w:r w:rsidR="00A443EF" w:rsidRPr="00D202DF">
        <w:rPr>
          <w:lang w:val="sl-SI" w:eastAsia="en-GB"/>
        </w:rPr>
        <w:t xml:space="preserve">najdbe </w:t>
      </w:r>
      <w:r w:rsidRPr="00D202DF">
        <w:rPr>
          <w:lang w:val="sl-SI" w:eastAsia="en-GB"/>
        </w:rPr>
        <w:t>neposredno</w:t>
      </w:r>
      <w:r w:rsidRPr="00275FBD">
        <w:rPr>
          <w:lang w:val="sl-SI" w:eastAsia="en-GB"/>
        </w:rPr>
        <w:t xml:space="preserve"> </w:t>
      </w:r>
      <w:r w:rsidR="00CA6715" w:rsidRPr="00275FBD">
        <w:rPr>
          <w:lang w:val="sl-SI" w:eastAsia="en-GB"/>
        </w:rPr>
        <w:t xml:space="preserve">oziroma kvantitativno </w:t>
      </w:r>
      <w:r w:rsidR="00A443EF">
        <w:rPr>
          <w:lang w:val="sl-SI" w:eastAsia="en-GB"/>
        </w:rPr>
        <w:t xml:space="preserve">ne </w:t>
      </w:r>
      <w:r w:rsidRPr="00275FBD">
        <w:rPr>
          <w:lang w:val="sl-SI" w:eastAsia="en-GB"/>
        </w:rPr>
        <w:t>vpliva</w:t>
      </w:r>
      <w:r w:rsidR="00A443EF">
        <w:rPr>
          <w:lang w:val="sl-SI" w:eastAsia="en-GB"/>
        </w:rPr>
        <w:t>jo</w:t>
      </w:r>
      <w:r w:rsidRPr="00275FBD">
        <w:rPr>
          <w:lang w:val="sl-SI" w:eastAsia="en-GB"/>
        </w:rPr>
        <w:t xml:space="preserve"> na varnost </w:t>
      </w:r>
      <w:r w:rsidR="00A443EF">
        <w:rPr>
          <w:lang w:val="sl-SI" w:eastAsia="en-GB"/>
        </w:rPr>
        <w:t>elektrarne</w:t>
      </w:r>
      <w:r w:rsidRPr="00275FBD">
        <w:rPr>
          <w:lang w:val="sl-SI" w:eastAsia="en-GB"/>
        </w:rPr>
        <w:t>.</w:t>
      </w:r>
    </w:p>
    <w:p w14:paraId="79D76961" w14:textId="56F9ABA8" w:rsidR="008870DE" w:rsidRPr="00275FBD" w:rsidRDefault="00D202DF" w:rsidP="00CA6715">
      <w:pPr>
        <w:pStyle w:val="Odstavekseznama"/>
        <w:numPr>
          <w:ilvl w:val="1"/>
          <w:numId w:val="46"/>
        </w:numPr>
        <w:rPr>
          <w:rFonts w:cs="TimesNewRomanPSMT"/>
          <w:szCs w:val="20"/>
          <w:lang w:val="sl-SI" w:eastAsia="en-GB"/>
        </w:rPr>
      </w:pPr>
      <w:r>
        <w:rPr>
          <w:rFonts w:cs="TimesNewRomanPSMT"/>
          <w:szCs w:val="20"/>
          <w:lang w:val="sl-SI" w:eastAsia="en-GB"/>
        </w:rPr>
        <w:t>N</w:t>
      </w:r>
      <w:r w:rsidR="008870DE" w:rsidRPr="00275FBD">
        <w:rPr>
          <w:rFonts w:cs="TimesNewRomanPSMT"/>
          <w:szCs w:val="20"/>
          <w:lang w:val="sl-SI" w:eastAsia="en-GB"/>
        </w:rPr>
        <w:t>oben</w:t>
      </w:r>
      <w:r w:rsidR="00B43BB4">
        <w:rPr>
          <w:rFonts w:cs="TimesNewRomanPSMT"/>
          <w:szCs w:val="20"/>
          <w:lang w:val="sl-SI" w:eastAsia="en-GB"/>
        </w:rPr>
        <w:t>a</w:t>
      </w:r>
      <w:r w:rsidR="008870DE" w:rsidRPr="00275FBD">
        <w:rPr>
          <w:rFonts w:cs="TimesNewRomanPSMT"/>
          <w:szCs w:val="20"/>
          <w:lang w:val="sl-SI" w:eastAsia="en-GB"/>
        </w:rPr>
        <w:t xml:space="preserve"> od teh </w:t>
      </w:r>
      <w:r w:rsidR="00BD5705" w:rsidRPr="00275FBD">
        <w:rPr>
          <w:rFonts w:cs="TimesNewRomanPSMT"/>
          <w:szCs w:val="20"/>
          <w:lang w:val="sl-SI" w:eastAsia="en-GB"/>
        </w:rPr>
        <w:t xml:space="preserve">najdb </w:t>
      </w:r>
      <w:r w:rsidR="008870DE" w:rsidRPr="00275FBD">
        <w:rPr>
          <w:rFonts w:cs="TimesNewRomanPSMT"/>
          <w:szCs w:val="20"/>
          <w:lang w:val="sl-SI" w:eastAsia="en-GB"/>
        </w:rPr>
        <w:t xml:space="preserve">ne spremeni referenčnega statusa </w:t>
      </w:r>
      <w:r w:rsidR="00CA6715" w:rsidRPr="00275FBD">
        <w:rPr>
          <w:rFonts w:cs="TimesNewRomanPSMT"/>
          <w:szCs w:val="20"/>
          <w:lang w:val="sl-SI" w:eastAsia="en-GB"/>
        </w:rPr>
        <w:t>elektrarne</w:t>
      </w:r>
      <w:r w:rsidR="008870DE" w:rsidRPr="00275FBD">
        <w:rPr>
          <w:rFonts w:cs="TimesNewRomanPSMT"/>
          <w:szCs w:val="20"/>
          <w:lang w:val="sl-SI" w:eastAsia="en-GB"/>
        </w:rPr>
        <w:t xml:space="preserve">. </w:t>
      </w:r>
      <w:r w:rsidR="00910B6F" w:rsidRPr="00275FBD">
        <w:rPr>
          <w:rFonts w:cs="TimesNewRomanPSMT"/>
          <w:szCs w:val="20"/>
          <w:lang w:val="sl-SI" w:eastAsia="en-GB"/>
        </w:rPr>
        <w:t>Najdbe</w:t>
      </w:r>
      <w:r w:rsidR="008870DE" w:rsidRPr="00275FBD">
        <w:rPr>
          <w:rFonts w:cs="TimesNewRomanPSMT"/>
          <w:szCs w:val="20"/>
          <w:lang w:val="sl-SI" w:eastAsia="en-GB"/>
        </w:rPr>
        <w:t xml:space="preserve"> </w:t>
      </w:r>
      <w:r w:rsidR="00CA6715" w:rsidRPr="00275FBD">
        <w:rPr>
          <w:rFonts w:cs="TimesNewRomanPSMT"/>
          <w:szCs w:val="20"/>
          <w:lang w:val="sl-SI" w:eastAsia="en-GB"/>
        </w:rPr>
        <w:t xml:space="preserve">iz projekta </w:t>
      </w:r>
      <w:r w:rsidR="008870DE" w:rsidRPr="00275FBD">
        <w:rPr>
          <w:rFonts w:cs="TimesNewRomanPSMT"/>
          <w:szCs w:val="20"/>
          <w:lang w:val="sl-SI" w:eastAsia="en-GB"/>
        </w:rPr>
        <w:t>»pred</w:t>
      </w:r>
      <w:r w:rsidR="00CA6715" w:rsidRPr="00275FBD">
        <w:rPr>
          <w:rFonts w:cs="TimesNewRomanPSMT"/>
          <w:szCs w:val="20"/>
          <w:lang w:val="sl-SI" w:eastAsia="en-GB"/>
        </w:rPr>
        <w:t>-</w:t>
      </w:r>
      <w:r w:rsidR="008870DE" w:rsidRPr="00275FBD">
        <w:rPr>
          <w:rFonts w:cs="TimesNewRomanPSMT"/>
          <w:szCs w:val="20"/>
          <w:lang w:val="sl-SI" w:eastAsia="en-GB"/>
        </w:rPr>
        <w:t>SALTO« se nanašajo na potreb</w:t>
      </w:r>
      <w:r>
        <w:rPr>
          <w:rFonts w:cs="TimesNewRomanPSMT"/>
          <w:szCs w:val="20"/>
          <w:lang w:val="sl-SI" w:eastAsia="en-GB"/>
        </w:rPr>
        <w:t>n</w:t>
      </w:r>
      <w:r w:rsidR="008870DE" w:rsidRPr="00275FBD">
        <w:rPr>
          <w:rFonts w:cs="TimesNewRomanPSMT"/>
          <w:szCs w:val="20"/>
          <w:lang w:val="sl-SI" w:eastAsia="en-GB"/>
        </w:rPr>
        <w:t>o konsolidacij</w:t>
      </w:r>
      <w:r>
        <w:rPr>
          <w:rFonts w:cs="TimesNewRomanPSMT"/>
          <w:szCs w:val="20"/>
          <w:lang w:val="sl-SI" w:eastAsia="en-GB"/>
        </w:rPr>
        <w:t>o</w:t>
      </w:r>
      <w:r w:rsidR="008870DE" w:rsidRPr="00275FBD">
        <w:rPr>
          <w:rFonts w:cs="TimesNewRomanPSMT"/>
          <w:szCs w:val="20"/>
          <w:lang w:val="sl-SI" w:eastAsia="en-GB"/>
        </w:rPr>
        <w:t xml:space="preserve"> obvladovanja težav, ki se lahko pojavijo v prihodnosti in </w:t>
      </w:r>
      <w:r>
        <w:rPr>
          <w:rFonts w:cs="TimesNewRomanPSMT"/>
          <w:szCs w:val="20"/>
          <w:lang w:val="sl-SI" w:eastAsia="en-GB"/>
        </w:rPr>
        <w:t xml:space="preserve">lahko </w:t>
      </w:r>
      <w:r w:rsidR="008870DE" w:rsidRPr="00275FBD">
        <w:rPr>
          <w:rFonts w:cs="TimesNewRomanPSMT"/>
          <w:szCs w:val="20"/>
          <w:lang w:val="sl-SI" w:eastAsia="en-GB"/>
        </w:rPr>
        <w:t xml:space="preserve">vplivajo na dolgoročno </w:t>
      </w:r>
      <w:r w:rsidR="00CA6715" w:rsidRPr="00275FBD">
        <w:rPr>
          <w:rFonts w:cs="TimesNewRomanPSMT"/>
          <w:szCs w:val="20"/>
          <w:lang w:val="sl-SI" w:eastAsia="en-GB"/>
        </w:rPr>
        <w:t>obratovanje</w:t>
      </w:r>
      <w:r w:rsidR="008870DE" w:rsidRPr="00275FBD">
        <w:rPr>
          <w:rFonts w:cs="TimesNewRomanPSMT"/>
          <w:szCs w:val="20"/>
          <w:lang w:val="sl-SI" w:eastAsia="en-GB"/>
        </w:rPr>
        <w:t xml:space="preserve">. </w:t>
      </w:r>
      <w:r w:rsidR="00910B6F" w:rsidRPr="00275FBD">
        <w:rPr>
          <w:rFonts w:cs="TimesNewRomanPSMT"/>
          <w:szCs w:val="20"/>
          <w:lang w:val="sl-SI" w:eastAsia="en-GB"/>
        </w:rPr>
        <w:t>Najdb</w:t>
      </w:r>
      <w:r>
        <w:rPr>
          <w:rFonts w:cs="TimesNewRomanPSMT"/>
          <w:szCs w:val="20"/>
          <w:lang w:val="sl-SI" w:eastAsia="en-GB"/>
        </w:rPr>
        <w:t>a</w:t>
      </w:r>
      <w:r w:rsidR="008870DE" w:rsidRPr="00275FBD">
        <w:rPr>
          <w:rFonts w:cs="TimesNewRomanPSMT"/>
          <w:szCs w:val="20"/>
          <w:lang w:val="sl-SI" w:eastAsia="en-GB"/>
        </w:rPr>
        <w:t xml:space="preserve"> za posodobitev PSHA </w:t>
      </w:r>
      <w:r w:rsidR="00B43BB4">
        <w:rPr>
          <w:rFonts w:cs="TimesNewRomanPSMT"/>
          <w:szCs w:val="20"/>
          <w:lang w:val="sl-SI" w:eastAsia="en-GB"/>
        </w:rPr>
        <w:t>je</w:t>
      </w:r>
      <w:r w:rsidR="008870DE" w:rsidRPr="00275FBD">
        <w:rPr>
          <w:rFonts w:cs="TimesNewRomanPSMT"/>
          <w:szCs w:val="20"/>
          <w:lang w:val="sl-SI" w:eastAsia="en-GB"/>
        </w:rPr>
        <w:t xml:space="preserve"> </w:t>
      </w:r>
      <w:r w:rsidR="00CA6715" w:rsidRPr="00275FBD">
        <w:rPr>
          <w:rFonts w:cs="TimesNewRomanPSMT"/>
          <w:szCs w:val="20"/>
          <w:lang w:val="sl-SI" w:eastAsia="en-GB"/>
        </w:rPr>
        <w:t>povezana</w:t>
      </w:r>
      <w:r w:rsidR="008870DE" w:rsidRPr="00275FBD">
        <w:rPr>
          <w:rFonts w:cs="TimesNewRomanPSMT"/>
          <w:szCs w:val="20"/>
          <w:lang w:val="sl-SI" w:eastAsia="en-GB"/>
        </w:rPr>
        <w:t xml:space="preserve"> </w:t>
      </w:r>
      <w:r w:rsidR="00CA6715" w:rsidRPr="00275FBD">
        <w:rPr>
          <w:rFonts w:cs="TimesNewRomanPSMT"/>
          <w:szCs w:val="20"/>
          <w:lang w:val="sl-SI" w:eastAsia="en-GB"/>
        </w:rPr>
        <w:t xml:space="preserve">s </w:t>
      </w:r>
      <w:r w:rsidR="008870DE" w:rsidRPr="00275FBD">
        <w:rPr>
          <w:rFonts w:cs="TimesNewRomanPSMT"/>
          <w:szCs w:val="20"/>
          <w:lang w:val="sl-SI" w:eastAsia="en-GB"/>
        </w:rPr>
        <w:t>stanj</w:t>
      </w:r>
      <w:r w:rsidR="00CA6715" w:rsidRPr="00275FBD">
        <w:rPr>
          <w:rFonts w:cs="TimesNewRomanPSMT"/>
          <w:szCs w:val="20"/>
          <w:lang w:val="sl-SI" w:eastAsia="en-GB"/>
        </w:rPr>
        <w:t>em</w:t>
      </w:r>
      <w:r w:rsidR="008870DE" w:rsidRPr="00275FBD">
        <w:rPr>
          <w:rFonts w:cs="TimesNewRomanPSMT"/>
          <w:szCs w:val="20"/>
          <w:lang w:val="sl-SI" w:eastAsia="en-GB"/>
        </w:rPr>
        <w:t xml:space="preserve"> znanja. Ko bodo znani rezultati posodobitve, bo</w:t>
      </w:r>
      <w:r>
        <w:rPr>
          <w:rFonts w:cs="TimesNewRomanPSMT"/>
          <w:szCs w:val="20"/>
          <w:lang w:val="sl-SI" w:eastAsia="en-GB"/>
        </w:rPr>
        <w:t xml:space="preserve"> PSHA </w:t>
      </w:r>
      <w:r w:rsidR="00CA6715" w:rsidRPr="00275FBD">
        <w:rPr>
          <w:rFonts w:cs="TimesNewRomanPSMT"/>
          <w:szCs w:val="20"/>
          <w:lang w:val="sl-SI" w:eastAsia="en-GB"/>
        </w:rPr>
        <w:t>do</w:t>
      </w:r>
      <w:r>
        <w:rPr>
          <w:rFonts w:cs="TimesNewRomanPSMT"/>
          <w:szCs w:val="20"/>
          <w:lang w:val="sl-SI" w:eastAsia="en-GB"/>
        </w:rPr>
        <w:t>polnjena</w:t>
      </w:r>
      <w:r w:rsidR="008870DE" w:rsidRPr="00275FBD">
        <w:rPr>
          <w:rFonts w:cs="TimesNewRomanPSMT"/>
          <w:szCs w:val="20"/>
          <w:lang w:val="sl-SI" w:eastAsia="en-GB"/>
        </w:rPr>
        <w:t>.</w:t>
      </w:r>
    </w:p>
    <w:p w14:paraId="5311829D" w14:textId="0B3FA483" w:rsidR="00CA6715" w:rsidRPr="00275FBD" w:rsidRDefault="00CA6715" w:rsidP="00CA6715">
      <w:pPr>
        <w:rPr>
          <w:rFonts w:cs="TimesNewRomanPSMT"/>
          <w:szCs w:val="20"/>
          <w:lang w:val="sl-SI" w:eastAsia="en-GB"/>
        </w:rPr>
      </w:pPr>
      <w:r w:rsidRPr="00275FBD">
        <w:rPr>
          <w:rFonts w:cs="TimesNewRomanPSMT"/>
          <w:szCs w:val="20"/>
          <w:lang w:val="sl-SI" w:eastAsia="en-GB"/>
        </w:rPr>
        <w:t xml:space="preserve">Za zgoraj obravnavani »inventar« </w:t>
      </w:r>
      <w:r w:rsidR="00BD5705" w:rsidRPr="00275FBD">
        <w:rPr>
          <w:rFonts w:cs="TimesNewRomanPSMT"/>
          <w:szCs w:val="20"/>
          <w:lang w:val="sl-SI" w:eastAsia="en-GB"/>
        </w:rPr>
        <w:t xml:space="preserve">najdb </w:t>
      </w:r>
      <w:r w:rsidRPr="00275FBD">
        <w:rPr>
          <w:rFonts w:cs="TimesNewRomanPSMT"/>
          <w:szCs w:val="20"/>
          <w:lang w:val="sl-SI" w:eastAsia="en-GB"/>
        </w:rPr>
        <w:t>se lahko zaključi naslednje:</w:t>
      </w:r>
    </w:p>
    <w:p w14:paraId="61CC93AE" w14:textId="414EB546" w:rsidR="00CA6715" w:rsidRPr="00275FBD" w:rsidRDefault="00910B6F" w:rsidP="00CA6715">
      <w:pPr>
        <w:pStyle w:val="Odstavekseznama"/>
        <w:numPr>
          <w:ilvl w:val="0"/>
          <w:numId w:val="46"/>
        </w:numPr>
        <w:ind w:left="714" w:hanging="357"/>
        <w:contextualSpacing w:val="0"/>
        <w:rPr>
          <w:lang w:val="sl-SI" w:eastAsia="en-GB"/>
        </w:rPr>
      </w:pPr>
      <w:r w:rsidRPr="00275FBD">
        <w:rPr>
          <w:lang w:val="sl-SI" w:eastAsia="en-GB"/>
        </w:rPr>
        <w:t>Najdbe</w:t>
      </w:r>
      <w:r w:rsidR="00CA6715" w:rsidRPr="00275FBD">
        <w:rPr>
          <w:lang w:val="sl-SI" w:eastAsia="en-GB"/>
        </w:rPr>
        <w:t xml:space="preserve"> ne spreminjajo </w:t>
      </w:r>
      <w:r w:rsidR="00BA2081" w:rsidRPr="00275FBD">
        <w:rPr>
          <w:lang w:val="sl-SI" w:eastAsia="en-GB"/>
        </w:rPr>
        <w:t xml:space="preserve">tekočega </w:t>
      </w:r>
      <w:r w:rsidR="00CA6715" w:rsidRPr="00275FBD">
        <w:rPr>
          <w:lang w:val="sl-SI" w:eastAsia="en-GB"/>
        </w:rPr>
        <w:t xml:space="preserve">referenčnega </w:t>
      </w:r>
      <w:r w:rsidR="00BA2081" w:rsidRPr="00275FBD">
        <w:rPr>
          <w:lang w:val="sl-SI" w:eastAsia="en-GB"/>
        </w:rPr>
        <w:t>statusa elektrarne</w:t>
      </w:r>
      <w:r w:rsidR="00CA6715" w:rsidRPr="00275FBD">
        <w:rPr>
          <w:lang w:val="sl-SI" w:eastAsia="en-GB"/>
        </w:rPr>
        <w:t xml:space="preserve"> niti </w:t>
      </w:r>
      <w:r w:rsidR="00BA2081" w:rsidRPr="00275FBD">
        <w:rPr>
          <w:lang w:val="sl-SI" w:eastAsia="en-GB"/>
        </w:rPr>
        <w:t>s</w:t>
      </w:r>
      <w:r w:rsidR="00CA6715" w:rsidRPr="00275FBD">
        <w:rPr>
          <w:lang w:val="sl-SI" w:eastAsia="en-GB"/>
        </w:rPr>
        <w:t xml:space="preserve"> </w:t>
      </w:r>
      <w:r w:rsidR="00BA2081" w:rsidRPr="00275FBD">
        <w:rPr>
          <w:lang w:val="sl-SI" w:eastAsia="en-GB"/>
        </w:rPr>
        <w:t>posameznim</w:t>
      </w:r>
      <w:r w:rsidR="00CA6715" w:rsidRPr="00275FBD">
        <w:rPr>
          <w:lang w:val="sl-SI" w:eastAsia="en-GB"/>
        </w:rPr>
        <w:t xml:space="preserve"> niti s kumulativnim vplivom. </w:t>
      </w:r>
      <w:r w:rsidR="00D202DF">
        <w:rPr>
          <w:lang w:val="sl-SI" w:eastAsia="en-GB"/>
        </w:rPr>
        <w:t>M</w:t>
      </w:r>
      <w:r w:rsidR="00CA6715" w:rsidRPr="00275FBD">
        <w:rPr>
          <w:lang w:val="sl-SI" w:eastAsia="en-GB"/>
        </w:rPr>
        <w:t xml:space="preserve">ed postopkom razvrščanja in ocenjevanja </w:t>
      </w:r>
      <w:r w:rsidR="00D202DF">
        <w:rPr>
          <w:lang w:val="sl-SI" w:eastAsia="en-GB"/>
        </w:rPr>
        <w:t>najdb so bil</w:t>
      </w:r>
      <w:r w:rsidR="00AF0934">
        <w:rPr>
          <w:lang w:val="sl-SI" w:eastAsia="en-GB"/>
        </w:rPr>
        <w:t>e</w:t>
      </w:r>
      <w:r w:rsidR="00D202DF">
        <w:rPr>
          <w:lang w:val="sl-SI" w:eastAsia="en-GB"/>
        </w:rPr>
        <w:t xml:space="preserve"> </w:t>
      </w:r>
      <w:r w:rsidR="00CA6715" w:rsidRPr="00275FBD">
        <w:rPr>
          <w:lang w:val="sl-SI" w:eastAsia="en-GB"/>
        </w:rPr>
        <w:t>upoštevan</w:t>
      </w:r>
      <w:r w:rsidR="00AF0934">
        <w:rPr>
          <w:lang w:val="sl-SI" w:eastAsia="en-GB"/>
        </w:rPr>
        <w:t>e</w:t>
      </w:r>
      <w:r w:rsidR="00CA6715" w:rsidRPr="00275FBD">
        <w:rPr>
          <w:lang w:val="sl-SI" w:eastAsia="en-GB"/>
        </w:rPr>
        <w:t xml:space="preserve"> možn</w:t>
      </w:r>
      <w:r w:rsidR="00AF0934">
        <w:rPr>
          <w:lang w:val="sl-SI" w:eastAsia="en-GB"/>
        </w:rPr>
        <w:t>e</w:t>
      </w:r>
      <w:r w:rsidR="00CA6715" w:rsidRPr="00275FBD">
        <w:rPr>
          <w:lang w:val="sl-SI" w:eastAsia="en-GB"/>
        </w:rPr>
        <w:t xml:space="preserve"> </w:t>
      </w:r>
      <w:r w:rsidR="008335E8">
        <w:rPr>
          <w:lang w:val="sl-SI" w:eastAsia="en-GB"/>
        </w:rPr>
        <w:t>povezav</w:t>
      </w:r>
      <w:r w:rsidR="00AF0934">
        <w:rPr>
          <w:lang w:val="sl-SI" w:eastAsia="en-GB"/>
        </w:rPr>
        <w:t>e</w:t>
      </w:r>
      <w:r w:rsidR="00CA6715" w:rsidRPr="00275FBD">
        <w:rPr>
          <w:lang w:val="sl-SI" w:eastAsia="en-GB"/>
        </w:rPr>
        <w:t xml:space="preserve"> in kumulativni učinki</w:t>
      </w:r>
      <w:r w:rsidR="00D202DF">
        <w:rPr>
          <w:lang w:val="sl-SI" w:eastAsia="en-GB"/>
        </w:rPr>
        <w:t xml:space="preserve"> najdb</w:t>
      </w:r>
      <w:r w:rsidR="00BD5705" w:rsidRPr="00275FBD">
        <w:rPr>
          <w:lang w:val="sl-SI" w:eastAsia="en-GB"/>
        </w:rPr>
        <w:t>.</w:t>
      </w:r>
    </w:p>
    <w:p w14:paraId="004A6177" w14:textId="1FE2BC71" w:rsidR="00CA6715" w:rsidRPr="00275FBD" w:rsidRDefault="00CA6715" w:rsidP="00CA6715">
      <w:pPr>
        <w:pStyle w:val="Odstavekseznama"/>
        <w:numPr>
          <w:ilvl w:val="0"/>
          <w:numId w:val="46"/>
        </w:numPr>
        <w:ind w:left="714" w:hanging="357"/>
        <w:contextualSpacing w:val="0"/>
        <w:rPr>
          <w:lang w:val="sl-SI" w:eastAsia="en-GB"/>
        </w:rPr>
      </w:pPr>
      <w:r w:rsidRPr="00275FBD">
        <w:rPr>
          <w:lang w:val="sl-SI" w:eastAsia="en-GB"/>
        </w:rPr>
        <w:lastRenderedPageBreak/>
        <w:t xml:space="preserve">Osebje </w:t>
      </w:r>
      <w:r w:rsidR="00BA2081" w:rsidRPr="00275FBD">
        <w:rPr>
          <w:lang w:val="sl-SI" w:eastAsia="en-GB"/>
        </w:rPr>
        <w:t>elektrarne</w:t>
      </w:r>
      <w:r w:rsidRPr="00275FBD">
        <w:rPr>
          <w:lang w:val="sl-SI" w:eastAsia="en-GB"/>
        </w:rPr>
        <w:t xml:space="preserve"> je seznanjeno z vsemi </w:t>
      </w:r>
      <w:r w:rsidR="00B47200" w:rsidRPr="00275FBD">
        <w:rPr>
          <w:lang w:val="sl-SI" w:eastAsia="en-GB"/>
        </w:rPr>
        <w:t>najdbami</w:t>
      </w:r>
      <w:r w:rsidRPr="00275FBD">
        <w:rPr>
          <w:lang w:val="sl-SI" w:eastAsia="en-GB"/>
        </w:rPr>
        <w:t xml:space="preserve"> in reševanje je v načrtu ali že poteka. </w:t>
      </w:r>
      <w:r w:rsidR="00DD77E6">
        <w:rPr>
          <w:lang w:val="sl-SI" w:eastAsia="en-GB"/>
        </w:rPr>
        <w:t>Z</w:t>
      </w:r>
      <w:r w:rsidRPr="00275FBD">
        <w:rPr>
          <w:lang w:val="sl-SI" w:eastAsia="en-GB"/>
        </w:rPr>
        <w:t xml:space="preserve">a </w:t>
      </w:r>
      <w:r w:rsidR="00910B6F" w:rsidRPr="00275FBD">
        <w:rPr>
          <w:lang w:val="sl-SI" w:eastAsia="en-GB"/>
        </w:rPr>
        <w:t xml:space="preserve">najdbe </w:t>
      </w:r>
      <w:r w:rsidRPr="00275FBD">
        <w:rPr>
          <w:lang w:val="sl-SI" w:eastAsia="en-GB"/>
        </w:rPr>
        <w:t>v zvezi z opazovanj</w:t>
      </w:r>
      <w:r w:rsidR="00DD77E6">
        <w:rPr>
          <w:lang w:val="sl-SI" w:eastAsia="en-GB"/>
        </w:rPr>
        <w:t>em</w:t>
      </w:r>
      <w:r w:rsidRPr="00275FBD">
        <w:rPr>
          <w:lang w:val="sl-SI" w:eastAsia="en-GB"/>
        </w:rPr>
        <w:t xml:space="preserve"> dejansk</w:t>
      </w:r>
      <w:r w:rsidR="00BA2081" w:rsidRPr="00275FBD">
        <w:rPr>
          <w:lang w:val="sl-SI" w:eastAsia="en-GB"/>
        </w:rPr>
        <w:t>ega</w:t>
      </w:r>
      <w:r w:rsidRPr="00275FBD">
        <w:rPr>
          <w:lang w:val="sl-SI" w:eastAsia="en-GB"/>
        </w:rPr>
        <w:t xml:space="preserve"> </w:t>
      </w:r>
      <w:r w:rsidR="00BA2081" w:rsidRPr="00275FBD">
        <w:rPr>
          <w:lang w:val="sl-SI" w:eastAsia="en-GB"/>
        </w:rPr>
        <w:t>stanja elektrarne</w:t>
      </w:r>
      <w:r w:rsidRPr="00275FBD">
        <w:rPr>
          <w:lang w:val="sl-SI" w:eastAsia="en-GB"/>
        </w:rPr>
        <w:t xml:space="preserve">, vključno z indikacijami staranja v </w:t>
      </w:r>
      <w:r w:rsidR="00BA2081" w:rsidRPr="00275FBD">
        <w:rPr>
          <w:lang w:val="sl-SI" w:eastAsia="en-GB"/>
        </w:rPr>
        <w:t>zgradbah in</w:t>
      </w:r>
      <w:r w:rsidRPr="00275FBD">
        <w:rPr>
          <w:lang w:val="sl-SI" w:eastAsia="en-GB"/>
        </w:rPr>
        <w:t xml:space="preserve"> strukturah in </w:t>
      </w:r>
      <w:r w:rsidR="00BA2081" w:rsidRPr="00275FBD">
        <w:rPr>
          <w:lang w:val="sl-SI" w:eastAsia="en-GB"/>
        </w:rPr>
        <w:t xml:space="preserve">tlačno </w:t>
      </w:r>
      <w:r w:rsidRPr="00275FBD">
        <w:rPr>
          <w:lang w:val="sl-SI" w:eastAsia="en-GB"/>
        </w:rPr>
        <w:t xml:space="preserve">tesnostjo MCR, </w:t>
      </w:r>
      <w:r w:rsidR="00DD77E6">
        <w:rPr>
          <w:lang w:val="sl-SI" w:eastAsia="en-GB"/>
        </w:rPr>
        <w:t xml:space="preserve">se </w:t>
      </w:r>
      <w:r w:rsidRPr="00275FBD">
        <w:rPr>
          <w:lang w:val="sl-SI" w:eastAsia="en-GB"/>
        </w:rPr>
        <w:t xml:space="preserve">dejanske rešitve že </w:t>
      </w:r>
      <w:r w:rsidR="00DD77E6">
        <w:rPr>
          <w:lang w:val="sl-SI" w:eastAsia="en-GB"/>
        </w:rPr>
        <w:t>izvajajo</w:t>
      </w:r>
      <w:r w:rsidR="00DD77E6" w:rsidRPr="00275FBD">
        <w:rPr>
          <w:lang w:val="sl-SI" w:eastAsia="en-GB"/>
        </w:rPr>
        <w:t xml:space="preserve"> </w:t>
      </w:r>
      <w:r w:rsidRPr="00275FBD">
        <w:rPr>
          <w:lang w:val="sl-SI" w:eastAsia="en-GB"/>
        </w:rPr>
        <w:t xml:space="preserve">(tj. vključene </w:t>
      </w:r>
      <w:r w:rsidR="00BA2081" w:rsidRPr="00275FBD">
        <w:rPr>
          <w:lang w:val="sl-SI" w:eastAsia="en-GB"/>
        </w:rPr>
        <w:t xml:space="preserve">so </w:t>
      </w:r>
      <w:r w:rsidRPr="00275FBD">
        <w:rPr>
          <w:lang w:val="sl-SI" w:eastAsia="en-GB"/>
        </w:rPr>
        <w:t>v CAP). Te bodo v celoti rešene v časovnem okvir</w:t>
      </w:r>
      <w:r w:rsidR="00DD77E6">
        <w:rPr>
          <w:lang w:val="sl-SI" w:eastAsia="en-GB"/>
        </w:rPr>
        <w:t>j</w:t>
      </w:r>
      <w:r w:rsidRPr="00275FBD">
        <w:rPr>
          <w:lang w:val="sl-SI" w:eastAsia="en-GB"/>
        </w:rPr>
        <w:t xml:space="preserve">u, določenem v </w:t>
      </w:r>
      <w:r w:rsidR="00BA2081" w:rsidRPr="00275FBD">
        <w:rPr>
          <w:lang w:val="sl-SI" w:eastAsia="en-GB"/>
        </w:rPr>
        <w:t>Programu</w:t>
      </w:r>
      <w:r w:rsidRPr="00275FBD">
        <w:rPr>
          <w:lang w:val="sl-SI" w:eastAsia="en-GB"/>
        </w:rPr>
        <w:t xml:space="preserve"> PSR3.</w:t>
      </w:r>
    </w:p>
    <w:p w14:paraId="4089D13F" w14:textId="038D0624" w:rsidR="00CA6715" w:rsidRPr="00275FBD" w:rsidRDefault="00CA6715" w:rsidP="00CA6715">
      <w:pPr>
        <w:pStyle w:val="Odstavekseznama"/>
        <w:numPr>
          <w:ilvl w:val="0"/>
          <w:numId w:val="46"/>
        </w:numPr>
        <w:ind w:left="714" w:hanging="357"/>
        <w:contextualSpacing w:val="0"/>
        <w:rPr>
          <w:lang w:val="sl-SI" w:eastAsia="en-GB"/>
        </w:rPr>
      </w:pPr>
      <w:r w:rsidRPr="00275FBD">
        <w:rPr>
          <w:lang w:val="sl-SI" w:eastAsia="en-GB"/>
        </w:rPr>
        <w:t>Vs</w:t>
      </w:r>
      <w:r w:rsidR="00910B6F" w:rsidRPr="00275FBD">
        <w:rPr>
          <w:lang w:val="sl-SI" w:eastAsia="en-GB"/>
        </w:rPr>
        <w:t>e</w:t>
      </w:r>
      <w:r w:rsidRPr="00275FBD">
        <w:rPr>
          <w:lang w:val="sl-SI" w:eastAsia="en-GB"/>
        </w:rPr>
        <w:t xml:space="preserve"> zgornj</w:t>
      </w:r>
      <w:r w:rsidR="00910B6F" w:rsidRPr="00275FBD">
        <w:rPr>
          <w:lang w:val="sl-SI" w:eastAsia="en-GB"/>
        </w:rPr>
        <w:t>e</w:t>
      </w:r>
      <w:r w:rsidRPr="00275FBD">
        <w:rPr>
          <w:lang w:val="sl-SI" w:eastAsia="en-GB"/>
        </w:rPr>
        <w:t xml:space="preserve"> </w:t>
      </w:r>
      <w:r w:rsidR="00910B6F" w:rsidRPr="00275FBD">
        <w:rPr>
          <w:lang w:val="sl-SI" w:eastAsia="en-GB"/>
        </w:rPr>
        <w:t xml:space="preserve">najdbe </w:t>
      </w:r>
      <w:r w:rsidRPr="00275FBD">
        <w:rPr>
          <w:lang w:val="sl-SI" w:eastAsia="en-GB"/>
        </w:rPr>
        <w:t>bodo vključen</w:t>
      </w:r>
      <w:r w:rsidR="00C23D4B">
        <w:rPr>
          <w:lang w:val="sl-SI" w:eastAsia="en-GB"/>
        </w:rPr>
        <w:t>e</w:t>
      </w:r>
      <w:r w:rsidRPr="00275FBD">
        <w:rPr>
          <w:lang w:val="sl-SI" w:eastAsia="en-GB"/>
        </w:rPr>
        <w:t xml:space="preserve"> v PSR3 IAP (v skladu </w:t>
      </w:r>
      <w:r w:rsidR="00DD77E6">
        <w:rPr>
          <w:lang w:val="sl-SI" w:eastAsia="en-GB"/>
        </w:rPr>
        <w:t>z merili</w:t>
      </w:r>
      <w:r w:rsidRPr="00275FBD">
        <w:rPr>
          <w:lang w:val="sl-SI" w:eastAsia="en-GB"/>
        </w:rPr>
        <w:t xml:space="preserve"> za neposredno vključitev </w:t>
      </w:r>
      <w:r w:rsidR="00DD77E6">
        <w:rPr>
          <w:lang w:val="sl-SI" w:eastAsia="en-GB"/>
        </w:rPr>
        <w:t>po</w:t>
      </w:r>
      <w:r w:rsidR="00DD77E6" w:rsidRPr="00275FBD">
        <w:rPr>
          <w:lang w:val="sl-SI" w:eastAsia="en-GB"/>
        </w:rPr>
        <w:t xml:space="preserve"> </w:t>
      </w:r>
      <w:r w:rsidR="00DD77E6">
        <w:rPr>
          <w:lang w:val="sl-SI" w:eastAsia="en-GB"/>
        </w:rPr>
        <w:t>p</w:t>
      </w:r>
      <w:r w:rsidRPr="00275FBD">
        <w:rPr>
          <w:lang w:val="sl-SI" w:eastAsia="en-GB"/>
        </w:rPr>
        <w:t>rogram</w:t>
      </w:r>
      <w:r w:rsidR="00DD77E6">
        <w:rPr>
          <w:lang w:val="sl-SI" w:eastAsia="en-GB"/>
        </w:rPr>
        <w:t xml:space="preserve">u </w:t>
      </w:r>
      <w:r w:rsidRPr="00275FBD">
        <w:rPr>
          <w:lang w:val="sl-SI" w:eastAsia="en-GB"/>
        </w:rPr>
        <w:t>PSR3). PSR3 IAP</w:t>
      </w:r>
      <w:r w:rsidR="00DD77E6">
        <w:rPr>
          <w:lang w:val="sl-SI" w:eastAsia="en-GB"/>
        </w:rPr>
        <w:t xml:space="preserve"> (</w:t>
      </w:r>
      <w:r w:rsidRPr="00275FBD">
        <w:rPr>
          <w:lang w:val="sl-SI" w:eastAsia="en-GB"/>
        </w:rPr>
        <w:t xml:space="preserve">naslednje </w:t>
      </w:r>
      <w:r w:rsidR="00DD77E6">
        <w:rPr>
          <w:lang w:val="sl-SI" w:eastAsia="en-GB"/>
        </w:rPr>
        <w:t>poglavje)</w:t>
      </w:r>
      <w:r w:rsidRPr="00275FBD">
        <w:rPr>
          <w:lang w:val="sl-SI" w:eastAsia="en-GB"/>
        </w:rPr>
        <w:t xml:space="preserve"> bo zagotovil </w:t>
      </w:r>
      <w:r w:rsidR="00BA2081" w:rsidRPr="00275FBD">
        <w:rPr>
          <w:lang w:val="sl-SI" w:eastAsia="en-GB"/>
        </w:rPr>
        <w:t>osnove</w:t>
      </w:r>
      <w:r w:rsidRPr="00275FBD">
        <w:rPr>
          <w:lang w:val="sl-SI" w:eastAsia="en-GB"/>
        </w:rPr>
        <w:t xml:space="preserve"> za spremljanje njihovega stanja in razrešitev.</w:t>
      </w:r>
    </w:p>
    <w:p w14:paraId="1E3C17ED" w14:textId="41973BF0" w:rsidR="00CA6715" w:rsidRPr="00275FBD" w:rsidRDefault="00CA6715" w:rsidP="00CA6715">
      <w:pPr>
        <w:pStyle w:val="Odstavekseznama"/>
        <w:numPr>
          <w:ilvl w:val="0"/>
          <w:numId w:val="46"/>
        </w:numPr>
        <w:ind w:left="714" w:hanging="357"/>
        <w:contextualSpacing w:val="0"/>
        <w:rPr>
          <w:lang w:val="sl-SI" w:eastAsia="en-GB"/>
        </w:rPr>
      </w:pPr>
      <w:r w:rsidRPr="00275FBD">
        <w:rPr>
          <w:lang w:val="sl-SI" w:eastAsia="en-GB"/>
        </w:rPr>
        <w:t xml:space="preserve">Na podlagi navedenega se </w:t>
      </w:r>
      <w:r w:rsidR="00BA2081" w:rsidRPr="00275FBD">
        <w:rPr>
          <w:lang w:val="sl-SI" w:eastAsia="en-GB"/>
        </w:rPr>
        <w:t>smatra</w:t>
      </w:r>
      <w:r w:rsidRPr="00275FBD">
        <w:rPr>
          <w:lang w:val="sl-SI" w:eastAsia="en-GB"/>
        </w:rPr>
        <w:t xml:space="preserve">, da lahko </w:t>
      </w:r>
      <w:r w:rsidR="00BA2081" w:rsidRPr="00275FBD">
        <w:rPr>
          <w:lang w:val="sl-SI" w:eastAsia="en-GB"/>
        </w:rPr>
        <w:t>elektrarna</w:t>
      </w:r>
      <w:r w:rsidRPr="00275FBD">
        <w:rPr>
          <w:lang w:val="sl-SI" w:eastAsia="en-GB"/>
        </w:rPr>
        <w:t xml:space="preserve"> varno obratuje najmanj do naslednjega </w:t>
      </w:r>
      <w:r w:rsidR="00CD63FA">
        <w:rPr>
          <w:lang w:val="sl-SI"/>
        </w:rPr>
        <w:t>občasnega</w:t>
      </w:r>
      <w:r w:rsidRPr="00275FBD">
        <w:rPr>
          <w:lang w:val="sl-SI" w:eastAsia="en-GB"/>
        </w:rPr>
        <w:t xml:space="preserve"> varnostnega pregleda.</w:t>
      </w:r>
    </w:p>
    <w:p w14:paraId="2666F9B8" w14:textId="3718BCC1" w:rsidR="00701066" w:rsidRPr="00275FBD" w:rsidRDefault="00701066" w:rsidP="00701066">
      <w:pPr>
        <w:rPr>
          <w:rFonts w:cs="TimesNewRomanPSMT"/>
          <w:szCs w:val="20"/>
          <w:lang w:val="sl-SI" w:eastAsia="en-GB"/>
        </w:rPr>
      </w:pPr>
      <w:r w:rsidRPr="00275FBD">
        <w:rPr>
          <w:rFonts w:cs="TimesNewRomanPSMT"/>
          <w:szCs w:val="20"/>
          <w:lang w:val="sl-SI" w:eastAsia="en-GB"/>
        </w:rPr>
        <w:t>Za vs</w:t>
      </w:r>
      <w:r w:rsidR="00910B6F" w:rsidRPr="00275FBD">
        <w:rPr>
          <w:rFonts w:cs="TimesNewRomanPSMT"/>
          <w:szCs w:val="20"/>
          <w:lang w:val="sl-SI" w:eastAsia="en-GB"/>
        </w:rPr>
        <w:t>e</w:t>
      </w:r>
      <w:r w:rsidRPr="00275FBD">
        <w:rPr>
          <w:rFonts w:cs="TimesNewRomanPSMT"/>
          <w:szCs w:val="20"/>
          <w:lang w:val="sl-SI" w:eastAsia="en-GB"/>
        </w:rPr>
        <w:t xml:space="preserve"> drug</w:t>
      </w:r>
      <w:r w:rsidR="00910B6F" w:rsidRPr="00275FBD">
        <w:rPr>
          <w:rFonts w:cs="TimesNewRomanPSMT"/>
          <w:szCs w:val="20"/>
          <w:lang w:val="sl-SI" w:eastAsia="en-GB"/>
        </w:rPr>
        <w:t>e</w:t>
      </w:r>
      <w:r w:rsidRPr="00275FBD">
        <w:rPr>
          <w:rFonts w:cs="TimesNewRomanPSMT"/>
          <w:szCs w:val="20"/>
          <w:lang w:val="sl-SI" w:eastAsia="en-GB"/>
        </w:rPr>
        <w:t xml:space="preserve"> </w:t>
      </w:r>
      <w:r w:rsidR="00910B6F" w:rsidRPr="00275FBD">
        <w:rPr>
          <w:rFonts w:cs="TimesNewRomanPSMT"/>
          <w:szCs w:val="20"/>
          <w:lang w:val="sl-SI" w:eastAsia="en-GB"/>
        </w:rPr>
        <w:t xml:space="preserve">najdbe </w:t>
      </w:r>
      <w:r w:rsidRPr="00275FBD">
        <w:rPr>
          <w:rFonts w:cs="TimesNewRomanPSMT"/>
          <w:szCs w:val="20"/>
          <w:lang w:val="sl-SI" w:eastAsia="en-GB"/>
        </w:rPr>
        <w:t xml:space="preserve">je bilo ugotovljeno, da so bodisi </w:t>
      </w:r>
      <w:r w:rsidR="00910B6F" w:rsidRPr="00275FBD">
        <w:rPr>
          <w:rFonts w:cs="TimesNewRomanPSMT"/>
          <w:szCs w:val="20"/>
          <w:lang w:val="sl-SI" w:eastAsia="en-GB"/>
        </w:rPr>
        <w:t xml:space="preserve">najdbe </w:t>
      </w:r>
      <w:r w:rsidRPr="00275FBD">
        <w:rPr>
          <w:rFonts w:cs="TimesNewRomanPSMT"/>
          <w:szCs w:val="20"/>
          <w:lang w:val="sl-SI" w:eastAsia="en-GB"/>
        </w:rPr>
        <w:t xml:space="preserve">z nizko pomembnostjo brez </w:t>
      </w:r>
      <w:r w:rsidR="00207727">
        <w:rPr>
          <w:rFonts w:cs="TimesNewRomanPSMT"/>
          <w:szCs w:val="20"/>
          <w:lang w:val="sl-SI" w:eastAsia="en-GB"/>
        </w:rPr>
        <w:t>neposredne povezave</w:t>
      </w:r>
      <w:r w:rsidR="00207727" w:rsidRPr="00275FBD">
        <w:rPr>
          <w:rFonts w:cs="TimesNewRomanPSMT"/>
          <w:szCs w:val="20"/>
          <w:lang w:val="sl-SI" w:eastAsia="en-GB"/>
        </w:rPr>
        <w:t xml:space="preserve"> </w:t>
      </w:r>
      <w:r w:rsidRPr="00275FBD">
        <w:rPr>
          <w:rFonts w:cs="TimesNewRomanPSMT"/>
          <w:szCs w:val="20"/>
          <w:lang w:val="sl-SI" w:eastAsia="en-GB"/>
        </w:rPr>
        <w:t xml:space="preserve">s sodobnimi standardi ali </w:t>
      </w:r>
      <w:r w:rsidR="00910B6F" w:rsidRPr="00275FBD">
        <w:rPr>
          <w:rFonts w:cs="TimesNewRomanPSMT"/>
          <w:szCs w:val="20"/>
          <w:lang w:val="sl-SI" w:eastAsia="en-GB"/>
        </w:rPr>
        <w:t>najdbe</w:t>
      </w:r>
      <w:r w:rsidR="00882E76">
        <w:rPr>
          <w:rFonts w:cs="TimesNewRomanPSMT"/>
          <w:szCs w:val="20"/>
          <w:lang w:val="sl-SI" w:eastAsia="en-GB"/>
        </w:rPr>
        <w:t>,</w:t>
      </w:r>
      <w:r w:rsidR="00910B6F" w:rsidRPr="00275FBD">
        <w:rPr>
          <w:rFonts w:cs="TimesNewRomanPSMT"/>
          <w:szCs w:val="20"/>
          <w:lang w:val="sl-SI" w:eastAsia="en-GB"/>
        </w:rPr>
        <w:t xml:space="preserve"> </w:t>
      </w:r>
      <w:r w:rsidR="00A7693C">
        <w:rPr>
          <w:rFonts w:cs="TimesNewRomanPSMT"/>
          <w:szCs w:val="20"/>
          <w:lang w:val="sl-SI" w:eastAsia="en-GB"/>
        </w:rPr>
        <w:t>izved</w:t>
      </w:r>
      <w:r w:rsidR="00435AD7">
        <w:rPr>
          <w:rFonts w:cs="TimesNewRomanPSMT"/>
          <w:szCs w:val="20"/>
          <w:lang w:val="sl-SI" w:eastAsia="en-GB"/>
        </w:rPr>
        <w:t xml:space="preserve">ljive </w:t>
      </w:r>
      <w:r w:rsidRPr="00275FBD">
        <w:rPr>
          <w:rFonts w:cs="TimesNewRomanPSMT"/>
          <w:szCs w:val="20"/>
          <w:lang w:val="sl-SI" w:eastAsia="en-GB"/>
        </w:rPr>
        <w:t>z "</w:t>
      </w:r>
      <w:r w:rsidR="00435AD7">
        <w:rPr>
          <w:rFonts w:cs="TimesNewRomanPSMT"/>
          <w:szCs w:val="20"/>
          <w:lang w:val="sl-SI" w:eastAsia="en-GB"/>
        </w:rPr>
        <w:t>majhn</w:t>
      </w:r>
      <w:r w:rsidR="00435AD7" w:rsidRPr="00275FBD">
        <w:rPr>
          <w:rFonts w:cs="TimesNewRomanPSMT"/>
          <w:szCs w:val="20"/>
          <w:lang w:val="sl-SI" w:eastAsia="en-GB"/>
        </w:rPr>
        <w:t xml:space="preserve">im </w:t>
      </w:r>
      <w:r w:rsidRPr="00275FBD">
        <w:rPr>
          <w:rFonts w:cs="TimesNewRomanPSMT"/>
          <w:szCs w:val="20"/>
          <w:lang w:val="sl-SI" w:eastAsia="en-GB"/>
        </w:rPr>
        <w:t>naporom".</w:t>
      </w:r>
    </w:p>
    <w:p w14:paraId="5786BEEA" w14:textId="4439B1FA" w:rsidR="00701066" w:rsidRPr="00275FBD" w:rsidRDefault="00701066" w:rsidP="00701066">
      <w:pPr>
        <w:rPr>
          <w:rFonts w:cs="TimesNewRomanPSMT"/>
          <w:szCs w:val="20"/>
          <w:lang w:val="sl-SI" w:eastAsia="en-GB"/>
        </w:rPr>
      </w:pPr>
      <w:r w:rsidRPr="00275FBD">
        <w:rPr>
          <w:rFonts w:cs="TimesNewRomanPSMT"/>
          <w:szCs w:val="20"/>
          <w:lang w:val="sl-SI" w:eastAsia="en-GB"/>
        </w:rPr>
        <w:t>Nekater</w:t>
      </w:r>
      <w:r w:rsidR="00910B6F" w:rsidRPr="00275FBD">
        <w:rPr>
          <w:rFonts w:cs="TimesNewRomanPSMT"/>
          <w:szCs w:val="20"/>
          <w:lang w:val="sl-SI" w:eastAsia="en-GB"/>
        </w:rPr>
        <w:t>e</w:t>
      </w:r>
      <w:r w:rsidRPr="00275FBD">
        <w:rPr>
          <w:rFonts w:cs="TimesNewRomanPSMT"/>
          <w:szCs w:val="20"/>
          <w:lang w:val="sl-SI" w:eastAsia="en-GB"/>
        </w:rPr>
        <w:t xml:space="preserve"> manj pomembn</w:t>
      </w:r>
      <w:r w:rsidR="00910B6F" w:rsidRPr="00275FBD">
        <w:rPr>
          <w:rFonts w:cs="TimesNewRomanPSMT"/>
          <w:szCs w:val="20"/>
          <w:lang w:val="sl-SI" w:eastAsia="en-GB"/>
        </w:rPr>
        <w:t>e</w:t>
      </w:r>
      <w:r w:rsidRPr="00275FBD">
        <w:rPr>
          <w:rFonts w:cs="TimesNewRomanPSMT"/>
          <w:szCs w:val="20"/>
          <w:lang w:val="sl-SI" w:eastAsia="en-GB"/>
        </w:rPr>
        <w:t xml:space="preserve"> </w:t>
      </w:r>
      <w:r w:rsidR="00910B6F" w:rsidRPr="00275FBD">
        <w:rPr>
          <w:rFonts w:cs="TimesNewRomanPSMT"/>
          <w:szCs w:val="20"/>
          <w:lang w:val="sl-SI" w:eastAsia="en-GB"/>
        </w:rPr>
        <w:t xml:space="preserve">najdbe </w:t>
      </w:r>
      <w:r w:rsidRPr="00275FBD">
        <w:rPr>
          <w:rFonts w:cs="TimesNewRomanPSMT"/>
          <w:szCs w:val="20"/>
          <w:lang w:val="sl-SI" w:eastAsia="en-GB"/>
        </w:rPr>
        <w:t>je mogoče vključiti v PSR3 IAP na podlagi argumentov o izvedljivosti / praktičnosti.</w:t>
      </w:r>
    </w:p>
    <w:p w14:paraId="67570440" w14:textId="6EDC7B57" w:rsidR="00701066" w:rsidRPr="009E43F5" w:rsidRDefault="00910B6F" w:rsidP="00701066">
      <w:pPr>
        <w:rPr>
          <w:rFonts w:cs="TimesNewRomanPSMT"/>
          <w:szCs w:val="20"/>
          <w:lang w:val="sl-SI" w:eastAsia="en-GB"/>
        </w:rPr>
      </w:pPr>
      <w:r w:rsidRPr="00275FBD">
        <w:rPr>
          <w:rFonts w:cs="TimesNewRomanPSMT"/>
          <w:szCs w:val="20"/>
          <w:lang w:val="sl-SI" w:eastAsia="en-GB"/>
        </w:rPr>
        <w:t>Najdbe</w:t>
      </w:r>
      <w:r w:rsidR="00882E76">
        <w:rPr>
          <w:rFonts w:cs="TimesNewRomanPSMT"/>
          <w:szCs w:val="20"/>
          <w:lang w:val="sl-SI" w:eastAsia="en-GB"/>
        </w:rPr>
        <w:t>,</w:t>
      </w:r>
      <w:r w:rsidR="00701066" w:rsidRPr="00275FBD">
        <w:rPr>
          <w:rFonts w:cs="TimesNewRomanPSMT"/>
          <w:szCs w:val="20"/>
          <w:lang w:val="sl-SI" w:eastAsia="en-GB"/>
        </w:rPr>
        <w:t xml:space="preserve"> </w:t>
      </w:r>
      <w:r w:rsidR="00435AD7">
        <w:rPr>
          <w:rFonts w:cs="TimesNewRomanPSMT"/>
          <w:szCs w:val="20"/>
          <w:lang w:val="sl-SI" w:eastAsia="en-GB"/>
        </w:rPr>
        <w:t xml:space="preserve">izvedljive </w:t>
      </w:r>
      <w:r w:rsidR="00701066" w:rsidRPr="00275FBD">
        <w:rPr>
          <w:rFonts w:cs="TimesNewRomanPSMT"/>
          <w:szCs w:val="20"/>
          <w:lang w:val="sl-SI" w:eastAsia="en-GB"/>
        </w:rPr>
        <w:t xml:space="preserve">z </w:t>
      </w:r>
      <w:r w:rsidR="00A7693C">
        <w:rPr>
          <w:rFonts w:cs="TimesNewRomanPSMT"/>
          <w:szCs w:val="20"/>
          <w:lang w:val="sl-SI" w:eastAsia="en-GB"/>
        </w:rPr>
        <w:t>majhn</w:t>
      </w:r>
      <w:r w:rsidR="00A7693C" w:rsidRPr="00275FBD">
        <w:rPr>
          <w:rFonts w:cs="TimesNewRomanPSMT"/>
          <w:szCs w:val="20"/>
          <w:lang w:val="sl-SI" w:eastAsia="en-GB"/>
        </w:rPr>
        <w:t xml:space="preserve">im </w:t>
      </w:r>
      <w:r w:rsidR="00701066" w:rsidRPr="00275FBD">
        <w:rPr>
          <w:rFonts w:cs="TimesNewRomanPSMT"/>
          <w:szCs w:val="20"/>
          <w:lang w:val="sl-SI" w:eastAsia="en-GB"/>
        </w:rPr>
        <w:t>naporom</w:t>
      </w:r>
      <w:r w:rsidR="00882E76">
        <w:rPr>
          <w:rFonts w:cs="TimesNewRomanPSMT"/>
          <w:szCs w:val="20"/>
          <w:lang w:val="sl-SI" w:eastAsia="en-GB"/>
        </w:rPr>
        <w:t>,</w:t>
      </w:r>
      <w:r w:rsidR="00701066" w:rsidRPr="00275FBD">
        <w:rPr>
          <w:rFonts w:cs="TimesNewRomanPSMT"/>
          <w:szCs w:val="20"/>
          <w:lang w:val="sl-SI" w:eastAsia="en-GB"/>
        </w:rPr>
        <w:t xml:space="preserve"> so </w:t>
      </w:r>
      <w:r w:rsidR="00207727">
        <w:rPr>
          <w:rFonts w:cs="TimesNewRomanPSMT"/>
          <w:szCs w:val="20"/>
          <w:lang w:val="sl-SI" w:eastAsia="en-GB"/>
        </w:rPr>
        <w:t xml:space="preserve">bile dodane </w:t>
      </w:r>
      <w:r w:rsidR="00701066" w:rsidRPr="00275FBD">
        <w:rPr>
          <w:rFonts w:cs="TimesNewRomanPSMT"/>
          <w:szCs w:val="20"/>
          <w:lang w:val="sl-SI" w:eastAsia="en-GB"/>
        </w:rPr>
        <w:t xml:space="preserve">v </w:t>
      </w:r>
      <w:r w:rsidR="00207727">
        <w:rPr>
          <w:rFonts w:cs="TimesNewRomanPSMT"/>
          <w:szCs w:val="20"/>
          <w:lang w:val="sl-SI" w:eastAsia="en-GB"/>
        </w:rPr>
        <w:t>načrt izvedbe ukrepov</w:t>
      </w:r>
      <w:r w:rsidR="00701066" w:rsidRPr="00275FBD">
        <w:rPr>
          <w:rFonts w:cs="TimesNewRomanPSMT"/>
          <w:szCs w:val="20"/>
          <w:lang w:val="sl-SI" w:eastAsia="en-GB"/>
        </w:rPr>
        <w:t xml:space="preserve"> (IAP) brez </w:t>
      </w:r>
      <w:r w:rsidR="00701066" w:rsidRPr="009E43F5">
        <w:rPr>
          <w:rFonts w:cs="TimesNewRomanPSMT"/>
          <w:szCs w:val="20"/>
          <w:lang w:val="sl-SI" w:eastAsia="en-GB"/>
        </w:rPr>
        <w:t>nadaljnjega ocenjevanja.</w:t>
      </w:r>
    </w:p>
    <w:p w14:paraId="6FE4B4D1" w14:textId="30D98E25" w:rsidR="00701066" w:rsidRPr="00275FBD" w:rsidRDefault="00701066" w:rsidP="00701066">
      <w:pPr>
        <w:rPr>
          <w:rFonts w:cs="TimesNewRomanPSMT"/>
          <w:szCs w:val="20"/>
          <w:lang w:val="sl-SI" w:eastAsia="en-GB"/>
        </w:rPr>
      </w:pPr>
      <w:r w:rsidRPr="009E43F5">
        <w:rPr>
          <w:rFonts w:cs="TimesNewRomanPSMT"/>
          <w:szCs w:val="20"/>
          <w:lang w:val="sl-SI" w:eastAsia="en-GB"/>
        </w:rPr>
        <w:t xml:space="preserve">Kakršna koli vključitev nadaljnjih </w:t>
      </w:r>
      <w:r w:rsidR="00BD5705" w:rsidRPr="009E43F5">
        <w:rPr>
          <w:rFonts w:cs="TimesNewRomanPSMT"/>
          <w:szCs w:val="20"/>
          <w:lang w:val="sl-SI" w:eastAsia="en-GB"/>
        </w:rPr>
        <w:t xml:space="preserve">najdb </w:t>
      </w:r>
      <w:r w:rsidRPr="009E43F5">
        <w:rPr>
          <w:rFonts w:cs="TimesNewRomanPSMT"/>
          <w:szCs w:val="20"/>
          <w:lang w:val="sl-SI" w:eastAsia="en-GB"/>
        </w:rPr>
        <w:t>na podlagi argumentov o praktič</w:t>
      </w:r>
      <w:r w:rsidR="00C23D4B" w:rsidRPr="009E43F5">
        <w:rPr>
          <w:rFonts w:cs="TimesNewRomanPSMT"/>
          <w:szCs w:val="20"/>
          <w:lang w:val="sl-SI" w:eastAsia="en-GB"/>
        </w:rPr>
        <w:t>n</w:t>
      </w:r>
      <w:r w:rsidRPr="009E43F5">
        <w:rPr>
          <w:rFonts w:cs="TimesNewRomanPSMT"/>
          <w:szCs w:val="20"/>
          <w:lang w:val="sl-SI" w:eastAsia="en-GB"/>
        </w:rPr>
        <w:t xml:space="preserve">osti, skupaj </w:t>
      </w:r>
      <w:r w:rsidR="00C23D4B" w:rsidRPr="009E43F5">
        <w:rPr>
          <w:rFonts w:cs="TimesNewRomanPSMT"/>
          <w:szCs w:val="20"/>
          <w:lang w:val="sl-SI" w:eastAsia="en-GB"/>
        </w:rPr>
        <w:t>s</w:t>
      </w:r>
      <w:r w:rsidRPr="009E43F5">
        <w:rPr>
          <w:rFonts w:cs="TimesNewRomanPSMT"/>
          <w:szCs w:val="20"/>
          <w:lang w:val="sl-SI" w:eastAsia="en-GB"/>
        </w:rPr>
        <w:t xml:space="preserve"> vključitvijo </w:t>
      </w:r>
      <w:r w:rsidR="00BD5705" w:rsidRPr="009E43F5">
        <w:rPr>
          <w:rFonts w:cs="TimesNewRomanPSMT"/>
          <w:szCs w:val="20"/>
          <w:lang w:val="sl-SI" w:eastAsia="en-GB"/>
        </w:rPr>
        <w:t>najdb</w:t>
      </w:r>
      <w:r w:rsidR="00882E76">
        <w:rPr>
          <w:rFonts w:cs="TimesNewRomanPSMT"/>
          <w:szCs w:val="20"/>
          <w:lang w:val="sl-SI" w:eastAsia="en-GB"/>
        </w:rPr>
        <w:t>,</w:t>
      </w:r>
      <w:r w:rsidR="00BD5705" w:rsidRPr="009E43F5">
        <w:rPr>
          <w:rFonts w:cs="TimesNewRomanPSMT"/>
          <w:szCs w:val="20"/>
          <w:lang w:val="sl-SI" w:eastAsia="en-GB"/>
        </w:rPr>
        <w:t xml:space="preserve"> </w:t>
      </w:r>
      <w:r w:rsidR="00A7693C" w:rsidRPr="009E43F5">
        <w:rPr>
          <w:rFonts w:cs="TimesNewRomanPSMT"/>
          <w:szCs w:val="20"/>
          <w:lang w:val="sl-SI" w:eastAsia="en-GB"/>
        </w:rPr>
        <w:t xml:space="preserve">izvedljivih </w:t>
      </w:r>
      <w:r w:rsidRPr="009E43F5">
        <w:rPr>
          <w:rFonts w:cs="TimesNewRomanPSMT"/>
          <w:szCs w:val="20"/>
          <w:lang w:val="sl-SI" w:eastAsia="en-GB"/>
        </w:rPr>
        <w:t>z „majhn</w:t>
      </w:r>
      <w:r w:rsidR="00C23D4B" w:rsidRPr="009E43F5">
        <w:rPr>
          <w:rFonts w:cs="TimesNewRomanPSMT"/>
          <w:szCs w:val="20"/>
          <w:lang w:val="sl-SI" w:eastAsia="en-GB"/>
        </w:rPr>
        <w:t>i</w:t>
      </w:r>
      <w:r w:rsidRPr="009E43F5">
        <w:rPr>
          <w:rFonts w:cs="TimesNewRomanPSMT"/>
          <w:szCs w:val="20"/>
          <w:lang w:val="sl-SI" w:eastAsia="en-GB"/>
        </w:rPr>
        <w:t>m naporom“</w:t>
      </w:r>
      <w:r w:rsidR="00882E76">
        <w:rPr>
          <w:rFonts w:cs="TimesNewRomanPSMT"/>
          <w:szCs w:val="20"/>
          <w:lang w:val="sl-SI" w:eastAsia="en-GB"/>
        </w:rPr>
        <w:t>,</w:t>
      </w:r>
      <w:r w:rsidR="00A7693C" w:rsidRPr="009E43F5">
        <w:rPr>
          <w:rFonts w:cs="TimesNewRomanPSMT"/>
          <w:szCs w:val="20"/>
          <w:lang w:val="sl-SI" w:eastAsia="en-GB"/>
        </w:rPr>
        <w:t xml:space="preserve"> v izvedbo</w:t>
      </w:r>
      <w:r w:rsidRPr="009E43F5">
        <w:rPr>
          <w:rFonts w:cs="TimesNewRomanPSMT"/>
          <w:szCs w:val="20"/>
          <w:lang w:val="sl-SI" w:eastAsia="en-GB"/>
        </w:rPr>
        <w:t>, bi dodatno utrdila zgornje zaključke.</w:t>
      </w:r>
    </w:p>
    <w:p w14:paraId="0EAFF799" w14:textId="77777777" w:rsidR="00701066" w:rsidRPr="00275FBD" w:rsidRDefault="00701066" w:rsidP="00ED1A59">
      <w:pPr>
        <w:rPr>
          <w:rFonts w:cs="TimesNewRomanPSMT"/>
          <w:szCs w:val="20"/>
          <w:lang w:val="sl-SI" w:eastAsia="en-GB"/>
        </w:rPr>
      </w:pPr>
    </w:p>
    <w:p w14:paraId="012C78AC" w14:textId="1CC3AD30" w:rsidR="00ED1A59" w:rsidRPr="00275FBD" w:rsidRDefault="000A1AD7" w:rsidP="00ED1A59">
      <w:pPr>
        <w:pStyle w:val="Naslov2"/>
        <w:rPr>
          <w:lang w:val="sl-SI" w:eastAsia="en-GB"/>
        </w:rPr>
      </w:pPr>
      <w:bookmarkStart w:id="102" w:name="_Ref138605766"/>
      <w:bookmarkStart w:id="103" w:name="_Ref138605797"/>
      <w:bookmarkStart w:id="104" w:name="_Toc163197431"/>
      <w:r w:rsidRPr="00275FBD">
        <w:rPr>
          <w:lang w:val="sl-SI" w:eastAsia="en-GB"/>
        </w:rPr>
        <w:t>Upoštevanje korektivnih ukrepov iz Načrta izvedbe ukrepov PSR3</w:t>
      </w:r>
      <w:bookmarkEnd w:id="102"/>
      <w:bookmarkEnd w:id="103"/>
      <w:bookmarkEnd w:id="104"/>
    </w:p>
    <w:p w14:paraId="4ADA2C4F" w14:textId="360EABE6" w:rsidR="00494AC9" w:rsidRPr="00275FBD" w:rsidRDefault="00494AC9" w:rsidP="00494AC9">
      <w:pPr>
        <w:rPr>
          <w:rFonts w:cs="TimesNewRomanPSMT"/>
          <w:szCs w:val="20"/>
          <w:lang w:val="sl-SI" w:eastAsia="en-GB"/>
        </w:rPr>
      </w:pPr>
      <w:r w:rsidRPr="00275FBD">
        <w:rPr>
          <w:rFonts w:cs="TimesNewRomanPSMT"/>
          <w:szCs w:val="20"/>
          <w:lang w:val="sl-SI" w:eastAsia="en-GB"/>
        </w:rPr>
        <w:t xml:space="preserve">Glede na rezultate procesa določanja </w:t>
      </w:r>
      <w:r w:rsidR="00297FE2" w:rsidRPr="00297FE2">
        <w:rPr>
          <w:rFonts w:cs="TimesNewRomanPSMT"/>
          <w:szCs w:val="20"/>
          <w:lang w:val="sl-SI" w:eastAsia="en-GB"/>
        </w:rPr>
        <w:t>prednosti</w:t>
      </w:r>
      <w:r w:rsidRPr="00275FBD">
        <w:rPr>
          <w:rFonts w:cs="TimesNewRomanPSMT"/>
          <w:szCs w:val="20"/>
          <w:lang w:val="sl-SI" w:eastAsia="en-GB"/>
        </w:rPr>
        <w:t xml:space="preserve"> </w:t>
      </w:r>
      <w:r w:rsidR="009E43F5">
        <w:rPr>
          <w:rFonts w:cs="TimesNewRomanPSMT"/>
          <w:szCs w:val="20"/>
          <w:lang w:val="sl-SI" w:eastAsia="en-GB"/>
        </w:rPr>
        <w:t xml:space="preserve">izvedbe </w:t>
      </w:r>
      <w:r w:rsidRPr="00275FBD">
        <w:rPr>
          <w:rFonts w:cs="TimesNewRomanPSMT"/>
          <w:szCs w:val="20"/>
          <w:lang w:val="sl-SI" w:eastAsia="en-GB"/>
        </w:rPr>
        <w:t>pri PSR</w:t>
      </w:r>
      <w:r w:rsidR="009E43F5">
        <w:rPr>
          <w:rFonts w:cs="TimesNewRomanPSMT"/>
          <w:szCs w:val="20"/>
          <w:lang w:val="sl-SI" w:eastAsia="en-GB"/>
        </w:rPr>
        <w:t>3</w:t>
      </w:r>
      <w:r w:rsidRPr="00275FBD">
        <w:rPr>
          <w:rFonts w:cs="TimesNewRomanPSMT"/>
          <w:szCs w:val="20"/>
          <w:lang w:val="sl-SI" w:eastAsia="en-GB"/>
        </w:rPr>
        <w:t xml:space="preserve"> je bil </w:t>
      </w:r>
      <w:r w:rsidR="00B20813">
        <w:rPr>
          <w:rFonts w:cs="TimesNewRomanPSMT"/>
          <w:szCs w:val="20"/>
          <w:lang w:val="sl-SI" w:eastAsia="en-GB"/>
        </w:rPr>
        <w:t>določ</w:t>
      </w:r>
      <w:r w:rsidR="00B20813" w:rsidRPr="00275FBD">
        <w:rPr>
          <w:rFonts w:cs="TimesNewRomanPSMT"/>
          <w:szCs w:val="20"/>
          <w:lang w:val="sl-SI" w:eastAsia="en-GB"/>
        </w:rPr>
        <w:t xml:space="preserve">en </w:t>
      </w:r>
      <w:r w:rsidRPr="00275FBD">
        <w:rPr>
          <w:rFonts w:cs="TimesNewRomanPSMT"/>
          <w:szCs w:val="20"/>
          <w:lang w:val="sl-SI" w:eastAsia="en-GB"/>
        </w:rPr>
        <w:t xml:space="preserve">načrt za izvedbo korektivnih ukrepov </w:t>
      </w:r>
      <w:r w:rsidRPr="00275FBD">
        <w:rPr>
          <w:rFonts w:cs="TimesNewRomanPSMT"/>
          <w:szCs w:val="20"/>
          <w:lang w:val="sl-SI" w:eastAsia="en-GB"/>
        </w:rPr>
        <w:fldChar w:fldCharType="begin"/>
      </w:r>
      <w:r w:rsidRPr="00275FBD">
        <w:rPr>
          <w:rFonts w:cs="TimesNewRomanPSMT"/>
          <w:szCs w:val="20"/>
          <w:lang w:val="sl-SI" w:eastAsia="en-GB"/>
        </w:rPr>
        <w:instrText xml:space="preserve"> REF _Ref133224011 \r \h </w:instrText>
      </w:r>
      <w:r w:rsidRPr="00275FBD">
        <w:rPr>
          <w:rFonts w:cs="TimesNewRomanPSMT"/>
          <w:szCs w:val="20"/>
          <w:lang w:val="sl-SI" w:eastAsia="en-GB"/>
        </w:rPr>
      </w:r>
      <w:r w:rsidRPr="00275FBD">
        <w:rPr>
          <w:rFonts w:cs="TimesNewRomanPSMT"/>
          <w:szCs w:val="20"/>
          <w:lang w:val="sl-SI" w:eastAsia="en-GB"/>
        </w:rPr>
        <w:fldChar w:fldCharType="separate"/>
      </w:r>
      <w:r w:rsidR="00BA25CD">
        <w:rPr>
          <w:rFonts w:cs="TimesNewRomanPSMT"/>
          <w:szCs w:val="20"/>
          <w:lang w:val="sl-SI" w:eastAsia="en-GB"/>
        </w:rPr>
        <w:t>[10]</w:t>
      </w:r>
      <w:r w:rsidRPr="00275FBD">
        <w:rPr>
          <w:rFonts w:cs="TimesNewRomanPSMT"/>
          <w:szCs w:val="20"/>
          <w:lang w:val="sl-SI" w:eastAsia="en-GB"/>
        </w:rPr>
        <w:fldChar w:fldCharType="end"/>
      </w:r>
      <w:r w:rsidRPr="00275FBD">
        <w:rPr>
          <w:rFonts w:cs="TimesNewRomanPSMT"/>
          <w:szCs w:val="20"/>
          <w:lang w:val="sl-SI" w:eastAsia="en-GB"/>
        </w:rPr>
        <w:t xml:space="preserve">. </w:t>
      </w:r>
      <w:r w:rsidR="00207727">
        <w:rPr>
          <w:rFonts w:cs="TimesNewRomanPSMT"/>
          <w:szCs w:val="20"/>
          <w:lang w:val="sl-SI" w:eastAsia="en-GB"/>
        </w:rPr>
        <w:t>Za v</w:t>
      </w:r>
      <w:r w:rsidRPr="00275FBD">
        <w:rPr>
          <w:rFonts w:cs="TimesNewRomanPSMT"/>
          <w:szCs w:val="20"/>
          <w:lang w:val="sl-SI" w:eastAsia="en-GB"/>
        </w:rPr>
        <w:t>s</w:t>
      </w:r>
      <w:r w:rsidR="00910B6F" w:rsidRPr="00275FBD">
        <w:rPr>
          <w:rFonts w:cs="TimesNewRomanPSMT"/>
          <w:szCs w:val="20"/>
          <w:lang w:val="sl-SI" w:eastAsia="en-GB"/>
        </w:rPr>
        <w:t>e</w:t>
      </w:r>
      <w:r w:rsidRPr="00275FBD">
        <w:rPr>
          <w:rFonts w:cs="TimesNewRomanPSMT"/>
          <w:szCs w:val="20"/>
          <w:lang w:val="sl-SI" w:eastAsia="en-GB"/>
        </w:rPr>
        <w:t xml:space="preserve"> </w:t>
      </w:r>
      <w:r w:rsidR="00910B6F" w:rsidRPr="00275FBD">
        <w:rPr>
          <w:rFonts w:cs="TimesNewRomanPSMT"/>
          <w:szCs w:val="20"/>
          <w:lang w:val="sl-SI" w:eastAsia="en-GB"/>
        </w:rPr>
        <w:t xml:space="preserve">najdbe </w:t>
      </w:r>
      <w:r w:rsidRPr="00275FBD">
        <w:rPr>
          <w:rFonts w:cs="TimesNewRomanPSMT"/>
          <w:szCs w:val="20"/>
          <w:lang w:val="sl-SI" w:eastAsia="en-GB"/>
        </w:rPr>
        <w:t xml:space="preserve">z rangom »4« in višje so </w:t>
      </w:r>
      <w:r w:rsidR="00207727">
        <w:rPr>
          <w:rFonts w:cs="TimesNewRomanPSMT"/>
          <w:szCs w:val="20"/>
          <w:lang w:val="sl-SI" w:eastAsia="en-GB"/>
        </w:rPr>
        <w:t>določeni</w:t>
      </w:r>
      <w:r w:rsidRPr="00275FBD">
        <w:rPr>
          <w:rFonts w:cs="TimesNewRomanPSMT"/>
          <w:szCs w:val="20"/>
          <w:lang w:val="sl-SI" w:eastAsia="en-GB"/>
        </w:rPr>
        <w:t xml:space="preserve"> korektivni ukrepi v Načrt</w:t>
      </w:r>
      <w:r w:rsidR="009E43F5">
        <w:rPr>
          <w:rFonts w:cs="TimesNewRomanPSMT"/>
          <w:szCs w:val="20"/>
          <w:lang w:val="sl-SI" w:eastAsia="en-GB"/>
        </w:rPr>
        <w:t>u</w:t>
      </w:r>
      <w:r w:rsidRPr="00275FBD">
        <w:rPr>
          <w:rFonts w:cs="TimesNewRomanPSMT"/>
          <w:szCs w:val="20"/>
          <w:lang w:val="sl-SI" w:eastAsia="en-GB"/>
        </w:rPr>
        <w:t xml:space="preserve"> izvedbe ukrepov (IAP) kot </w:t>
      </w:r>
      <w:r w:rsidR="00207727">
        <w:rPr>
          <w:rFonts w:cs="TimesNewRomanPSMT"/>
          <w:szCs w:val="20"/>
          <w:lang w:val="sl-SI" w:eastAsia="en-GB"/>
        </w:rPr>
        <w:t>predvideva</w:t>
      </w:r>
      <w:r w:rsidRPr="00275FBD">
        <w:rPr>
          <w:rFonts w:cs="TimesNewRomanPSMT"/>
          <w:szCs w:val="20"/>
          <w:lang w:val="sl-SI" w:eastAsia="en-GB"/>
        </w:rPr>
        <w:t xml:space="preserve"> Program NEK PSR3 </w:t>
      </w:r>
      <w:r w:rsidRPr="00275FBD">
        <w:rPr>
          <w:rFonts w:cs="TimesNewRomanPSMT"/>
          <w:szCs w:val="20"/>
          <w:lang w:val="sl-SI" w:eastAsia="en-GB"/>
        </w:rPr>
        <w:fldChar w:fldCharType="begin"/>
      </w:r>
      <w:r w:rsidRPr="00275FBD">
        <w:rPr>
          <w:rFonts w:cs="TimesNewRomanPSMT"/>
          <w:szCs w:val="20"/>
          <w:lang w:val="sl-SI" w:eastAsia="en-GB"/>
        </w:rPr>
        <w:instrText xml:space="preserve"> REF _Ref133222751 \r \h </w:instrText>
      </w:r>
      <w:r w:rsidRPr="00275FBD">
        <w:rPr>
          <w:rFonts w:cs="TimesNewRomanPSMT"/>
          <w:szCs w:val="20"/>
          <w:lang w:val="sl-SI" w:eastAsia="en-GB"/>
        </w:rPr>
      </w:r>
      <w:r w:rsidRPr="00275FBD">
        <w:rPr>
          <w:rFonts w:cs="TimesNewRomanPSMT"/>
          <w:szCs w:val="20"/>
          <w:lang w:val="sl-SI" w:eastAsia="en-GB"/>
        </w:rPr>
        <w:fldChar w:fldCharType="separate"/>
      </w:r>
      <w:r w:rsidR="00BA25CD">
        <w:rPr>
          <w:rFonts w:cs="TimesNewRomanPSMT"/>
          <w:szCs w:val="20"/>
          <w:lang w:val="sl-SI" w:eastAsia="en-GB"/>
        </w:rPr>
        <w:t>[1]</w:t>
      </w:r>
      <w:r w:rsidRPr="00275FBD">
        <w:rPr>
          <w:rFonts w:cs="TimesNewRomanPSMT"/>
          <w:szCs w:val="20"/>
          <w:lang w:val="sl-SI" w:eastAsia="en-GB"/>
        </w:rPr>
        <w:fldChar w:fldCharType="end"/>
      </w:r>
      <w:r w:rsidRPr="00275FBD">
        <w:rPr>
          <w:rFonts w:cs="TimesNewRomanPSMT"/>
          <w:szCs w:val="20"/>
          <w:lang w:val="sl-SI" w:eastAsia="en-GB"/>
        </w:rPr>
        <w:t xml:space="preserve">. </w:t>
      </w:r>
      <w:r w:rsidR="00910B6F" w:rsidRPr="00275FBD">
        <w:rPr>
          <w:rFonts w:cs="TimesNewRomanPSMT"/>
          <w:szCs w:val="20"/>
          <w:lang w:val="sl-SI" w:eastAsia="en-GB"/>
        </w:rPr>
        <w:t>Najdb</w:t>
      </w:r>
      <w:r w:rsidRPr="00275FBD">
        <w:rPr>
          <w:rFonts w:cs="TimesNewRomanPSMT"/>
          <w:szCs w:val="20"/>
          <w:lang w:val="sl-SI" w:eastAsia="en-GB"/>
        </w:rPr>
        <w:t xml:space="preserve"> z rangom »6« ni bil</w:t>
      </w:r>
      <w:r w:rsidR="00207727">
        <w:rPr>
          <w:rFonts w:cs="TimesNewRomanPSMT"/>
          <w:szCs w:val="20"/>
          <w:lang w:val="sl-SI" w:eastAsia="en-GB"/>
        </w:rPr>
        <w:t>o</w:t>
      </w:r>
      <w:r w:rsidRPr="00275FBD">
        <w:rPr>
          <w:rFonts w:cs="TimesNewRomanPSMT"/>
          <w:szCs w:val="20"/>
          <w:lang w:val="sl-SI" w:eastAsia="en-GB"/>
        </w:rPr>
        <w:t xml:space="preserve">, v </w:t>
      </w:r>
      <w:r w:rsidR="00207727">
        <w:rPr>
          <w:rFonts w:cs="TimesNewRomanPSMT"/>
          <w:szCs w:val="20"/>
          <w:lang w:val="sl-SI" w:eastAsia="en-GB"/>
        </w:rPr>
        <w:t>IAP</w:t>
      </w:r>
      <w:r w:rsidRPr="00275FBD">
        <w:rPr>
          <w:rFonts w:cs="TimesNewRomanPSMT"/>
          <w:szCs w:val="20"/>
          <w:lang w:val="sl-SI" w:eastAsia="en-GB"/>
        </w:rPr>
        <w:t xml:space="preserve"> pa je bilo vključenih skupno 49 </w:t>
      </w:r>
      <w:r w:rsidR="00207727">
        <w:rPr>
          <w:rFonts w:cs="TimesNewRomanPSMT"/>
          <w:szCs w:val="20"/>
          <w:lang w:val="sl-SI" w:eastAsia="en-GB"/>
        </w:rPr>
        <w:t>ukrepov</w:t>
      </w:r>
      <w:r w:rsidR="00207727" w:rsidRPr="00275FBD">
        <w:rPr>
          <w:rFonts w:cs="TimesNewRomanPSMT"/>
          <w:szCs w:val="20"/>
          <w:lang w:val="sl-SI" w:eastAsia="en-GB"/>
        </w:rPr>
        <w:t xml:space="preserve"> </w:t>
      </w:r>
      <w:r w:rsidRPr="00275FBD">
        <w:rPr>
          <w:rFonts w:cs="TimesNewRomanPSMT"/>
          <w:szCs w:val="20"/>
          <w:lang w:val="sl-SI" w:eastAsia="en-GB"/>
        </w:rPr>
        <w:t xml:space="preserve">z rangom »5« ali »4«. Korektivni ukrepi za te </w:t>
      </w:r>
      <w:r w:rsidR="009E43F5">
        <w:rPr>
          <w:rFonts w:cs="TimesNewRomanPSMT"/>
          <w:szCs w:val="20"/>
          <w:lang w:val="sl-SI" w:eastAsia="en-GB"/>
        </w:rPr>
        <w:t>najdbe</w:t>
      </w:r>
      <w:r w:rsidR="009E43F5" w:rsidRPr="00275FBD">
        <w:rPr>
          <w:rFonts w:cs="TimesNewRomanPSMT"/>
          <w:szCs w:val="20"/>
          <w:lang w:val="sl-SI" w:eastAsia="en-GB"/>
        </w:rPr>
        <w:t xml:space="preserve"> </w:t>
      </w:r>
      <w:r w:rsidRPr="00275FBD">
        <w:rPr>
          <w:rFonts w:cs="TimesNewRomanPSMT"/>
          <w:szCs w:val="20"/>
          <w:lang w:val="sl-SI" w:eastAsia="en-GB"/>
        </w:rPr>
        <w:t xml:space="preserve">se bodo izvajali v okviru NEK Programa korektivnih ukrepov (CAP). Poleg tega je bilo </w:t>
      </w:r>
      <w:r w:rsidR="00B20813">
        <w:rPr>
          <w:rFonts w:cs="TimesNewRomanPSMT"/>
          <w:szCs w:val="20"/>
          <w:lang w:val="sl-SI" w:eastAsia="en-GB"/>
        </w:rPr>
        <w:t>določ</w:t>
      </w:r>
      <w:r w:rsidR="00B20813" w:rsidRPr="00275FBD">
        <w:rPr>
          <w:rFonts w:cs="TimesNewRomanPSMT"/>
          <w:szCs w:val="20"/>
          <w:lang w:val="sl-SI" w:eastAsia="en-GB"/>
        </w:rPr>
        <w:t xml:space="preserve">enih </w:t>
      </w:r>
      <w:r w:rsidRPr="00275FBD">
        <w:rPr>
          <w:rFonts w:cs="TimesNewRomanPSMT"/>
          <w:szCs w:val="20"/>
          <w:lang w:val="sl-SI" w:eastAsia="en-GB"/>
        </w:rPr>
        <w:t xml:space="preserve">skupno 15 korektivnih ukrepov za </w:t>
      </w:r>
      <w:r w:rsidR="00910B6F" w:rsidRPr="00275FBD">
        <w:rPr>
          <w:rFonts w:cs="TimesNewRomanPSMT"/>
          <w:szCs w:val="20"/>
          <w:lang w:val="sl-SI" w:eastAsia="en-GB"/>
        </w:rPr>
        <w:t xml:space="preserve">najdbe </w:t>
      </w:r>
      <w:r w:rsidRPr="00275FBD">
        <w:rPr>
          <w:rFonts w:cs="TimesNewRomanPSMT"/>
          <w:szCs w:val="20"/>
          <w:lang w:val="sl-SI" w:eastAsia="en-GB"/>
        </w:rPr>
        <w:t xml:space="preserve">kategorije »IRR« (iz misije »pred-SALTO« </w:t>
      </w:r>
      <w:r w:rsidR="009E43F5">
        <w:rPr>
          <w:rFonts w:cs="TimesNewRomanPSMT"/>
          <w:szCs w:val="20"/>
          <w:lang w:val="sl-SI" w:eastAsia="en-GB"/>
        </w:rPr>
        <w:t>ter</w:t>
      </w:r>
      <w:r w:rsidR="009E43F5" w:rsidRPr="00275FBD">
        <w:rPr>
          <w:rFonts w:cs="TimesNewRomanPSMT"/>
          <w:szCs w:val="20"/>
          <w:lang w:val="sl-SI" w:eastAsia="en-GB"/>
        </w:rPr>
        <w:t xml:space="preserve"> </w:t>
      </w:r>
      <w:r w:rsidRPr="00275FBD">
        <w:rPr>
          <w:rFonts w:cs="TimesNewRomanPSMT"/>
          <w:szCs w:val="20"/>
          <w:lang w:val="sl-SI" w:eastAsia="en-GB"/>
        </w:rPr>
        <w:t>posodobit</w:t>
      </w:r>
      <w:r w:rsidR="00207727">
        <w:rPr>
          <w:rFonts w:cs="TimesNewRomanPSMT"/>
          <w:szCs w:val="20"/>
          <w:lang w:val="sl-SI" w:eastAsia="en-GB"/>
        </w:rPr>
        <w:t>e</w:t>
      </w:r>
      <w:r w:rsidRPr="00275FBD">
        <w:rPr>
          <w:rFonts w:cs="TimesNewRomanPSMT"/>
          <w:szCs w:val="20"/>
          <w:lang w:val="sl-SI" w:eastAsia="en-GB"/>
        </w:rPr>
        <w:t xml:space="preserve">v PSHA). </w:t>
      </w:r>
      <w:r w:rsidR="009E43F5">
        <w:rPr>
          <w:rFonts w:cs="TimesNewRomanPSMT"/>
          <w:szCs w:val="20"/>
          <w:lang w:val="sl-SI" w:eastAsia="en-GB"/>
        </w:rPr>
        <w:t>Tudi</w:t>
      </w:r>
      <w:r w:rsidRPr="00275FBD">
        <w:rPr>
          <w:rFonts w:cs="TimesNewRomanPSMT"/>
          <w:szCs w:val="20"/>
          <w:lang w:val="sl-SI" w:eastAsia="en-GB"/>
        </w:rPr>
        <w:t xml:space="preserve"> </w:t>
      </w:r>
      <w:r w:rsidR="00910B6F" w:rsidRPr="00275FBD">
        <w:rPr>
          <w:rFonts w:cs="TimesNewRomanPSMT"/>
          <w:szCs w:val="20"/>
          <w:lang w:val="sl-SI" w:eastAsia="en-GB"/>
        </w:rPr>
        <w:t>najdbe</w:t>
      </w:r>
      <w:r w:rsidR="00882E76">
        <w:rPr>
          <w:rFonts w:cs="TimesNewRomanPSMT"/>
          <w:szCs w:val="20"/>
          <w:lang w:val="sl-SI" w:eastAsia="en-GB"/>
        </w:rPr>
        <w:t>,</w:t>
      </w:r>
      <w:r w:rsidR="00910B6F" w:rsidRPr="00275FBD">
        <w:rPr>
          <w:rFonts w:cs="TimesNewRomanPSMT"/>
          <w:szCs w:val="20"/>
          <w:lang w:val="sl-SI" w:eastAsia="en-GB"/>
        </w:rPr>
        <w:t xml:space="preserve"> </w:t>
      </w:r>
      <w:r w:rsidR="00A7693C">
        <w:rPr>
          <w:rFonts w:cs="TimesNewRomanPSMT"/>
          <w:szCs w:val="20"/>
          <w:lang w:val="sl-SI" w:eastAsia="en-GB"/>
        </w:rPr>
        <w:t xml:space="preserve">izvedljive </w:t>
      </w:r>
      <w:r w:rsidRPr="00275FBD">
        <w:rPr>
          <w:rFonts w:cs="TimesNewRomanPSMT"/>
          <w:szCs w:val="20"/>
          <w:lang w:val="sl-SI" w:eastAsia="en-GB"/>
        </w:rPr>
        <w:t>z »majhnim naporom« (»LE«)</w:t>
      </w:r>
      <w:r w:rsidR="00882E76">
        <w:rPr>
          <w:rFonts w:cs="TimesNewRomanPSMT"/>
          <w:szCs w:val="20"/>
          <w:lang w:val="sl-SI" w:eastAsia="en-GB"/>
        </w:rPr>
        <w:t>, ki jih</w:t>
      </w:r>
      <w:r w:rsidR="00415377">
        <w:rPr>
          <w:rFonts w:cs="TimesNewRomanPSMT"/>
          <w:szCs w:val="20"/>
          <w:lang w:val="sl-SI" w:eastAsia="en-GB"/>
        </w:rPr>
        <w:t xml:space="preserve"> </w:t>
      </w:r>
      <w:r w:rsidRPr="00275FBD">
        <w:rPr>
          <w:rFonts w:cs="TimesNewRomanPSMT"/>
          <w:szCs w:val="20"/>
          <w:lang w:val="sl-SI" w:eastAsia="en-GB"/>
        </w:rPr>
        <w:t>je 33</w:t>
      </w:r>
      <w:r w:rsidR="00882E76">
        <w:rPr>
          <w:rFonts w:cs="TimesNewRomanPSMT"/>
          <w:szCs w:val="20"/>
          <w:lang w:val="sl-SI" w:eastAsia="en-GB"/>
        </w:rPr>
        <w:t>,</w:t>
      </w:r>
      <w:r w:rsidRPr="00275FBD">
        <w:rPr>
          <w:rFonts w:cs="TimesNewRomanPSMT"/>
          <w:szCs w:val="20"/>
          <w:lang w:val="sl-SI" w:eastAsia="en-GB"/>
        </w:rPr>
        <w:t xml:space="preserve"> </w:t>
      </w:r>
      <w:r w:rsidR="009E43F5">
        <w:rPr>
          <w:rFonts w:cs="TimesNewRomanPSMT"/>
          <w:szCs w:val="20"/>
          <w:lang w:val="sl-SI" w:eastAsia="en-GB"/>
        </w:rPr>
        <w:t>so</w:t>
      </w:r>
      <w:r w:rsidR="009E43F5" w:rsidRPr="00275FBD">
        <w:rPr>
          <w:rFonts w:cs="TimesNewRomanPSMT"/>
          <w:szCs w:val="20"/>
          <w:lang w:val="sl-SI" w:eastAsia="en-GB"/>
        </w:rPr>
        <w:t xml:space="preserve"> </w:t>
      </w:r>
      <w:r w:rsidRPr="00275FBD">
        <w:rPr>
          <w:rFonts w:cs="TimesNewRomanPSMT"/>
          <w:szCs w:val="20"/>
          <w:lang w:val="sl-SI" w:eastAsia="en-GB"/>
        </w:rPr>
        <w:t>neposred</w:t>
      </w:r>
      <w:r w:rsidR="00207727">
        <w:rPr>
          <w:rFonts w:cs="TimesNewRomanPSMT"/>
          <w:szCs w:val="20"/>
          <w:lang w:val="sl-SI" w:eastAsia="en-GB"/>
        </w:rPr>
        <w:t>no vključene</w:t>
      </w:r>
      <w:r w:rsidRPr="00275FBD">
        <w:rPr>
          <w:rFonts w:cs="TimesNewRomanPSMT"/>
          <w:szCs w:val="20"/>
          <w:lang w:val="sl-SI" w:eastAsia="en-GB"/>
        </w:rPr>
        <w:t xml:space="preserve"> v NEK CAP.</w:t>
      </w:r>
    </w:p>
    <w:p w14:paraId="08FDA90A" w14:textId="5B4F4D49" w:rsidR="00494AC9" w:rsidRPr="00275FBD" w:rsidRDefault="00494AC9" w:rsidP="00494AC9">
      <w:pPr>
        <w:rPr>
          <w:rFonts w:cs="TimesNewRomanPSMT"/>
          <w:szCs w:val="20"/>
          <w:lang w:val="sl-SI" w:eastAsia="en-GB"/>
        </w:rPr>
      </w:pPr>
      <w:r w:rsidRPr="00275FBD">
        <w:rPr>
          <w:rFonts w:cs="TimesNewRomanPSMT"/>
          <w:szCs w:val="20"/>
          <w:lang w:val="sl-SI" w:eastAsia="en-GB"/>
        </w:rPr>
        <w:t xml:space="preserve">Program NEK PSR3 </w:t>
      </w:r>
      <w:r w:rsidRPr="00275FBD">
        <w:rPr>
          <w:rFonts w:cs="TimesNewRomanPSMT"/>
          <w:szCs w:val="20"/>
          <w:lang w:val="sl-SI" w:eastAsia="en-GB"/>
        </w:rPr>
        <w:fldChar w:fldCharType="begin"/>
      </w:r>
      <w:r w:rsidRPr="00275FBD">
        <w:rPr>
          <w:rFonts w:cs="TimesNewRomanPSMT"/>
          <w:szCs w:val="20"/>
          <w:lang w:val="sl-SI" w:eastAsia="en-GB"/>
        </w:rPr>
        <w:instrText xml:space="preserve"> REF _Ref133222751 \r \h </w:instrText>
      </w:r>
      <w:r w:rsidRPr="00275FBD">
        <w:rPr>
          <w:rFonts w:cs="TimesNewRomanPSMT"/>
          <w:szCs w:val="20"/>
          <w:lang w:val="sl-SI" w:eastAsia="en-GB"/>
        </w:rPr>
      </w:r>
      <w:r w:rsidRPr="00275FBD">
        <w:rPr>
          <w:rFonts w:cs="TimesNewRomanPSMT"/>
          <w:szCs w:val="20"/>
          <w:lang w:val="sl-SI" w:eastAsia="en-GB"/>
        </w:rPr>
        <w:fldChar w:fldCharType="separate"/>
      </w:r>
      <w:r w:rsidR="00BA25CD">
        <w:rPr>
          <w:rFonts w:cs="TimesNewRomanPSMT"/>
          <w:szCs w:val="20"/>
          <w:lang w:val="sl-SI" w:eastAsia="en-GB"/>
        </w:rPr>
        <w:t>[1]</w:t>
      </w:r>
      <w:r w:rsidRPr="00275FBD">
        <w:rPr>
          <w:rFonts w:cs="TimesNewRomanPSMT"/>
          <w:szCs w:val="20"/>
          <w:lang w:val="sl-SI" w:eastAsia="en-GB"/>
        </w:rPr>
        <w:fldChar w:fldCharType="end"/>
      </w:r>
      <w:r w:rsidRPr="00275FBD">
        <w:rPr>
          <w:rFonts w:cs="TimesNewRomanPSMT"/>
          <w:szCs w:val="20"/>
          <w:lang w:val="sl-SI" w:eastAsia="en-GB"/>
        </w:rPr>
        <w:t xml:space="preserve"> določa, da bodo za </w:t>
      </w:r>
      <w:r w:rsidR="007240A7">
        <w:rPr>
          <w:rFonts w:cs="TimesNewRomanPSMT"/>
          <w:szCs w:val="20"/>
          <w:lang w:val="sl-SI" w:eastAsia="en-GB"/>
        </w:rPr>
        <w:t>najdbe</w:t>
      </w:r>
      <w:r w:rsidR="007240A7" w:rsidRPr="00275FBD">
        <w:rPr>
          <w:rFonts w:cs="TimesNewRomanPSMT"/>
          <w:szCs w:val="20"/>
          <w:lang w:val="sl-SI" w:eastAsia="en-GB"/>
        </w:rPr>
        <w:t xml:space="preserve"> </w:t>
      </w:r>
      <w:r w:rsidRPr="00275FBD">
        <w:rPr>
          <w:rFonts w:cs="TimesNewRomanPSMT"/>
          <w:szCs w:val="20"/>
          <w:lang w:val="sl-SI" w:eastAsia="en-GB"/>
        </w:rPr>
        <w:t xml:space="preserve">z rangom »3« (ali nižje) </w:t>
      </w:r>
      <w:r w:rsidR="009E43F5">
        <w:rPr>
          <w:rFonts w:cs="TimesNewRomanPSMT"/>
          <w:szCs w:val="20"/>
          <w:lang w:val="sl-SI" w:eastAsia="en-GB"/>
        </w:rPr>
        <w:t xml:space="preserve">lahko </w:t>
      </w:r>
      <w:r w:rsidR="00B20813">
        <w:rPr>
          <w:rFonts w:cs="TimesNewRomanPSMT"/>
          <w:szCs w:val="20"/>
          <w:lang w:val="sl-SI" w:eastAsia="en-GB"/>
        </w:rPr>
        <w:t>določ</w:t>
      </w:r>
      <w:r w:rsidR="00B20813" w:rsidRPr="00275FBD">
        <w:rPr>
          <w:rFonts w:cs="TimesNewRomanPSMT"/>
          <w:szCs w:val="20"/>
          <w:lang w:val="sl-SI" w:eastAsia="en-GB"/>
        </w:rPr>
        <w:t xml:space="preserve">eni </w:t>
      </w:r>
      <w:r w:rsidRPr="00275FBD">
        <w:rPr>
          <w:rFonts w:cs="TimesNewRomanPSMT"/>
          <w:szCs w:val="20"/>
          <w:lang w:val="sl-SI" w:eastAsia="en-GB"/>
        </w:rPr>
        <w:t xml:space="preserve">korektivni ukrepi in </w:t>
      </w:r>
      <w:r w:rsidR="009E43F5">
        <w:rPr>
          <w:rFonts w:cs="TimesNewRomanPSMT"/>
          <w:szCs w:val="20"/>
          <w:lang w:val="sl-SI" w:eastAsia="en-GB"/>
        </w:rPr>
        <w:t>doda</w:t>
      </w:r>
      <w:r w:rsidR="009E43F5" w:rsidRPr="00275FBD">
        <w:rPr>
          <w:rFonts w:cs="TimesNewRomanPSMT"/>
          <w:szCs w:val="20"/>
          <w:lang w:val="sl-SI" w:eastAsia="en-GB"/>
        </w:rPr>
        <w:t xml:space="preserve">ni </w:t>
      </w:r>
      <w:r w:rsidRPr="00275FBD">
        <w:rPr>
          <w:rFonts w:cs="TimesNewRomanPSMT"/>
          <w:szCs w:val="20"/>
          <w:lang w:val="sl-SI" w:eastAsia="en-GB"/>
        </w:rPr>
        <w:t xml:space="preserve">v IAP / CAP </w:t>
      </w:r>
      <w:r w:rsidR="009E43F5">
        <w:rPr>
          <w:rFonts w:cs="TimesNewRomanPSMT"/>
          <w:szCs w:val="20"/>
          <w:lang w:val="sl-SI" w:eastAsia="en-GB"/>
        </w:rPr>
        <w:t xml:space="preserve">le </w:t>
      </w:r>
      <w:r w:rsidRPr="00275FBD">
        <w:rPr>
          <w:rFonts w:cs="TimesNewRomanPSMT"/>
          <w:szCs w:val="20"/>
          <w:lang w:val="sl-SI" w:eastAsia="en-GB"/>
        </w:rPr>
        <w:t xml:space="preserve">na podlagi argumentov izvedljivosti / praktičnosti in </w:t>
      </w:r>
      <w:r w:rsidR="000C7C28">
        <w:rPr>
          <w:lang w:val="sl-SI"/>
        </w:rPr>
        <w:t>celovite</w:t>
      </w:r>
      <w:r w:rsidR="000C7C28" w:rsidRPr="00275FBD">
        <w:rPr>
          <w:lang w:val="sl-SI"/>
        </w:rPr>
        <w:t xml:space="preserve"> </w:t>
      </w:r>
      <w:r w:rsidRPr="00275FBD">
        <w:rPr>
          <w:rFonts w:cs="TimesNewRomanPSMT"/>
          <w:szCs w:val="20"/>
          <w:lang w:val="sl-SI" w:eastAsia="en-GB"/>
        </w:rPr>
        <w:t>ocene</w:t>
      </w:r>
      <w:r w:rsidR="00A20EEB">
        <w:rPr>
          <w:rFonts w:cs="TimesNewRomanPSMT"/>
          <w:szCs w:val="20"/>
          <w:lang w:val="sl-SI" w:eastAsia="en-GB"/>
        </w:rPr>
        <w:t xml:space="preserve"> varnosti</w:t>
      </w:r>
      <w:r w:rsidRPr="00275FBD">
        <w:rPr>
          <w:rFonts w:cs="TimesNewRomanPSMT"/>
          <w:szCs w:val="20"/>
          <w:lang w:val="sl-SI" w:eastAsia="en-GB"/>
        </w:rPr>
        <w:t>.</w:t>
      </w:r>
    </w:p>
    <w:p w14:paraId="6043BAC6" w14:textId="358141FF" w:rsidR="00141F96" w:rsidRPr="00275FBD" w:rsidRDefault="00141F96" w:rsidP="00141F96">
      <w:pPr>
        <w:rPr>
          <w:lang w:val="sl-SI" w:eastAsia="en-GB"/>
        </w:rPr>
      </w:pPr>
      <w:r w:rsidRPr="00275FBD">
        <w:rPr>
          <w:lang w:val="sl-SI" w:eastAsia="en-GB"/>
        </w:rPr>
        <w:t xml:space="preserve">Skupaj 28 </w:t>
      </w:r>
      <w:r w:rsidR="00BD5705" w:rsidRPr="00275FBD">
        <w:rPr>
          <w:lang w:val="sl-SI" w:eastAsia="en-GB"/>
        </w:rPr>
        <w:t>najdb,</w:t>
      </w:r>
      <w:r w:rsidRPr="00275FBD">
        <w:rPr>
          <w:lang w:val="sl-SI" w:eastAsia="en-GB"/>
        </w:rPr>
        <w:t xml:space="preserve"> </w:t>
      </w:r>
      <w:r w:rsidR="00B20813">
        <w:rPr>
          <w:lang w:val="sl-SI" w:eastAsia="en-GB"/>
        </w:rPr>
        <w:t>določ</w:t>
      </w:r>
      <w:r w:rsidR="00B20813" w:rsidRPr="00275FBD">
        <w:rPr>
          <w:lang w:val="sl-SI" w:eastAsia="en-GB"/>
        </w:rPr>
        <w:t xml:space="preserve">enih </w:t>
      </w:r>
      <w:r w:rsidRPr="00275FBD">
        <w:rPr>
          <w:lang w:val="sl-SI" w:eastAsia="en-GB"/>
        </w:rPr>
        <w:t xml:space="preserve">v prvi fazi NEK PSR3, je bilo </w:t>
      </w:r>
      <w:r w:rsidR="009E43F5">
        <w:rPr>
          <w:lang w:val="sl-SI" w:eastAsia="en-GB"/>
        </w:rPr>
        <w:t xml:space="preserve">že </w:t>
      </w:r>
      <w:r w:rsidR="00720355">
        <w:rPr>
          <w:lang w:val="sl-SI" w:eastAsia="en-GB"/>
        </w:rPr>
        <w:t>raz</w:t>
      </w:r>
      <w:r w:rsidRPr="00275FBD">
        <w:rPr>
          <w:lang w:val="sl-SI" w:eastAsia="en-GB"/>
        </w:rPr>
        <w:t>rešenih. T</w:t>
      </w:r>
      <w:r w:rsidR="00910B6F" w:rsidRPr="00275FBD">
        <w:rPr>
          <w:lang w:val="sl-SI" w:eastAsia="en-GB"/>
        </w:rPr>
        <w:t>e</w:t>
      </w:r>
      <w:r w:rsidRPr="00275FBD">
        <w:rPr>
          <w:lang w:val="sl-SI" w:eastAsia="en-GB"/>
        </w:rPr>
        <w:t xml:space="preserve"> </w:t>
      </w:r>
      <w:r w:rsidR="00910B6F" w:rsidRPr="00275FBD">
        <w:rPr>
          <w:lang w:val="sl-SI" w:eastAsia="en-GB"/>
        </w:rPr>
        <w:t xml:space="preserve">najdbe </w:t>
      </w:r>
      <w:r w:rsidRPr="00275FBD">
        <w:rPr>
          <w:lang w:val="sl-SI" w:eastAsia="en-GB"/>
        </w:rPr>
        <w:t>so bil</w:t>
      </w:r>
      <w:r w:rsidR="00B81901">
        <w:rPr>
          <w:lang w:val="sl-SI" w:eastAsia="en-GB"/>
        </w:rPr>
        <w:t>e</w:t>
      </w:r>
      <w:r w:rsidRPr="00275FBD">
        <w:rPr>
          <w:lang w:val="sl-SI" w:eastAsia="en-GB"/>
        </w:rPr>
        <w:t xml:space="preserve"> dodatno obravnavan</w:t>
      </w:r>
      <w:r w:rsidR="00B81901">
        <w:rPr>
          <w:lang w:val="sl-SI" w:eastAsia="en-GB"/>
        </w:rPr>
        <w:t>e</w:t>
      </w:r>
      <w:r w:rsidRPr="00275FBD">
        <w:rPr>
          <w:lang w:val="sl-SI" w:eastAsia="en-GB"/>
        </w:rPr>
        <w:t xml:space="preserve"> v komunikaciji z URSJV (ko so bila končna tematska poročila potrjena s strani URSJV)</w:t>
      </w:r>
      <w:r w:rsidR="009E43F5">
        <w:rPr>
          <w:lang w:val="sl-SI" w:eastAsia="en-GB"/>
        </w:rPr>
        <w:t xml:space="preserve"> in </w:t>
      </w:r>
      <w:r w:rsidRPr="00275FBD">
        <w:rPr>
          <w:lang w:val="sl-SI" w:eastAsia="en-GB"/>
        </w:rPr>
        <w:t>so bil</w:t>
      </w:r>
      <w:r w:rsidR="00B81901">
        <w:rPr>
          <w:lang w:val="sl-SI" w:eastAsia="en-GB"/>
        </w:rPr>
        <w:t>e</w:t>
      </w:r>
      <w:r w:rsidRPr="00275FBD">
        <w:rPr>
          <w:lang w:val="sl-SI" w:eastAsia="en-GB"/>
        </w:rPr>
        <w:t xml:space="preserve"> zaključen</w:t>
      </w:r>
      <w:r w:rsidR="00B81901">
        <w:rPr>
          <w:lang w:val="sl-SI" w:eastAsia="en-GB"/>
        </w:rPr>
        <w:t>e</w:t>
      </w:r>
      <w:r w:rsidRPr="00275FBD">
        <w:rPr>
          <w:lang w:val="sl-SI" w:eastAsia="en-GB"/>
        </w:rPr>
        <w:t xml:space="preserve"> brez dodatnega vrednotenja.</w:t>
      </w:r>
    </w:p>
    <w:p w14:paraId="216130B9" w14:textId="2A5D4ABC" w:rsidR="00141F96" w:rsidRPr="00275FBD" w:rsidRDefault="00141F96" w:rsidP="00141F96">
      <w:pPr>
        <w:rPr>
          <w:lang w:val="sl-SI" w:eastAsia="en-GB"/>
        </w:rPr>
      </w:pPr>
      <w:r w:rsidRPr="00275FBD">
        <w:rPr>
          <w:lang w:val="sl-SI" w:eastAsia="en-GB"/>
        </w:rPr>
        <w:t xml:space="preserve">Ostalo je še 127 </w:t>
      </w:r>
      <w:r w:rsidR="00BD5705" w:rsidRPr="00275FBD">
        <w:rPr>
          <w:lang w:val="sl-SI" w:eastAsia="en-GB"/>
        </w:rPr>
        <w:t>najdb,</w:t>
      </w:r>
      <w:r w:rsidRPr="00275FBD">
        <w:rPr>
          <w:lang w:val="sl-SI" w:eastAsia="en-GB"/>
        </w:rPr>
        <w:t xml:space="preserve"> ki niso »samodejno« vključen</w:t>
      </w:r>
      <w:r w:rsidR="00B81901">
        <w:rPr>
          <w:lang w:val="sl-SI" w:eastAsia="en-GB"/>
        </w:rPr>
        <w:t>e</w:t>
      </w:r>
      <w:r w:rsidRPr="00275FBD">
        <w:rPr>
          <w:lang w:val="sl-SI" w:eastAsia="en-GB"/>
        </w:rPr>
        <w:t xml:space="preserve"> v Načrt izvedbe ukrepov po zgoraj navedenih kriterijih</w:t>
      </w:r>
      <w:r w:rsidR="009E43F5">
        <w:rPr>
          <w:lang w:val="sl-SI" w:eastAsia="en-GB"/>
        </w:rPr>
        <w:t xml:space="preserve"> in </w:t>
      </w:r>
      <w:r w:rsidR="00882E76">
        <w:rPr>
          <w:lang w:val="sl-SI" w:eastAsia="en-GB"/>
        </w:rPr>
        <w:t>imajo</w:t>
      </w:r>
      <w:r w:rsidRPr="00275FBD">
        <w:rPr>
          <w:lang w:val="sl-SI" w:eastAsia="en-GB"/>
        </w:rPr>
        <w:t xml:space="preserve"> rang "3" ali "2".</w:t>
      </w:r>
    </w:p>
    <w:p w14:paraId="2896FE2D" w14:textId="62DEF7F0" w:rsidR="00141F96" w:rsidRPr="00275FBD" w:rsidRDefault="00141F96" w:rsidP="00141F96">
      <w:pPr>
        <w:rPr>
          <w:lang w:val="sl-SI" w:eastAsia="en-GB"/>
        </w:rPr>
      </w:pPr>
      <w:r w:rsidRPr="00275FBD">
        <w:rPr>
          <w:lang w:val="sl-SI" w:eastAsia="en-GB"/>
        </w:rPr>
        <w:t xml:space="preserve">V tabeli </w:t>
      </w:r>
      <w:r w:rsidR="00DF19D1" w:rsidRPr="00275FBD">
        <w:rPr>
          <w:lang w:val="sl-SI" w:eastAsia="en-GB"/>
        </w:rPr>
        <w:fldChar w:fldCharType="begin"/>
      </w:r>
      <w:r w:rsidR="00DF19D1" w:rsidRPr="00275FBD">
        <w:rPr>
          <w:lang w:val="sl-SI" w:eastAsia="en-GB"/>
        </w:rPr>
        <w:instrText xml:space="preserve"> REF _Ref138449155 \h </w:instrText>
      </w:r>
      <w:r w:rsidR="00DF19D1" w:rsidRPr="00275FBD">
        <w:rPr>
          <w:lang w:val="sl-SI" w:eastAsia="en-GB"/>
        </w:rPr>
      </w:r>
      <w:r w:rsidR="00DF19D1" w:rsidRPr="00275FBD">
        <w:rPr>
          <w:lang w:val="sl-SI" w:eastAsia="en-GB"/>
        </w:rPr>
        <w:fldChar w:fldCharType="separate"/>
      </w:r>
      <w:r w:rsidR="00BA25CD" w:rsidRPr="00275FBD">
        <w:rPr>
          <w:lang w:val="sl-SI"/>
        </w:rPr>
        <w:t xml:space="preserve">Tabela </w:t>
      </w:r>
      <w:r w:rsidR="00BA25CD">
        <w:rPr>
          <w:noProof/>
          <w:lang w:val="sl-SI"/>
        </w:rPr>
        <w:t>5</w:t>
      </w:r>
      <w:r w:rsidR="00BA25CD" w:rsidRPr="00275FBD">
        <w:rPr>
          <w:lang w:val="sl-SI"/>
        </w:rPr>
        <w:noBreakHyphen/>
      </w:r>
      <w:r w:rsidR="00BA25CD">
        <w:rPr>
          <w:noProof/>
          <w:lang w:val="sl-SI"/>
        </w:rPr>
        <w:t>4</w:t>
      </w:r>
      <w:r w:rsidR="00DF19D1" w:rsidRPr="00275FBD">
        <w:rPr>
          <w:lang w:val="sl-SI" w:eastAsia="en-GB"/>
        </w:rPr>
        <w:fldChar w:fldCharType="end"/>
      </w:r>
      <w:r w:rsidRPr="00275FBD">
        <w:rPr>
          <w:lang w:val="sl-SI" w:eastAsia="en-GB"/>
        </w:rPr>
        <w:t xml:space="preserve"> je prikazana porazdelitev </w:t>
      </w:r>
      <w:r w:rsidR="00BD5705" w:rsidRPr="00275FBD">
        <w:rPr>
          <w:lang w:val="sl-SI" w:eastAsia="en-GB"/>
        </w:rPr>
        <w:t>najdb,</w:t>
      </w:r>
      <w:r w:rsidRPr="00275FBD">
        <w:rPr>
          <w:lang w:val="sl-SI" w:eastAsia="en-GB"/>
        </w:rPr>
        <w:t xml:space="preserve"> ki so </w:t>
      </w:r>
      <w:r w:rsidR="0014523E" w:rsidRPr="00275FBD">
        <w:rPr>
          <w:lang w:val="sl-SI" w:eastAsia="en-GB"/>
        </w:rPr>
        <w:t>neposred</w:t>
      </w:r>
      <w:r w:rsidR="0014523E">
        <w:rPr>
          <w:lang w:val="sl-SI" w:eastAsia="en-GB"/>
        </w:rPr>
        <w:t>no</w:t>
      </w:r>
      <w:r w:rsidR="0014523E" w:rsidRPr="00275FBD">
        <w:rPr>
          <w:lang w:val="sl-SI" w:eastAsia="en-GB"/>
        </w:rPr>
        <w:t xml:space="preserve"> </w:t>
      </w:r>
      <w:r w:rsidR="0014523E">
        <w:rPr>
          <w:lang w:val="sl-SI" w:eastAsia="en-GB"/>
        </w:rPr>
        <w:t>vključene</w:t>
      </w:r>
      <w:r w:rsidR="0014523E" w:rsidRPr="00275FBD">
        <w:rPr>
          <w:lang w:val="sl-SI" w:eastAsia="en-GB"/>
        </w:rPr>
        <w:t xml:space="preserve"> </w:t>
      </w:r>
      <w:r w:rsidRPr="00275FBD">
        <w:rPr>
          <w:lang w:val="sl-SI" w:eastAsia="en-GB"/>
        </w:rPr>
        <w:t xml:space="preserve">v CAP glede na obravnavana merila, ter </w:t>
      </w:r>
      <w:r w:rsidR="00BD5705" w:rsidRPr="00275FBD">
        <w:rPr>
          <w:lang w:val="sl-SI" w:eastAsia="en-GB"/>
        </w:rPr>
        <w:t>najdb,</w:t>
      </w:r>
      <w:r w:rsidRPr="00275FBD">
        <w:rPr>
          <w:lang w:val="sl-SI" w:eastAsia="en-GB"/>
        </w:rPr>
        <w:t xml:space="preserve"> ki ne sodijo neposredno v IAP.</w:t>
      </w:r>
    </w:p>
    <w:p w14:paraId="2A7EC603" w14:textId="11A260B0" w:rsidR="00494AC9" w:rsidRPr="00275FBD" w:rsidRDefault="00141F96" w:rsidP="00141F96">
      <w:pPr>
        <w:rPr>
          <w:lang w:val="sl-SI" w:eastAsia="en-GB"/>
        </w:rPr>
      </w:pPr>
      <w:r w:rsidRPr="00275FBD">
        <w:rPr>
          <w:lang w:val="sl-SI" w:eastAsia="en-GB"/>
        </w:rPr>
        <w:t xml:space="preserve">Od </w:t>
      </w:r>
      <w:r w:rsidR="009E43F5">
        <w:rPr>
          <w:lang w:val="sl-SI" w:eastAsia="en-GB"/>
        </w:rPr>
        <w:t xml:space="preserve">skupno </w:t>
      </w:r>
      <w:r w:rsidRPr="00275FBD">
        <w:rPr>
          <w:lang w:val="sl-SI" w:eastAsia="en-GB"/>
        </w:rPr>
        <w:t xml:space="preserve">253 </w:t>
      </w:r>
      <w:r w:rsidR="009E43F5">
        <w:rPr>
          <w:lang w:val="sl-SI" w:eastAsia="en-GB"/>
        </w:rPr>
        <w:t>določe</w:t>
      </w:r>
      <w:r w:rsidR="009E43F5" w:rsidRPr="00275FBD">
        <w:rPr>
          <w:lang w:val="sl-SI" w:eastAsia="en-GB"/>
        </w:rPr>
        <w:t xml:space="preserve">nih </w:t>
      </w:r>
      <w:r w:rsidR="00BD5705" w:rsidRPr="00275FBD">
        <w:rPr>
          <w:lang w:val="sl-SI" w:eastAsia="en-GB"/>
        </w:rPr>
        <w:t xml:space="preserve">najdb </w:t>
      </w:r>
      <w:r w:rsidRPr="00275FBD">
        <w:rPr>
          <w:lang w:val="sl-SI" w:eastAsia="en-GB"/>
        </w:rPr>
        <w:t>(</w:t>
      </w:r>
      <w:r w:rsidR="009E43F5">
        <w:rPr>
          <w:lang w:val="sl-SI" w:eastAsia="en-GB"/>
        </w:rPr>
        <w:t>še ena</w:t>
      </w:r>
      <w:r w:rsidRPr="00275FBD">
        <w:rPr>
          <w:lang w:val="sl-SI" w:eastAsia="en-GB"/>
        </w:rPr>
        <w:t xml:space="preserve"> </w:t>
      </w:r>
      <w:r w:rsidR="009E43F5">
        <w:rPr>
          <w:lang w:val="sl-SI" w:eastAsia="en-GB"/>
        </w:rPr>
        <w:t xml:space="preserve">pa </w:t>
      </w:r>
      <w:r w:rsidRPr="00275FBD">
        <w:rPr>
          <w:lang w:val="sl-SI" w:eastAsia="en-GB"/>
        </w:rPr>
        <w:t>predstavlja pozitivno ugotovitev),</w:t>
      </w:r>
      <w:r w:rsidR="005A4131" w:rsidRPr="000D7D8A">
        <w:rPr>
          <w:lang w:val="sl-SI"/>
        </w:rPr>
        <w:t xml:space="preserve"> </w:t>
      </w:r>
      <w:r w:rsidR="005A4131" w:rsidRPr="005A4131">
        <w:rPr>
          <w:lang w:val="sl-SI" w:eastAsia="en-GB"/>
        </w:rPr>
        <w:t>jih</w:t>
      </w:r>
      <w:r w:rsidRPr="00275FBD">
        <w:rPr>
          <w:lang w:val="sl-SI" w:eastAsia="en-GB"/>
        </w:rPr>
        <w:t xml:space="preserve"> bo 98 (38,74 %) neposredno vnesenih v CAP (na podlagi </w:t>
      </w:r>
      <w:r w:rsidR="00DF19D1" w:rsidRPr="00275FBD">
        <w:rPr>
          <w:lang w:val="sl-SI" w:eastAsia="en-GB"/>
        </w:rPr>
        <w:t>ranga višjega kot</w:t>
      </w:r>
      <w:r w:rsidRPr="00275FBD">
        <w:rPr>
          <w:lang w:val="sl-SI" w:eastAsia="en-GB"/>
        </w:rPr>
        <w:t xml:space="preserve"> 3, </w:t>
      </w:r>
      <w:r w:rsidR="00DF19D1" w:rsidRPr="00275FBD">
        <w:rPr>
          <w:lang w:val="sl-SI" w:eastAsia="en-GB"/>
        </w:rPr>
        <w:t>ter »</w:t>
      </w:r>
      <w:r w:rsidRPr="00275FBD">
        <w:rPr>
          <w:lang w:val="sl-SI" w:eastAsia="en-GB"/>
        </w:rPr>
        <w:t>IRR</w:t>
      </w:r>
      <w:r w:rsidR="00DF19D1" w:rsidRPr="00275FBD">
        <w:rPr>
          <w:lang w:val="sl-SI" w:eastAsia="en-GB"/>
        </w:rPr>
        <w:t>«</w:t>
      </w:r>
      <w:r w:rsidRPr="00275FBD">
        <w:rPr>
          <w:lang w:val="sl-SI" w:eastAsia="en-GB"/>
        </w:rPr>
        <w:t xml:space="preserve"> </w:t>
      </w:r>
      <w:r w:rsidR="00DF19D1" w:rsidRPr="00275FBD">
        <w:rPr>
          <w:lang w:val="sl-SI" w:eastAsia="en-GB"/>
        </w:rPr>
        <w:t>ali pa</w:t>
      </w:r>
      <w:r w:rsidRPr="00275FBD">
        <w:rPr>
          <w:lang w:val="sl-SI" w:eastAsia="en-GB"/>
        </w:rPr>
        <w:t xml:space="preserve"> </w:t>
      </w:r>
      <w:r w:rsidR="00DF19D1" w:rsidRPr="00275FBD">
        <w:rPr>
          <w:lang w:val="sl-SI" w:eastAsia="en-GB"/>
        </w:rPr>
        <w:t>»</w:t>
      </w:r>
      <w:r w:rsidRPr="00275FBD">
        <w:rPr>
          <w:lang w:val="sl-SI" w:eastAsia="en-GB"/>
        </w:rPr>
        <w:t>LE</w:t>
      </w:r>
      <w:r w:rsidR="00DF19D1" w:rsidRPr="00275FBD">
        <w:rPr>
          <w:lang w:val="sl-SI" w:eastAsia="en-GB"/>
        </w:rPr>
        <w:t>« kategorij</w:t>
      </w:r>
      <w:r w:rsidRPr="00275FBD">
        <w:rPr>
          <w:lang w:val="sl-SI" w:eastAsia="en-GB"/>
        </w:rPr>
        <w:t xml:space="preserve">). </w:t>
      </w:r>
      <w:r w:rsidR="00F6500C" w:rsidRPr="00275FBD">
        <w:rPr>
          <w:lang w:val="sl-SI" w:eastAsia="en-GB"/>
        </w:rPr>
        <w:t xml:space="preserve">Dodatno </w:t>
      </w:r>
      <w:r w:rsidRPr="00275FBD">
        <w:rPr>
          <w:lang w:val="sl-SI" w:eastAsia="en-GB"/>
        </w:rPr>
        <w:t xml:space="preserve">je bilo </w:t>
      </w:r>
      <w:r w:rsidR="00B20813" w:rsidRPr="00275FBD">
        <w:rPr>
          <w:lang w:val="sl-SI" w:eastAsia="en-GB"/>
        </w:rPr>
        <w:t xml:space="preserve">28 najdb </w:t>
      </w:r>
      <w:r w:rsidRPr="00275FBD">
        <w:rPr>
          <w:lang w:val="sl-SI" w:eastAsia="en-GB"/>
        </w:rPr>
        <w:t xml:space="preserve">že </w:t>
      </w:r>
      <w:r w:rsidR="00B20813">
        <w:rPr>
          <w:lang w:val="sl-SI" w:eastAsia="en-GB"/>
        </w:rPr>
        <w:t>raz</w:t>
      </w:r>
      <w:r w:rsidRPr="00275FBD">
        <w:rPr>
          <w:lang w:val="sl-SI" w:eastAsia="en-GB"/>
        </w:rPr>
        <w:t xml:space="preserve">rešenih (11,07 %). Tako ostane 127 </w:t>
      </w:r>
      <w:r w:rsidR="00BD5705" w:rsidRPr="00275FBD">
        <w:rPr>
          <w:lang w:val="sl-SI" w:eastAsia="en-GB"/>
        </w:rPr>
        <w:t xml:space="preserve">najdb </w:t>
      </w:r>
      <w:r w:rsidRPr="00275FBD">
        <w:rPr>
          <w:lang w:val="sl-SI" w:eastAsia="en-GB"/>
        </w:rPr>
        <w:t>(50,19 %), ki niso bil</w:t>
      </w:r>
      <w:r w:rsidR="005A4131">
        <w:rPr>
          <w:lang w:val="sl-SI" w:eastAsia="en-GB"/>
        </w:rPr>
        <w:t>e</w:t>
      </w:r>
      <w:r w:rsidRPr="00275FBD">
        <w:rPr>
          <w:lang w:val="sl-SI" w:eastAsia="en-GB"/>
        </w:rPr>
        <w:t xml:space="preserve"> izbran</w:t>
      </w:r>
      <w:r w:rsidR="005A4131">
        <w:rPr>
          <w:lang w:val="sl-SI" w:eastAsia="en-GB"/>
        </w:rPr>
        <w:t>e</w:t>
      </w:r>
      <w:r w:rsidRPr="00275FBD">
        <w:rPr>
          <w:lang w:val="sl-SI" w:eastAsia="en-GB"/>
        </w:rPr>
        <w:t xml:space="preserve"> za neposredni vnos v </w:t>
      </w:r>
      <w:r w:rsidR="00F6500C" w:rsidRPr="00275FBD">
        <w:rPr>
          <w:lang w:val="sl-SI" w:eastAsia="en-GB"/>
        </w:rPr>
        <w:t>Načrt izvedbe</w:t>
      </w:r>
      <w:r w:rsidRPr="00275FBD">
        <w:rPr>
          <w:lang w:val="sl-SI" w:eastAsia="en-GB"/>
        </w:rPr>
        <w:t>.</w:t>
      </w:r>
    </w:p>
    <w:p w14:paraId="1BABA772" w14:textId="14B5AF06" w:rsidR="002807DB" w:rsidRPr="00275FBD" w:rsidRDefault="002807DB" w:rsidP="002807DB">
      <w:pPr>
        <w:rPr>
          <w:lang w:val="sl-SI" w:eastAsia="en-GB"/>
        </w:rPr>
      </w:pPr>
      <w:r w:rsidRPr="00275FBD">
        <w:rPr>
          <w:lang w:val="sl-SI" w:eastAsia="en-GB"/>
        </w:rPr>
        <w:t xml:space="preserve">Med temi (rang &lt; 4) </w:t>
      </w:r>
      <w:r w:rsidR="009E43F5">
        <w:rPr>
          <w:lang w:val="sl-SI" w:eastAsia="en-GB"/>
        </w:rPr>
        <w:t>je</w:t>
      </w:r>
      <w:r w:rsidRPr="00275FBD">
        <w:rPr>
          <w:lang w:val="sl-SI" w:eastAsia="en-GB"/>
        </w:rPr>
        <w:t xml:space="preserve"> na podlagi argumentov izvedljivosti</w:t>
      </w:r>
      <w:r w:rsidR="00B20813" w:rsidRPr="00B20813">
        <w:rPr>
          <w:lang w:val="sl-SI" w:eastAsia="en-GB"/>
        </w:rPr>
        <w:t xml:space="preserve"> </w:t>
      </w:r>
      <w:r w:rsidR="00B20813" w:rsidRPr="00275FBD">
        <w:rPr>
          <w:lang w:val="sl-SI" w:eastAsia="en-GB"/>
        </w:rPr>
        <w:t>dejansko vključenih v IAP</w:t>
      </w:r>
      <w:r w:rsidR="00B20813">
        <w:rPr>
          <w:lang w:val="sl-SI" w:eastAsia="en-GB"/>
        </w:rPr>
        <w:t xml:space="preserve"> nasledn</w:t>
      </w:r>
      <w:r w:rsidR="00B20813" w:rsidRPr="00275FBD">
        <w:rPr>
          <w:lang w:val="sl-SI" w:eastAsia="en-GB"/>
        </w:rPr>
        <w:t>je število najdb</w:t>
      </w:r>
      <w:r w:rsidRPr="00275FBD">
        <w:rPr>
          <w:lang w:val="sl-SI" w:eastAsia="en-GB"/>
        </w:rPr>
        <w:t>:</w:t>
      </w:r>
    </w:p>
    <w:p w14:paraId="23437C0F" w14:textId="43AD5E06" w:rsidR="002807DB" w:rsidRPr="00275FBD" w:rsidRDefault="002807DB" w:rsidP="002807DB">
      <w:pPr>
        <w:pStyle w:val="Odstavekseznama"/>
        <w:numPr>
          <w:ilvl w:val="0"/>
          <w:numId w:val="46"/>
        </w:numPr>
        <w:ind w:left="714" w:hanging="357"/>
        <w:contextualSpacing w:val="0"/>
        <w:rPr>
          <w:lang w:val="sl-SI" w:eastAsia="en-GB"/>
        </w:rPr>
      </w:pPr>
      <w:r w:rsidRPr="00275FBD">
        <w:rPr>
          <w:lang w:val="sl-SI" w:eastAsia="en-GB"/>
        </w:rPr>
        <w:t xml:space="preserve">51 (20,16 %) </w:t>
      </w:r>
      <w:r w:rsidR="00BD5705" w:rsidRPr="00275FBD">
        <w:rPr>
          <w:lang w:val="sl-SI" w:eastAsia="en-GB"/>
        </w:rPr>
        <w:t xml:space="preserve">najdb </w:t>
      </w:r>
      <w:r w:rsidRPr="00275FBD">
        <w:rPr>
          <w:lang w:val="sl-SI" w:eastAsia="en-GB"/>
        </w:rPr>
        <w:t>z rangom</w:t>
      </w:r>
      <w:r w:rsidR="007158D5">
        <w:rPr>
          <w:lang w:val="sl-SI" w:eastAsia="en-GB"/>
        </w:rPr>
        <w:t>,</w:t>
      </w:r>
      <w:r w:rsidRPr="00275FBD">
        <w:rPr>
          <w:lang w:val="sl-SI" w:eastAsia="en-GB"/>
        </w:rPr>
        <w:t xml:space="preserve"> manjšim od 4</w:t>
      </w:r>
      <w:r w:rsidR="007158D5">
        <w:rPr>
          <w:lang w:val="sl-SI" w:eastAsia="en-GB"/>
        </w:rPr>
        <w:t>,</w:t>
      </w:r>
      <w:r w:rsidRPr="00275FBD">
        <w:rPr>
          <w:lang w:val="sl-SI" w:eastAsia="en-GB"/>
        </w:rPr>
        <w:t xml:space="preserve"> bo vnesenih v CAP na podlagi utemeljitve predlogov URSJV za dodatne ukrepe </w:t>
      </w:r>
      <w:r w:rsidRPr="00275FBD">
        <w:rPr>
          <w:lang w:val="sl-SI" w:eastAsia="en-GB"/>
        </w:rPr>
        <w:fldChar w:fldCharType="begin"/>
      </w:r>
      <w:r w:rsidRPr="00275FBD">
        <w:rPr>
          <w:lang w:val="sl-SI" w:eastAsia="en-GB"/>
        </w:rPr>
        <w:instrText xml:space="preserve"> REF _Ref135896735 \r \h </w:instrText>
      </w:r>
      <w:r w:rsidRPr="00275FBD">
        <w:rPr>
          <w:lang w:val="sl-SI" w:eastAsia="en-GB"/>
        </w:rPr>
      </w:r>
      <w:r w:rsidRPr="00275FBD">
        <w:rPr>
          <w:lang w:val="sl-SI" w:eastAsia="en-GB"/>
        </w:rPr>
        <w:fldChar w:fldCharType="separate"/>
      </w:r>
      <w:r w:rsidR="00BA25CD">
        <w:rPr>
          <w:lang w:val="sl-SI" w:eastAsia="en-GB"/>
        </w:rPr>
        <w:t>[34]</w:t>
      </w:r>
      <w:r w:rsidRPr="00275FBD">
        <w:rPr>
          <w:lang w:val="sl-SI" w:eastAsia="en-GB"/>
        </w:rPr>
        <w:fldChar w:fldCharType="end"/>
      </w:r>
      <w:r w:rsidRPr="00275FBD">
        <w:rPr>
          <w:lang w:val="sl-SI" w:eastAsia="en-GB"/>
        </w:rPr>
        <w:t>; in</w:t>
      </w:r>
    </w:p>
    <w:p w14:paraId="36E244B3" w14:textId="3A98BBF1" w:rsidR="002807DB" w:rsidRPr="00275FBD" w:rsidRDefault="002807DB" w:rsidP="002807DB">
      <w:pPr>
        <w:pStyle w:val="Odstavekseznama"/>
        <w:numPr>
          <w:ilvl w:val="0"/>
          <w:numId w:val="46"/>
        </w:numPr>
        <w:ind w:left="714" w:hanging="357"/>
        <w:contextualSpacing w:val="0"/>
        <w:rPr>
          <w:lang w:val="sl-SI" w:eastAsia="en-GB"/>
        </w:rPr>
      </w:pPr>
      <w:r w:rsidRPr="00275FBD">
        <w:rPr>
          <w:lang w:val="sl-SI" w:eastAsia="en-GB"/>
        </w:rPr>
        <w:lastRenderedPageBreak/>
        <w:t xml:space="preserve">2 (0,79 %) </w:t>
      </w:r>
      <w:r w:rsidR="00910B6F" w:rsidRPr="00275FBD">
        <w:rPr>
          <w:lang w:val="sl-SI" w:eastAsia="en-GB"/>
        </w:rPr>
        <w:t>najdb</w:t>
      </w:r>
      <w:r w:rsidR="005A4131">
        <w:rPr>
          <w:lang w:val="sl-SI" w:eastAsia="en-GB"/>
        </w:rPr>
        <w:t>i</w:t>
      </w:r>
      <w:r w:rsidR="00910B6F" w:rsidRPr="00275FBD">
        <w:rPr>
          <w:lang w:val="sl-SI" w:eastAsia="en-GB"/>
        </w:rPr>
        <w:t xml:space="preserve"> </w:t>
      </w:r>
      <w:r w:rsidRPr="00275FBD">
        <w:rPr>
          <w:lang w:val="sl-SI" w:eastAsia="en-GB"/>
        </w:rPr>
        <w:t>z rangom</w:t>
      </w:r>
      <w:r w:rsidR="007158D5">
        <w:rPr>
          <w:lang w:val="sl-SI" w:eastAsia="en-GB"/>
        </w:rPr>
        <w:t>,</w:t>
      </w:r>
      <w:r w:rsidRPr="00275FBD">
        <w:rPr>
          <w:lang w:val="sl-SI" w:eastAsia="en-GB"/>
        </w:rPr>
        <w:t xml:space="preserve"> manjšim od 4</w:t>
      </w:r>
      <w:r w:rsidR="007158D5">
        <w:rPr>
          <w:lang w:val="sl-SI" w:eastAsia="en-GB"/>
        </w:rPr>
        <w:t>,</w:t>
      </w:r>
      <w:r w:rsidRPr="00275FBD">
        <w:rPr>
          <w:lang w:val="sl-SI" w:eastAsia="en-GB"/>
        </w:rPr>
        <w:t xml:space="preserve"> bosta vnesen</w:t>
      </w:r>
      <w:r w:rsidR="005A4131">
        <w:rPr>
          <w:lang w:val="sl-SI" w:eastAsia="en-GB"/>
        </w:rPr>
        <w:t>i</w:t>
      </w:r>
      <w:r w:rsidRPr="00275FBD">
        <w:rPr>
          <w:lang w:val="sl-SI" w:eastAsia="en-GB"/>
        </w:rPr>
        <w:t xml:space="preserve"> v CAP na podlagi utemeljitve predlogov </w:t>
      </w:r>
      <w:r w:rsidR="005E252C">
        <w:rPr>
          <w:lang w:val="sl-SI" w:eastAsia="en-GB"/>
        </w:rPr>
        <w:t>pooblaščene organizacije</w:t>
      </w:r>
      <w:r w:rsidRPr="00275FBD">
        <w:rPr>
          <w:lang w:val="sl-SI" w:eastAsia="en-GB"/>
        </w:rPr>
        <w:t xml:space="preserve"> </w:t>
      </w:r>
      <w:r w:rsidR="007A3D6A">
        <w:rPr>
          <w:lang w:val="sl-SI" w:eastAsia="en-GB"/>
        </w:rPr>
        <w:t xml:space="preserve">(AI) </w:t>
      </w:r>
      <w:r w:rsidRPr="00275FBD">
        <w:rPr>
          <w:lang w:val="sl-SI" w:eastAsia="en-GB"/>
        </w:rPr>
        <w:t xml:space="preserve">za dodatne ukrepe, </w:t>
      </w:r>
      <w:r w:rsidR="00B20813">
        <w:rPr>
          <w:lang w:val="sl-SI" w:eastAsia="en-GB"/>
        </w:rPr>
        <w:t>določ</w:t>
      </w:r>
      <w:r w:rsidR="00B20813" w:rsidRPr="00275FBD">
        <w:rPr>
          <w:lang w:val="sl-SI" w:eastAsia="en-GB"/>
        </w:rPr>
        <w:t xml:space="preserve">ene </w:t>
      </w:r>
      <w:r w:rsidRPr="00275FBD">
        <w:rPr>
          <w:lang w:val="sl-SI" w:eastAsia="en-GB"/>
        </w:rPr>
        <w:t xml:space="preserve">v </w:t>
      </w:r>
      <w:r w:rsidR="005E252C">
        <w:rPr>
          <w:lang w:val="sl-SI" w:eastAsia="en-GB"/>
        </w:rPr>
        <w:t>strokovnem mnenju</w:t>
      </w:r>
      <w:r w:rsidRPr="00275FBD">
        <w:rPr>
          <w:lang w:val="sl-SI" w:eastAsia="en-GB"/>
        </w:rPr>
        <w:t xml:space="preserve"> </w:t>
      </w:r>
      <w:r w:rsidR="002314DE" w:rsidRPr="00275FBD">
        <w:rPr>
          <w:lang w:val="sl-SI" w:eastAsia="en-GB"/>
        </w:rPr>
        <w:fldChar w:fldCharType="begin"/>
      </w:r>
      <w:r w:rsidR="002314DE" w:rsidRPr="00275FBD">
        <w:rPr>
          <w:lang w:val="sl-SI" w:eastAsia="en-GB"/>
        </w:rPr>
        <w:instrText xml:space="preserve"> REF _Ref137804319 \r \h </w:instrText>
      </w:r>
      <w:r w:rsidR="002314DE" w:rsidRPr="00275FBD">
        <w:rPr>
          <w:lang w:val="sl-SI" w:eastAsia="en-GB"/>
        </w:rPr>
      </w:r>
      <w:r w:rsidR="002314DE" w:rsidRPr="00275FBD">
        <w:rPr>
          <w:lang w:val="sl-SI" w:eastAsia="en-GB"/>
        </w:rPr>
        <w:fldChar w:fldCharType="separate"/>
      </w:r>
      <w:r w:rsidR="00BA25CD">
        <w:rPr>
          <w:lang w:val="sl-SI" w:eastAsia="en-GB"/>
        </w:rPr>
        <w:t>[35]</w:t>
      </w:r>
      <w:r w:rsidR="002314DE" w:rsidRPr="00275FBD">
        <w:rPr>
          <w:lang w:val="sl-SI" w:eastAsia="en-GB"/>
        </w:rPr>
        <w:fldChar w:fldCharType="end"/>
      </w:r>
      <w:r w:rsidRPr="00275FBD">
        <w:rPr>
          <w:lang w:val="sl-SI" w:eastAsia="en-GB"/>
        </w:rPr>
        <w:t>.</w:t>
      </w:r>
    </w:p>
    <w:p w14:paraId="39FE2D36" w14:textId="77777777" w:rsidR="002807DB" w:rsidRPr="00275FBD" w:rsidRDefault="002807DB" w:rsidP="00ED1A59">
      <w:pPr>
        <w:rPr>
          <w:lang w:val="sl-SI" w:eastAsia="en-GB"/>
        </w:rPr>
      </w:pPr>
    </w:p>
    <w:p w14:paraId="02A740B8" w14:textId="77777777" w:rsidR="00ED1A59" w:rsidRPr="00275FBD" w:rsidRDefault="00ED1A59" w:rsidP="00ED1A59">
      <w:pPr>
        <w:spacing w:before="0" w:after="0"/>
        <w:rPr>
          <w:rFonts w:cs="TimesNewRomanPSMT"/>
          <w:sz w:val="2"/>
          <w:szCs w:val="2"/>
          <w:lang w:val="sl-SI" w:eastAsia="en-GB"/>
        </w:rPr>
      </w:pPr>
    </w:p>
    <w:p w14:paraId="36B22F17" w14:textId="6E1E37E7" w:rsidR="00D51CB7" w:rsidRPr="00275FBD" w:rsidRDefault="00D51CB7" w:rsidP="00D51CB7">
      <w:pPr>
        <w:pStyle w:val="Napis"/>
        <w:rPr>
          <w:lang w:val="sl-SI"/>
        </w:rPr>
      </w:pPr>
      <w:bookmarkStart w:id="105" w:name="_Ref138449155"/>
      <w:bookmarkStart w:id="106" w:name="_Toc163197443"/>
      <w:r w:rsidRPr="00275FBD">
        <w:rPr>
          <w:lang w:val="sl-SI"/>
        </w:rPr>
        <w:t xml:space="preserve">Tabela </w:t>
      </w:r>
      <w:r w:rsidRPr="00275FBD">
        <w:rPr>
          <w:lang w:val="sl-SI"/>
        </w:rPr>
        <w:fldChar w:fldCharType="begin"/>
      </w:r>
      <w:r w:rsidRPr="00275FBD">
        <w:rPr>
          <w:lang w:val="sl-SI"/>
        </w:rPr>
        <w:instrText xml:space="preserve"> STYLEREF 1 \s </w:instrText>
      </w:r>
      <w:r w:rsidRPr="00275FBD">
        <w:rPr>
          <w:lang w:val="sl-SI"/>
        </w:rPr>
        <w:fldChar w:fldCharType="separate"/>
      </w:r>
      <w:r w:rsidR="00BA25CD">
        <w:rPr>
          <w:noProof/>
          <w:lang w:val="sl-SI"/>
        </w:rPr>
        <w:t>5</w:t>
      </w:r>
      <w:r w:rsidRPr="00275FBD">
        <w:rPr>
          <w:lang w:val="sl-SI"/>
        </w:rPr>
        <w:fldChar w:fldCharType="end"/>
      </w:r>
      <w:r w:rsidRPr="00275FBD">
        <w:rPr>
          <w:lang w:val="sl-SI"/>
        </w:rPr>
        <w:noBreakHyphen/>
      </w:r>
      <w:r w:rsidRPr="00275FBD">
        <w:rPr>
          <w:lang w:val="sl-SI"/>
        </w:rPr>
        <w:fldChar w:fldCharType="begin"/>
      </w:r>
      <w:r w:rsidRPr="00275FBD">
        <w:rPr>
          <w:lang w:val="sl-SI"/>
        </w:rPr>
        <w:instrText xml:space="preserve"> SEQ Tabela \* ARABIC \s 1 </w:instrText>
      </w:r>
      <w:r w:rsidRPr="00275FBD">
        <w:rPr>
          <w:lang w:val="sl-SI"/>
        </w:rPr>
        <w:fldChar w:fldCharType="separate"/>
      </w:r>
      <w:r w:rsidR="00BA25CD">
        <w:rPr>
          <w:noProof/>
          <w:lang w:val="sl-SI"/>
        </w:rPr>
        <w:t>4</w:t>
      </w:r>
      <w:r w:rsidRPr="00275FBD">
        <w:rPr>
          <w:lang w:val="sl-SI"/>
        </w:rPr>
        <w:fldChar w:fldCharType="end"/>
      </w:r>
      <w:bookmarkEnd w:id="105"/>
      <w:r w:rsidRPr="00275FBD">
        <w:rPr>
          <w:lang w:val="sl-SI"/>
        </w:rPr>
        <w:t xml:space="preserve">: Statistika </w:t>
      </w:r>
      <w:r w:rsidR="00BD5705" w:rsidRPr="00275FBD">
        <w:rPr>
          <w:lang w:val="sl-SI"/>
        </w:rPr>
        <w:t xml:space="preserve">najdb </w:t>
      </w:r>
      <w:r w:rsidR="0014523E">
        <w:rPr>
          <w:lang w:val="sl-SI"/>
        </w:rPr>
        <w:t>določenih v</w:t>
      </w:r>
      <w:r w:rsidR="0014523E" w:rsidRPr="00275FBD">
        <w:rPr>
          <w:lang w:val="sl-SI"/>
        </w:rPr>
        <w:t xml:space="preserve"> </w:t>
      </w:r>
      <w:r w:rsidRPr="00275FBD">
        <w:rPr>
          <w:lang w:val="sl-SI"/>
        </w:rPr>
        <w:t xml:space="preserve">PSR3 glede na </w:t>
      </w:r>
      <w:r w:rsidR="0014523E">
        <w:rPr>
          <w:lang w:val="sl-SI"/>
        </w:rPr>
        <w:t>načrt izvedbe ukrepov</w:t>
      </w:r>
      <w:r w:rsidR="0014523E" w:rsidRPr="0014523E">
        <w:rPr>
          <w:lang w:val="sl-SI"/>
        </w:rPr>
        <w:t xml:space="preserve"> </w:t>
      </w:r>
      <w:r w:rsidR="0014523E" w:rsidRPr="00275FBD">
        <w:rPr>
          <w:lang w:val="sl-SI"/>
        </w:rPr>
        <w:t>PSR3</w:t>
      </w:r>
      <w:bookmarkEnd w:id="106"/>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559"/>
        <w:gridCol w:w="2095"/>
        <w:gridCol w:w="1418"/>
      </w:tblGrid>
      <w:tr w:rsidR="00ED1A59" w:rsidRPr="00275FBD" w14:paraId="7C5FB046" w14:textId="77777777" w:rsidTr="00DF1BD2">
        <w:tc>
          <w:tcPr>
            <w:tcW w:w="5559" w:type="dxa"/>
            <w:shd w:val="clear" w:color="auto" w:fill="D9D9D9"/>
          </w:tcPr>
          <w:p w14:paraId="4070E354" w14:textId="77777777" w:rsidR="00ED1A59" w:rsidRPr="00275FBD" w:rsidRDefault="00ED1A59" w:rsidP="00B47BFF">
            <w:pPr>
              <w:spacing w:before="60" w:after="60"/>
              <w:jc w:val="left"/>
              <w:rPr>
                <w:rFonts w:cs="TimesNewRomanPSMT"/>
                <w:sz w:val="18"/>
                <w:szCs w:val="18"/>
                <w:lang w:val="sl-SI" w:eastAsia="en-GB"/>
              </w:rPr>
            </w:pPr>
          </w:p>
        </w:tc>
        <w:tc>
          <w:tcPr>
            <w:tcW w:w="2095" w:type="dxa"/>
            <w:shd w:val="clear" w:color="auto" w:fill="D9D9D9"/>
            <w:vAlign w:val="center"/>
          </w:tcPr>
          <w:p w14:paraId="45CDEA21" w14:textId="1C78AB5E" w:rsidR="00ED1A59" w:rsidRPr="00275FBD" w:rsidRDefault="00DF1BD2" w:rsidP="00B47BFF">
            <w:pPr>
              <w:spacing w:before="60" w:after="60"/>
              <w:jc w:val="center"/>
              <w:rPr>
                <w:rFonts w:cs="TimesNewRomanPSMT"/>
                <w:b/>
                <w:sz w:val="18"/>
                <w:szCs w:val="18"/>
                <w:lang w:val="sl-SI" w:eastAsia="en-GB"/>
              </w:rPr>
            </w:pPr>
            <w:r w:rsidRPr="00275FBD">
              <w:rPr>
                <w:rFonts w:cs="Calibri"/>
                <w:b/>
                <w:color w:val="000000"/>
                <w:sz w:val="18"/>
                <w:szCs w:val="18"/>
                <w:lang w:val="sl-SI"/>
              </w:rPr>
              <w:t xml:space="preserve">Število </w:t>
            </w:r>
            <w:r w:rsidR="00B47200" w:rsidRPr="00275FBD">
              <w:rPr>
                <w:rFonts w:cs="Calibri"/>
                <w:b/>
                <w:color w:val="000000"/>
                <w:sz w:val="18"/>
                <w:szCs w:val="18"/>
                <w:lang w:val="sl-SI"/>
              </w:rPr>
              <w:t>najdb</w:t>
            </w:r>
          </w:p>
        </w:tc>
        <w:tc>
          <w:tcPr>
            <w:tcW w:w="1418" w:type="dxa"/>
            <w:shd w:val="clear" w:color="auto" w:fill="D9D9D9"/>
            <w:vAlign w:val="center"/>
          </w:tcPr>
          <w:p w14:paraId="079BBAF3" w14:textId="77777777" w:rsidR="00ED1A59" w:rsidRPr="00275FBD" w:rsidRDefault="00ED1A59" w:rsidP="00B47BFF">
            <w:pPr>
              <w:spacing w:before="60" w:after="60"/>
              <w:jc w:val="center"/>
              <w:rPr>
                <w:rFonts w:cs="TimesNewRomanPSMT"/>
                <w:b/>
                <w:sz w:val="18"/>
                <w:szCs w:val="18"/>
                <w:lang w:val="sl-SI" w:eastAsia="en-GB"/>
              </w:rPr>
            </w:pPr>
            <w:r w:rsidRPr="00275FBD">
              <w:rPr>
                <w:b/>
                <w:color w:val="000000"/>
                <w:sz w:val="18"/>
                <w:szCs w:val="18"/>
                <w:lang w:val="sl-SI"/>
              </w:rPr>
              <w:t>%</w:t>
            </w:r>
          </w:p>
        </w:tc>
      </w:tr>
      <w:tr w:rsidR="00ED1A59" w:rsidRPr="00275FBD" w14:paraId="37789F9C" w14:textId="77777777" w:rsidTr="00DF1BD2">
        <w:tc>
          <w:tcPr>
            <w:tcW w:w="5559" w:type="dxa"/>
            <w:shd w:val="clear" w:color="auto" w:fill="D9D9D9"/>
          </w:tcPr>
          <w:p w14:paraId="7DFA6FE0" w14:textId="0A3E84FA" w:rsidR="00ED1A59" w:rsidRPr="00275FBD" w:rsidRDefault="00ED1A59" w:rsidP="00B47BFF">
            <w:pPr>
              <w:spacing w:before="60" w:after="60"/>
              <w:jc w:val="left"/>
              <w:rPr>
                <w:rFonts w:cs="TimesNewRomanPSMT"/>
                <w:b/>
                <w:sz w:val="18"/>
                <w:szCs w:val="18"/>
                <w:lang w:val="sl-SI" w:eastAsia="en-GB"/>
              </w:rPr>
            </w:pPr>
            <w:r w:rsidRPr="00275FBD">
              <w:rPr>
                <w:rFonts w:cs="TimesNewRomanPSMT"/>
                <w:b/>
                <w:sz w:val="18"/>
                <w:szCs w:val="18"/>
                <w:lang w:val="sl-SI" w:eastAsia="en-GB"/>
              </w:rPr>
              <w:t>Dire</w:t>
            </w:r>
            <w:r w:rsidR="00DF1BD2" w:rsidRPr="00275FBD">
              <w:rPr>
                <w:rFonts w:cs="TimesNewRomanPSMT"/>
                <w:b/>
                <w:sz w:val="18"/>
                <w:szCs w:val="18"/>
                <w:lang w:val="sl-SI" w:eastAsia="en-GB"/>
              </w:rPr>
              <w:t>k</w:t>
            </w:r>
            <w:r w:rsidRPr="00275FBD">
              <w:rPr>
                <w:rFonts w:cs="TimesNewRomanPSMT"/>
                <w:b/>
                <w:sz w:val="18"/>
                <w:szCs w:val="18"/>
                <w:lang w:val="sl-SI" w:eastAsia="en-GB"/>
              </w:rPr>
              <w:t>t</w:t>
            </w:r>
            <w:r w:rsidR="00DF1BD2" w:rsidRPr="00275FBD">
              <w:rPr>
                <w:rFonts w:cs="TimesNewRomanPSMT"/>
                <w:b/>
                <w:sz w:val="18"/>
                <w:szCs w:val="18"/>
                <w:lang w:val="sl-SI" w:eastAsia="en-GB"/>
              </w:rPr>
              <w:t>en</w:t>
            </w:r>
            <w:r w:rsidRPr="00275FBD">
              <w:rPr>
                <w:rFonts w:cs="TimesNewRomanPSMT"/>
                <w:b/>
                <w:sz w:val="18"/>
                <w:szCs w:val="18"/>
                <w:lang w:val="sl-SI" w:eastAsia="en-GB"/>
              </w:rPr>
              <w:t xml:space="preserve"> </w:t>
            </w:r>
            <w:r w:rsidR="00DF1BD2" w:rsidRPr="00275FBD">
              <w:rPr>
                <w:rFonts w:cs="TimesNewRomanPSMT"/>
                <w:b/>
                <w:sz w:val="18"/>
                <w:szCs w:val="18"/>
                <w:lang w:val="sl-SI" w:eastAsia="en-GB"/>
              </w:rPr>
              <w:t>vnos</w:t>
            </w:r>
            <w:r w:rsidRPr="00275FBD">
              <w:rPr>
                <w:rFonts w:cs="TimesNewRomanPSMT"/>
                <w:b/>
                <w:sz w:val="18"/>
                <w:szCs w:val="18"/>
                <w:lang w:val="sl-SI" w:eastAsia="en-GB"/>
              </w:rPr>
              <w:t xml:space="preserve"> </w:t>
            </w:r>
            <w:r w:rsidR="00DF1BD2" w:rsidRPr="00275FBD">
              <w:rPr>
                <w:rFonts w:cs="TimesNewRomanPSMT"/>
                <w:b/>
                <w:sz w:val="18"/>
                <w:szCs w:val="18"/>
                <w:lang w:val="sl-SI" w:eastAsia="en-GB"/>
              </w:rPr>
              <w:t>v</w:t>
            </w:r>
            <w:r w:rsidRPr="00275FBD">
              <w:rPr>
                <w:rFonts w:cs="TimesNewRomanPSMT"/>
                <w:b/>
                <w:sz w:val="18"/>
                <w:szCs w:val="18"/>
                <w:lang w:val="sl-SI" w:eastAsia="en-GB"/>
              </w:rPr>
              <w:t xml:space="preserve"> CAP</w:t>
            </w:r>
          </w:p>
        </w:tc>
        <w:tc>
          <w:tcPr>
            <w:tcW w:w="2095" w:type="dxa"/>
            <w:shd w:val="clear" w:color="auto" w:fill="D9D9D9"/>
            <w:vAlign w:val="center"/>
          </w:tcPr>
          <w:p w14:paraId="0BA2EDB9" w14:textId="15D5334B" w:rsidR="00ED1A59" w:rsidRPr="00275FBD" w:rsidRDefault="009E05ED" w:rsidP="00B47BFF">
            <w:pPr>
              <w:spacing w:before="60" w:after="60"/>
              <w:jc w:val="center"/>
              <w:rPr>
                <w:rFonts w:cs="Calibri"/>
                <w:color w:val="000000"/>
                <w:sz w:val="18"/>
                <w:szCs w:val="18"/>
                <w:lang w:val="sl-SI"/>
              </w:rPr>
            </w:pPr>
            <w:r w:rsidRPr="00275FBD">
              <w:rPr>
                <w:color w:val="000000"/>
                <w:sz w:val="18"/>
                <w:szCs w:val="18"/>
                <w:lang w:val="sl-SI"/>
              </w:rPr>
              <w:t>151</w:t>
            </w:r>
          </w:p>
        </w:tc>
        <w:tc>
          <w:tcPr>
            <w:tcW w:w="1418" w:type="dxa"/>
            <w:shd w:val="clear" w:color="auto" w:fill="D9D9D9"/>
            <w:vAlign w:val="center"/>
          </w:tcPr>
          <w:p w14:paraId="048683BD" w14:textId="1BBFC0C4" w:rsidR="00ED1A59" w:rsidRPr="00275FBD" w:rsidRDefault="009E05ED" w:rsidP="00B47BFF">
            <w:pPr>
              <w:spacing w:before="60" w:after="60"/>
              <w:jc w:val="center"/>
              <w:rPr>
                <w:rFonts w:cs="TimesNewRomanPSMT"/>
                <w:sz w:val="18"/>
                <w:szCs w:val="18"/>
                <w:lang w:val="sl-SI" w:eastAsia="en-GB"/>
              </w:rPr>
            </w:pPr>
            <w:r w:rsidRPr="00275FBD">
              <w:rPr>
                <w:color w:val="000000"/>
                <w:sz w:val="18"/>
                <w:szCs w:val="18"/>
                <w:lang w:val="sl-SI"/>
              </w:rPr>
              <w:t>59</w:t>
            </w:r>
            <w:r w:rsidR="00ED1A59" w:rsidRPr="00275FBD">
              <w:rPr>
                <w:color w:val="000000"/>
                <w:sz w:val="18"/>
                <w:szCs w:val="18"/>
                <w:lang w:val="sl-SI"/>
              </w:rPr>
              <w:t>.</w:t>
            </w:r>
            <w:r w:rsidRPr="00275FBD">
              <w:rPr>
                <w:color w:val="000000"/>
                <w:sz w:val="18"/>
                <w:szCs w:val="18"/>
                <w:lang w:val="sl-SI"/>
              </w:rPr>
              <w:t>68</w:t>
            </w:r>
            <w:r w:rsidR="00ED1A59" w:rsidRPr="00275FBD">
              <w:rPr>
                <w:color w:val="000000"/>
                <w:sz w:val="18"/>
                <w:szCs w:val="18"/>
                <w:lang w:val="sl-SI"/>
              </w:rPr>
              <w:t>%</w:t>
            </w:r>
          </w:p>
        </w:tc>
      </w:tr>
      <w:tr w:rsidR="00ED1A59" w:rsidRPr="00275FBD" w14:paraId="49A17073" w14:textId="77777777" w:rsidTr="00DF1BD2">
        <w:tc>
          <w:tcPr>
            <w:tcW w:w="5559" w:type="dxa"/>
          </w:tcPr>
          <w:p w14:paraId="298FF51F" w14:textId="0F961ACD" w:rsidR="00ED1A59" w:rsidRPr="00275FBD" w:rsidRDefault="00DF1BD2" w:rsidP="00DF1BD2">
            <w:pPr>
              <w:spacing w:before="60" w:after="60"/>
              <w:ind w:left="493"/>
              <w:jc w:val="left"/>
              <w:rPr>
                <w:rFonts w:cs="TimesNewRomanPSMT"/>
                <w:sz w:val="18"/>
                <w:szCs w:val="18"/>
                <w:lang w:val="sl-SI" w:eastAsia="en-GB"/>
              </w:rPr>
            </w:pPr>
            <w:r w:rsidRPr="00275FBD">
              <w:rPr>
                <w:rFonts w:cs="Calibri"/>
                <w:color w:val="000000"/>
                <w:sz w:val="18"/>
                <w:szCs w:val="18"/>
                <w:lang w:val="sl-SI" w:eastAsia="hr-HR"/>
              </w:rPr>
              <w:t>Načrt izvedbe ukrepov (IAP):</w:t>
            </w:r>
            <w:r w:rsidR="00ED1A59" w:rsidRPr="00275FBD">
              <w:rPr>
                <w:rFonts w:cs="Calibri"/>
                <w:color w:val="000000"/>
                <w:sz w:val="18"/>
                <w:szCs w:val="18"/>
                <w:lang w:val="sl-SI" w:eastAsia="hr-HR"/>
              </w:rPr>
              <w:t xml:space="preserve"> </w:t>
            </w:r>
            <w:r w:rsidRPr="00275FBD">
              <w:rPr>
                <w:rFonts w:cs="Calibri"/>
                <w:color w:val="000000"/>
                <w:sz w:val="18"/>
                <w:szCs w:val="18"/>
                <w:lang w:val="sl-SI" w:eastAsia="hr-HR"/>
              </w:rPr>
              <w:t>rang</w:t>
            </w:r>
            <w:r w:rsidR="00ED1A59" w:rsidRPr="00275FBD">
              <w:rPr>
                <w:rFonts w:cs="Calibri"/>
                <w:color w:val="000000"/>
                <w:sz w:val="18"/>
                <w:szCs w:val="18"/>
                <w:lang w:val="sl-SI" w:eastAsia="hr-HR"/>
              </w:rPr>
              <w:t xml:space="preserve"> &gt;3</w:t>
            </w:r>
          </w:p>
        </w:tc>
        <w:tc>
          <w:tcPr>
            <w:tcW w:w="2095" w:type="dxa"/>
            <w:vAlign w:val="center"/>
          </w:tcPr>
          <w:p w14:paraId="12BB6AC0" w14:textId="5C7C92C6" w:rsidR="00ED1A59" w:rsidRPr="00275FBD" w:rsidRDefault="009E05ED" w:rsidP="00B47BFF">
            <w:pPr>
              <w:spacing w:before="60" w:after="60"/>
              <w:jc w:val="center"/>
              <w:rPr>
                <w:rFonts w:cs="TimesNewRomanPSMT"/>
                <w:sz w:val="18"/>
                <w:szCs w:val="18"/>
                <w:lang w:val="sl-SI" w:eastAsia="en-GB"/>
              </w:rPr>
            </w:pPr>
            <w:r w:rsidRPr="00275FBD">
              <w:rPr>
                <w:color w:val="000000"/>
                <w:sz w:val="18"/>
                <w:szCs w:val="18"/>
                <w:lang w:val="sl-SI"/>
              </w:rPr>
              <w:t>50</w:t>
            </w:r>
            <w:r w:rsidR="00FD5D99" w:rsidRPr="00275FBD">
              <w:rPr>
                <w:rFonts w:cs="Calibri"/>
                <w:color w:val="000000"/>
                <w:sz w:val="18"/>
                <w:szCs w:val="18"/>
                <w:vertAlign w:val="superscript"/>
                <w:lang w:val="sl-SI" w:eastAsia="hr-HR"/>
              </w:rPr>
              <w:t>(</w:t>
            </w:r>
            <w:r w:rsidR="00FA1DE2">
              <w:rPr>
                <w:rFonts w:cs="Calibri"/>
                <w:color w:val="000000"/>
                <w:sz w:val="18"/>
                <w:szCs w:val="18"/>
                <w:vertAlign w:val="superscript"/>
                <w:lang w:val="sl-SI" w:eastAsia="hr-HR"/>
              </w:rPr>
              <w:t>3</w:t>
            </w:r>
            <w:r w:rsidR="00FD5D99" w:rsidRPr="00275FBD">
              <w:rPr>
                <w:rFonts w:cs="Calibri"/>
                <w:color w:val="000000"/>
                <w:sz w:val="18"/>
                <w:szCs w:val="18"/>
                <w:vertAlign w:val="superscript"/>
                <w:lang w:val="sl-SI" w:eastAsia="hr-HR"/>
              </w:rPr>
              <w:t>)</w:t>
            </w:r>
          </w:p>
        </w:tc>
        <w:tc>
          <w:tcPr>
            <w:tcW w:w="1418" w:type="dxa"/>
            <w:vAlign w:val="center"/>
          </w:tcPr>
          <w:p w14:paraId="3AFAFBFA" w14:textId="53520468" w:rsidR="00ED1A59" w:rsidRPr="00275FBD" w:rsidRDefault="00ED1A59" w:rsidP="00B47BFF">
            <w:pPr>
              <w:spacing w:before="60" w:after="60"/>
              <w:jc w:val="center"/>
              <w:rPr>
                <w:rFonts w:cs="TimesNewRomanPSMT"/>
                <w:sz w:val="18"/>
                <w:szCs w:val="18"/>
                <w:lang w:val="sl-SI" w:eastAsia="en-GB"/>
              </w:rPr>
            </w:pPr>
            <w:r w:rsidRPr="00275FBD">
              <w:rPr>
                <w:color w:val="000000"/>
                <w:sz w:val="18"/>
                <w:szCs w:val="18"/>
                <w:lang w:val="sl-SI"/>
              </w:rPr>
              <w:t>19.</w:t>
            </w:r>
            <w:r w:rsidR="009E05ED" w:rsidRPr="00275FBD">
              <w:rPr>
                <w:color w:val="000000"/>
                <w:sz w:val="18"/>
                <w:szCs w:val="18"/>
                <w:lang w:val="sl-SI"/>
              </w:rPr>
              <w:t>76</w:t>
            </w:r>
            <w:r w:rsidRPr="00275FBD">
              <w:rPr>
                <w:color w:val="000000"/>
                <w:sz w:val="18"/>
                <w:szCs w:val="18"/>
                <w:lang w:val="sl-SI"/>
              </w:rPr>
              <w:t>%</w:t>
            </w:r>
          </w:p>
        </w:tc>
      </w:tr>
      <w:tr w:rsidR="00ED1A59" w:rsidRPr="00275FBD" w14:paraId="179FBED8" w14:textId="77777777" w:rsidTr="00DF1BD2">
        <w:tc>
          <w:tcPr>
            <w:tcW w:w="5559" w:type="dxa"/>
          </w:tcPr>
          <w:p w14:paraId="5163C252" w14:textId="62A1D73E" w:rsidR="00ED1A59" w:rsidRPr="00275FBD" w:rsidRDefault="00910B6F" w:rsidP="00DF1BD2">
            <w:pPr>
              <w:spacing w:before="60" w:after="60"/>
              <w:ind w:left="493"/>
              <w:jc w:val="left"/>
              <w:rPr>
                <w:rFonts w:cs="TimesNewRomanPSMT"/>
                <w:sz w:val="18"/>
                <w:szCs w:val="18"/>
                <w:lang w:val="sl-SI" w:eastAsia="en-GB"/>
              </w:rPr>
            </w:pPr>
            <w:r w:rsidRPr="00275FBD">
              <w:rPr>
                <w:rFonts w:cs="Calibri"/>
                <w:color w:val="000000"/>
                <w:sz w:val="18"/>
                <w:szCs w:val="18"/>
                <w:lang w:val="sl-SI" w:eastAsia="hr-HR"/>
              </w:rPr>
              <w:t>Najdbe</w:t>
            </w:r>
            <w:r w:rsidR="005C0015">
              <w:rPr>
                <w:rFonts w:cs="Calibri"/>
                <w:color w:val="000000"/>
                <w:sz w:val="18"/>
                <w:szCs w:val="18"/>
                <w:lang w:val="sl-SI" w:eastAsia="hr-HR"/>
              </w:rPr>
              <w:t>,</w:t>
            </w:r>
            <w:r w:rsidR="00DF1BD2" w:rsidRPr="00275FBD">
              <w:rPr>
                <w:rFonts w:cs="Calibri"/>
                <w:color w:val="000000"/>
                <w:sz w:val="18"/>
                <w:szCs w:val="18"/>
                <w:lang w:val="sl-SI" w:eastAsia="hr-HR"/>
              </w:rPr>
              <w:t xml:space="preserve"> ki zahtevajo takojšnjo </w:t>
            </w:r>
            <w:r w:rsidR="00F8499D">
              <w:rPr>
                <w:rFonts w:cs="Calibri"/>
                <w:color w:val="000000"/>
                <w:sz w:val="18"/>
                <w:szCs w:val="18"/>
                <w:lang w:val="sl-SI" w:eastAsia="hr-HR"/>
              </w:rPr>
              <w:t>razrešitev</w:t>
            </w:r>
            <w:r w:rsidR="00F8499D" w:rsidRPr="00275FBD">
              <w:rPr>
                <w:rFonts w:cs="Calibri"/>
                <w:color w:val="000000"/>
                <w:sz w:val="18"/>
                <w:szCs w:val="18"/>
                <w:lang w:val="sl-SI" w:eastAsia="hr-HR"/>
              </w:rPr>
              <w:t xml:space="preserve"> </w:t>
            </w:r>
            <w:r w:rsidR="00ED1A59" w:rsidRPr="00275FBD">
              <w:rPr>
                <w:rFonts w:cs="Calibri"/>
                <w:color w:val="000000"/>
                <w:sz w:val="18"/>
                <w:szCs w:val="18"/>
                <w:lang w:val="sl-SI" w:eastAsia="hr-HR"/>
              </w:rPr>
              <w:t>(</w:t>
            </w:r>
            <w:r w:rsidR="00DF1BD2" w:rsidRPr="00275FBD">
              <w:rPr>
                <w:rFonts w:cs="Calibri"/>
                <w:color w:val="000000"/>
                <w:sz w:val="18"/>
                <w:szCs w:val="18"/>
                <w:lang w:val="sl-SI" w:eastAsia="hr-HR"/>
              </w:rPr>
              <w:t>»</w:t>
            </w:r>
            <w:r w:rsidR="00ED1A59" w:rsidRPr="00275FBD">
              <w:rPr>
                <w:rFonts w:cs="Calibri"/>
                <w:color w:val="000000"/>
                <w:sz w:val="18"/>
                <w:szCs w:val="18"/>
                <w:lang w:val="sl-SI" w:eastAsia="hr-HR"/>
              </w:rPr>
              <w:t>IRR</w:t>
            </w:r>
            <w:r w:rsidR="00DF1BD2" w:rsidRPr="00275FBD">
              <w:rPr>
                <w:rFonts w:cs="Calibri"/>
                <w:color w:val="000000"/>
                <w:sz w:val="18"/>
                <w:szCs w:val="18"/>
                <w:lang w:val="sl-SI" w:eastAsia="hr-HR"/>
              </w:rPr>
              <w:t>«</w:t>
            </w:r>
            <w:r w:rsidR="00ED1A59" w:rsidRPr="00275FBD">
              <w:rPr>
                <w:rFonts w:cs="Calibri"/>
                <w:color w:val="000000"/>
                <w:sz w:val="18"/>
                <w:szCs w:val="18"/>
                <w:lang w:val="sl-SI" w:eastAsia="hr-HR"/>
              </w:rPr>
              <w:t>)</w:t>
            </w:r>
          </w:p>
        </w:tc>
        <w:tc>
          <w:tcPr>
            <w:tcW w:w="2095" w:type="dxa"/>
            <w:vAlign w:val="center"/>
          </w:tcPr>
          <w:p w14:paraId="7B2295C2" w14:textId="77777777" w:rsidR="00ED1A59" w:rsidRPr="00275FBD" w:rsidRDefault="00ED1A59" w:rsidP="00B47BFF">
            <w:pPr>
              <w:spacing w:before="60" w:after="60"/>
              <w:jc w:val="center"/>
              <w:rPr>
                <w:rFonts w:cs="TimesNewRomanPSMT"/>
                <w:sz w:val="18"/>
                <w:szCs w:val="18"/>
                <w:lang w:val="sl-SI" w:eastAsia="en-GB"/>
              </w:rPr>
            </w:pPr>
            <w:r w:rsidRPr="00275FBD">
              <w:rPr>
                <w:color w:val="000000"/>
                <w:sz w:val="18"/>
                <w:szCs w:val="18"/>
                <w:lang w:val="sl-SI"/>
              </w:rPr>
              <w:t>15</w:t>
            </w:r>
          </w:p>
        </w:tc>
        <w:tc>
          <w:tcPr>
            <w:tcW w:w="1418" w:type="dxa"/>
            <w:vAlign w:val="center"/>
          </w:tcPr>
          <w:p w14:paraId="78D828BC" w14:textId="0C7FEEA3" w:rsidR="00ED1A59" w:rsidRPr="00275FBD" w:rsidRDefault="00ED1A59" w:rsidP="00B47BFF">
            <w:pPr>
              <w:spacing w:before="60" w:after="60"/>
              <w:jc w:val="center"/>
              <w:rPr>
                <w:rFonts w:cs="TimesNewRomanPSMT"/>
                <w:sz w:val="18"/>
                <w:szCs w:val="18"/>
                <w:lang w:val="sl-SI" w:eastAsia="en-GB"/>
              </w:rPr>
            </w:pPr>
            <w:r w:rsidRPr="00275FBD">
              <w:rPr>
                <w:color w:val="000000"/>
                <w:sz w:val="18"/>
                <w:szCs w:val="18"/>
                <w:lang w:val="sl-SI"/>
              </w:rPr>
              <w:t>5.9</w:t>
            </w:r>
            <w:r w:rsidR="009E05ED" w:rsidRPr="00275FBD">
              <w:rPr>
                <w:color w:val="000000"/>
                <w:sz w:val="18"/>
                <w:szCs w:val="18"/>
                <w:lang w:val="sl-SI"/>
              </w:rPr>
              <w:t>3</w:t>
            </w:r>
            <w:r w:rsidRPr="00275FBD">
              <w:rPr>
                <w:color w:val="000000"/>
                <w:sz w:val="18"/>
                <w:szCs w:val="18"/>
                <w:lang w:val="sl-SI"/>
              </w:rPr>
              <w:t>%</w:t>
            </w:r>
          </w:p>
        </w:tc>
      </w:tr>
      <w:tr w:rsidR="00ED1A59" w:rsidRPr="00275FBD" w14:paraId="11569453" w14:textId="77777777" w:rsidTr="00DF1BD2">
        <w:tc>
          <w:tcPr>
            <w:tcW w:w="5559" w:type="dxa"/>
          </w:tcPr>
          <w:p w14:paraId="66691266" w14:textId="75CB4175" w:rsidR="00ED1A59" w:rsidRPr="00275FBD" w:rsidRDefault="00910B6F" w:rsidP="00DF1BD2">
            <w:pPr>
              <w:spacing w:before="60" w:after="60"/>
              <w:ind w:left="493"/>
              <w:jc w:val="left"/>
              <w:rPr>
                <w:rFonts w:cs="TimesNewRomanPSMT"/>
                <w:sz w:val="18"/>
                <w:szCs w:val="18"/>
                <w:lang w:val="sl-SI" w:eastAsia="en-GB"/>
              </w:rPr>
            </w:pPr>
            <w:r w:rsidRPr="00275FBD">
              <w:rPr>
                <w:rFonts w:cs="Calibri"/>
                <w:color w:val="000000"/>
                <w:sz w:val="18"/>
                <w:szCs w:val="18"/>
                <w:lang w:val="sl-SI" w:eastAsia="hr-HR"/>
              </w:rPr>
              <w:t>Najdbe</w:t>
            </w:r>
            <w:r w:rsidR="00DF1BD2" w:rsidRPr="00275FBD">
              <w:rPr>
                <w:rFonts w:cs="Calibri"/>
                <w:color w:val="000000"/>
                <w:sz w:val="18"/>
                <w:szCs w:val="18"/>
                <w:lang w:val="sl-SI" w:eastAsia="hr-HR"/>
              </w:rPr>
              <w:t xml:space="preserve"> </w:t>
            </w:r>
            <w:r w:rsidR="00A7693C">
              <w:rPr>
                <w:rFonts w:cs="Calibri"/>
                <w:color w:val="000000"/>
                <w:sz w:val="18"/>
                <w:szCs w:val="18"/>
                <w:lang w:val="sl-SI" w:eastAsia="hr-HR"/>
              </w:rPr>
              <w:t xml:space="preserve">izvedljive </w:t>
            </w:r>
            <w:r w:rsidR="00DF1BD2" w:rsidRPr="00275FBD">
              <w:rPr>
                <w:rFonts w:cs="Calibri"/>
                <w:color w:val="000000"/>
                <w:sz w:val="18"/>
                <w:szCs w:val="18"/>
                <w:lang w:val="sl-SI" w:eastAsia="hr-HR"/>
              </w:rPr>
              <w:t xml:space="preserve">z </w:t>
            </w:r>
            <w:r w:rsidR="00A7693C">
              <w:rPr>
                <w:rFonts w:cs="Calibri"/>
                <w:color w:val="000000"/>
                <w:sz w:val="18"/>
                <w:szCs w:val="18"/>
                <w:lang w:val="sl-SI" w:eastAsia="hr-HR"/>
              </w:rPr>
              <w:t>majhn</w:t>
            </w:r>
            <w:r w:rsidR="00DF1BD2" w:rsidRPr="00275FBD">
              <w:rPr>
                <w:rFonts w:cs="Calibri"/>
                <w:color w:val="000000"/>
                <w:sz w:val="18"/>
                <w:szCs w:val="18"/>
                <w:lang w:val="sl-SI" w:eastAsia="hr-HR"/>
              </w:rPr>
              <w:t>im naporom</w:t>
            </w:r>
            <w:r w:rsidR="00ED1A59" w:rsidRPr="00275FBD">
              <w:rPr>
                <w:rFonts w:cs="Calibri"/>
                <w:color w:val="000000"/>
                <w:sz w:val="18"/>
                <w:szCs w:val="18"/>
                <w:lang w:val="sl-SI" w:eastAsia="hr-HR"/>
              </w:rPr>
              <w:t xml:space="preserve"> (</w:t>
            </w:r>
            <w:r w:rsidR="00DF1BD2" w:rsidRPr="00275FBD">
              <w:rPr>
                <w:rFonts w:cs="Calibri"/>
                <w:color w:val="000000"/>
                <w:sz w:val="18"/>
                <w:szCs w:val="18"/>
                <w:lang w:val="sl-SI" w:eastAsia="hr-HR"/>
              </w:rPr>
              <w:t>»</w:t>
            </w:r>
            <w:r w:rsidR="00ED1A59" w:rsidRPr="00275FBD">
              <w:rPr>
                <w:rFonts w:cs="Calibri"/>
                <w:color w:val="000000"/>
                <w:sz w:val="18"/>
                <w:szCs w:val="18"/>
                <w:lang w:val="sl-SI" w:eastAsia="hr-HR"/>
              </w:rPr>
              <w:t>LE</w:t>
            </w:r>
            <w:r w:rsidR="00DF1BD2" w:rsidRPr="00275FBD">
              <w:rPr>
                <w:rFonts w:cs="Calibri"/>
                <w:color w:val="000000"/>
                <w:sz w:val="18"/>
                <w:szCs w:val="18"/>
                <w:lang w:val="sl-SI" w:eastAsia="hr-HR"/>
              </w:rPr>
              <w:t>«</w:t>
            </w:r>
            <w:r w:rsidR="00ED1A59" w:rsidRPr="00275FBD">
              <w:rPr>
                <w:rFonts w:cs="Calibri"/>
                <w:color w:val="000000"/>
                <w:sz w:val="18"/>
                <w:szCs w:val="18"/>
                <w:lang w:val="sl-SI" w:eastAsia="hr-HR"/>
              </w:rPr>
              <w:t>)</w:t>
            </w:r>
          </w:p>
        </w:tc>
        <w:tc>
          <w:tcPr>
            <w:tcW w:w="2095" w:type="dxa"/>
            <w:vAlign w:val="center"/>
          </w:tcPr>
          <w:p w14:paraId="67F3BA27" w14:textId="77777777" w:rsidR="00ED1A59" w:rsidRPr="00275FBD" w:rsidRDefault="00ED1A59" w:rsidP="00B47BFF">
            <w:pPr>
              <w:spacing w:before="60" w:after="60"/>
              <w:jc w:val="center"/>
              <w:rPr>
                <w:rFonts w:cs="TimesNewRomanPSMT"/>
                <w:sz w:val="18"/>
                <w:szCs w:val="18"/>
                <w:lang w:val="sl-SI" w:eastAsia="en-GB"/>
              </w:rPr>
            </w:pPr>
            <w:r w:rsidRPr="00275FBD">
              <w:rPr>
                <w:color w:val="000000"/>
                <w:sz w:val="18"/>
                <w:szCs w:val="18"/>
                <w:lang w:val="sl-SI"/>
              </w:rPr>
              <w:t>33</w:t>
            </w:r>
          </w:p>
        </w:tc>
        <w:tc>
          <w:tcPr>
            <w:tcW w:w="1418" w:type="dxa"/>
            <w:vAlign w:val="center"/>
          </w:tcPr>
          <w:p w14:paraId="0C3967FA" w14:textId="22F2A96D" w:rsidR="00ED1A59" w:rsidRPr="00275FBD" w:rsidRDefault="00ED1A59" w:rsidP="00B47BFF">
            <w:pPr>
              <w:spacing w:before="60" w:after="60"/>
              <w:jc w:val="center"/>
              <w:rPr>
                <w:rFonts w:cs="TimesNewRomanPSMT"/>
                <w:sz w:val="18"/>
                <w:szCs w:val="18"/>
                <w:lang w:val="sl-SI" w:eastAsia="en-GB"/>
              </w:rPr>
            </w:pPr>
            <w:r w:rsidRPr="00275FBD">
              <w:rPr>
                <w:color w:val="000000"/>
                <w:sz w:val="18"/>
                <w:szCs w:val="18"/>
                <w:lang w:val="sl-SI"/>
              </w:rPr>
              <w:t>13.</w:t>
            </w:r>
            <w:r w:rsidR="009E05ED" w:rsidRPr="00275FBD">
              <w:rPr>
                <w:color w:val="000000"/>
                <w:sz w:val="18"/>
                <w:szCs w:val="18"/>
                <w:lang w:val="sl-SI"/>
              </w:rPr>
              <w:t>04</w:t>
            </w:r>
            <w:r w:rsidRPr="00275FBD">
              <w:rPr>
                <w:color w:val="000000"/>
                <w:sz w:val="18"/>
                <w:szCs w:val="18"/>
                <w:lang w:val="sl-SI"/>
              </w:rPr>
              <w:t>%</w:t>
            </w:r>
          </w:p>
        </w:tc>
      </w:tr>
      <w:tr w:rsidR="00ED1A59" w:rsidRPr="00275FBD" w14:paraId="376AD5F3" w14:textId="77777777" w:rsidTr="00DF1BD2">
        <w:tc>
          <w:tcPr>
            <w:tcW w:w="5559" w:type="dxa"/>
          </w:tcPr>
          <w:p w14:paraId="4184F7F6" w14:textId="196984A2" w:rsidR="00ED1A59" w:rsidRPr="00275FBD" w:rsidRDefault="00910B6F" w:rsidP="00DF1BD2">
            <w:pPr>
              <w:spacing w:before="60" w:after="60"/>
              <w:ind w:left="493"/>
              <w:jc w:val="left"/>
              <w:rPr>
                <w:rFonts w:cs="TimesNewRomanPSMT"/>
                <w:sz w:val="18"/>
                <w:szCs w:val="18"/>
                <w:lang w:val="sl-SI" w:eastAsia="en-GB"/>
              </w:rPr>
            </w:pPr>
            <w:r w:rsidRPr="00275FBD">
              <w:rPr>
                <w:rFonts w:cs="Calibri"/>
                <w:color w:val="000000"/>
                <w:sz w:val="18"/>
                <w:szCs w:val="18"/>
                <w:lang w:val="sl-SI" w:eastAsia="hr-HR"/>
              </w:rPr>
              <w:t>Zahteva</w:t>
            </w:r>
            <w:r w:rsidR="00DF1BD2" w:rsidRPr="00275FBD">
              <w:rPr>
                <w:rFonts w:cs="Calibri"/>
                <w:color w:val="000000"/>
                <w:sz w:val="18"/>
                <w:szCs w:val="18"/>
                <w:lang w:val="sl-SI" w:eastAsia="hr-HR"/>
              </w:rPr>
              <w:t xml:space="preserve"> – URSJV</w:t>
            </w:r>
          </w:p>
        </w:tc>
        <w:tc>
          <w:tcPr>
            <w:tcW w:w="2095" w:type="dxa"/>
            <w:vAlign w:val="center"/>
          </w:tcPr>
          <w:p w14:paraId="252980F8" w14:textId="1F39069F" w:rsidR="00ED1A59" w:rsidRPr="00275FBD" w:rsidRDefault="00681C57" w:rsidP="00B47BFF">
            <w:pPr>
              <w:spacing w:before="60" w:after="60"/>
              <w:jc w:val="center"/>
              <w:rPr>
                <w:rFonts w:cs="TimesNewRomanPSMT"/>
                <w:sz w:val="18"/>
                <w:szCs w:val="18"/>
                <w:lang w:val="sl-SI" w:eastAsia="en-GB"/>
              </w:rPr>
            </w:pPr>
            <w:r w:rsidRPr="00275FBD">
              <w:rPr>
                <w:color w:val="000000"/>
                <w:sz w:val="18"/>
                <w:szCs w:val="18"/>
                <w:lang w:val="sl-SI"/>
              </w:rPr>
              <w:t>51</w:t>
            </w:r>
          </w:p>
        </w:tc>
        <w:tc>
          <w:tcPr>
            <w:tcW w:w="1418" w:type="dxa"/>
            <w:vAlign w:val="center"/>
          </w:tcPr>
          <w:p w14:paraId="44457373" w14:textId="525A75A4" w:rsidR="00ED1A59" w:rsidRPr="00275FBD" w:rsidRDefault="005F3BC3" w:rsidP="00B47BFF">
            <w:pPr>
              <w:spacing w:before="60" w:after="60"/>
              <w:jc w:val="center"/>
              <w:rPr>
                <w:rFonts w:cs="TimesNewRomanPSMT"/>
                <w:sz w:val="18"/>
                <w:szCs w:val="18"/>
                <w:lang w:val="sl-SI" w:eastAsia="en-GB"/>
              </w:rPr>
            </w:pPr>
            <w:r w:rsidRPr="00275FBD">
              <w:rPr>
                <w:color w:val="000000"/>
                <w:sz w:val="18"/>
                <w:szCs w:val="18"/>
                <w:lang w:val="sl-SI"/>
              </w:rPr>
              <w:t>20</w:t>
            </w:r>
            <w:r w:rsidR="00ED1A59" w:rsidRPr="00275FBD">
              <w:rPr>
                <w:color w:val="000000"/>
                <w:sz w:val="18"/>
                <w:szCs w:val="18"/>
                <w:lang w:val="sl-SI"/>
              </w:rPr>
              <w:t>.</w:t>
            </w:r>
            <w:r w:rsidR="009E05ED" w:rsidRPr="00275FBD">
              <w:rPr>
                <w:color w:val="000000"/>
                <w:sz w:val="18"/>
                <w:szCs w:val="18"/>
                <w:lang w:val="sl-SI"/>
              </w:rPr>
              <w:t>16</w:t>
            </w:r>
            <w:r w:rsidR="00ED1A59" w:rsidRPr="00275FBD">
              <w:rPr>
                <w:color w:val="000000"/>
                <w:sz w:val="18"/>
                <w:szCs w:val="18"/>
                <w:lang w:val="sl-SI"/>
              </w:rPr>
              <w:t>%</w:t>
            </w:r>
          </w:p>
        </w:tc>
      </w:tr>
      <w:tr w:rsidR="009E05ED" w:rsidRPr="00275FBD" w14:paraId="02D7D339" w14:textId="77777777" w:rsidTr="00DF1BD2">
        <w:tc>
          <w:tcPr>
            <w:tcW w:w="5559" w:type="dxa"/>
          </w:tcPr>
          <w:p w14:paraId="3B30F401" w14:textId="6BCE4BA7" w:rsidR="009E05ED" w:rsidRPr="00275FBD" w:rsidRDefault="00910B6F" w:rsidP="00DF1BD2">
            <w:pPr>
              <w:spacing w:before="60" w:after="60"/>
              <w:ind w:left="493"/>
              <w:jc w:val="left"/>
              <w:rPr>
                <w:rFonts w:cs="Calibri"/>
                <w:color w:val="000000"/>
                <w:sz w:val="18"/>
                <w:szCs w:val="18"/>
                <w:lang w:val="sl-SI" w:eastAsia="hr-HR"/>
              </w:rPr>
            </w:pPr>
            <w:r w:rsidRPr="00275FBD">
              <w:rPr>
                <w:rFonts w:cs="Calibri"/>
                <w:color w:val="000000"/>
                <w:sz w:val="18"/>
                <w:szCs w:val="18"/>
                <w:lang w:val="sl-SI" w:eastAsia="hr-HR"/>
              </w:rPr>
              <w:t>Zahteva</w:t>
            </w:r>
            <w:r w:rsidR="00DF1BD2" w:rsidRPr="00275FBD">
              <w:rPr>
                <w:rFonts w:cs="Calibri"/>
                <w:color w:val="000000"/>
                <w:sz w:val="18"/>
                <w:szCs w:val="18"/>
                <w:lang w:val="sl-SI" w:eastAsia="hr-HR"/>
              </w:rPr>
              <w:t xml:space="preserve"> – AI</w:t>
            </w:r>
          </w:p>
        </w:tc>
        <w:tc>
          <w:tcPr>
            <w:tcW w:w="2095" w:type="dxa"/>
            <w:vAlign w:val="center"/>
          </w:tcPr>
          <w:p w14:paraId="600DA746" w14:textId="18CAC749" w:rsidR="009E05ED" w:rsidRPr="00275FBD" w:rsidRDefault="009E05ED" w:rsidP="00B47BFF">
            <w:pPr>
              <w:spacing w:before="60" w:after="60"/>
              <w:jc w:val="center"/>
              <w:rPr>
                <w:color w:val="000000"/>
                <w:sz w:val="18"/>
                <w:szCs w:val="18"/>
                <w:lang w:val="sl-SI"/>
              </w:rPr>
            </w:pPr>
            <w:r w:rsidRPr="00275FBD">
              <w:rPr>
                <w:color w:val="000000"/>
                <w:sz w:val="18"/>
                <w:szCs w:val="18"/>
                <w:lang w:val="sl-SI"/>
              </w:rPr>
              <w:t>2</w:t>
            </w:r>
          </w:p>
        </w:tc>
        <w:tc>
          <w:tcPr>
            <w:tcW w:w="1418" w:type="dxa"/>
            <w:vAlign w:val="center"/>
          </w:tcPr>
          <w:p w14:paraId="06D70B44" w14:textId="65D61E87" w:rsidR="009E05ED" w:rsidRPr="00275FBD" w:rsidRDefault="009E05ED" w:rsidP="00B47BFF">
            <w:pPr>
              <w:spacing w:before="60" w:after="60"/>
              <w:jc w:val="center"/>
              <w:rPr>
                <w:color w:val="000000"/>
                <w:sz w:val="18"/>
                <w:szCs w:val="18"/>
                <w:lang w:val="sl-SI"/>
              </w:rPr>
            </w:pPr>
            <w:r w:rsidRPr="00275FBD">
              <w:rPr>
                <w:color w:val="000000"/>
                <w:sz w:val="18"/>
                <w:szCs w:val="18"/>
                <w:lang w:val="sl-SI"/>
              </w:rPr>
              <w:t>0.79%</w:t>
            </w:r>
          </w:p>
        </w:tc>
      </w:tr>
      <w:tr w:rsidR="00ED1A59" w:rsidRPr="00275FBD" w14:paraId="422B1DD9" w14:textId="77777777" w:rsidTr="00DF1BD2">
        <w:tc>
          <w:tcPr>
            <w:tcW w:w="5559" w:type="dxa"/>
            <w:shd w:val="clear" w:color="auto" w:fill="auto"/>
          </w:tcPr>
          <w:p w14:paraId="189E9695" w14:textId="60DF7202" w:rsidR="00ED1A59" w:rsidRPr="00275FBD" w:rsidRDefault="00DF1BD2" w:rsidP="00DF1BD2">
            <w:pPr>
              <w:spacing w:before="60" w:after="60"/>
              <w:ind w:left="493"/>
              <w:jc w:val="left"/>
              <w:rPr>
                <w:rFonts w:cs="Calibri"/>
                <w:color w:val="000000"/>
                <w:sz w:val="18"/>
                <w:szCs w:val="18"/>
                <w:lang w:val="sl-SI" w:eastAsia="hr-HR"/>
              </w:rPr>
            </w:pPr>
            <w:r w:rsidRPr="00275FBD">
              <w:rPr>
                <w:rFonts w:cs="Calibri"/>
                <w:color w:val="000000"/>
                <w:sz w:val="18"/>
                <w:szCs w:val="18"/>
                <w:lang w:val="sl-SI" w:eastAsia="hr-HR"/>
              </w:rPr>
              <w:t>Rešenih v teku</w:t>
            </w:r>
            <w:r w:rsidR="00ED1A59" w:rsidRPr="00275FBD">
              <w:rPr>
                <w:rFonts w:cs="Calibri"/>
                <w:color w:val="000000"/>
                <w:sz w:val="18"/>
                <w:szCs w:val="18"/>
                <w:lang w:val="sl-SI" w:eastAsia="hr-HR"/>
              </w:rPr>
              <w:t xml:space="preserve"> PSR3</w:t>
            </w:r>
          </w:p>
        </w:tc>
        <w:tc>
          <w:tcPr>
            <w:tcW w:w="2095" w:type="dxa"/>
            <w:shd w:val="clear" w:color="auto" w:fill="auto"/>
            <w:vAlign w:val="center"/>
          </w:tcPr>
          <w:p w14:paraId="17039AAA" w14:textId="77777777" w:rsidR="00ED1A59" w:rsidRPr="00275FBD" w:rsidRDefault="00ED1A59" w:rsidP="00B47BFF">
            <w:pPr>
              <w:spacing w:before="60" w:after="60"/>
              <w:jc w:val="center"/>
              <w:rPr>
                <w:rFonts w:cs="TimesNewRomanPSMT"/>
                <w:sz w:val="18"/>
                <w:szCs w:val="18"/>
                <w:lang w:val="sl-SI" w:eastAsia="en-GB"/>
              </w:rPr>
            </w:pPr>
            <w:r w:rsidRPr="00275FBD">
              <w:rPr>
                <w:color w:val="000000"/>
                <w:sz w:val="18"/>
                <w:szCs w:val="18"/>
                <w:lang w:val="sl-SI"/>
              </w:rPr>
              <w:t>28</w:t>
            </w:r>
          </w:p>
        </w:tc>
        <w:tc>
          <w:tcPr>
            <w:tcW w:w="1418" w:type="dxa"/>
            <w:shd w:val="clear" w:color="auto" w:fill="auto"/>
            <w:vAlign w:val="center"/>
          </w:tcPr>
          <w:p w14:paraId="005118A5" w14:textId="735FF382" w:rsidR="00ED1A59" w:rsidRPr="00275FBD" w:rsidRDefault="00ED1A59" w:rsidP="00B47BFF">
            <w:pPr>
              <w:spacing w:before="60" w:after="60"/>
              <w:jc w:val="center"/>
              <w:rPr>
                <w:rFonts w:cs="TimesNewRomanPSMT"/>
                <w:sz w:val="18"/>
                <w:szCs w:val="18"/>
                <w:lang w:val="sl-SI" w:eastAsia="en-GB"/>
              </w:rPr>
            </w:pPr>
            <w:r w:rsidRPr="00275FBD">
              <w:rPr>
                <w:color w:val="000000"/>
                <w:sz w:val="18"/>
                <w:szCs w:val="18"/>
                <w:lang w:val="sl-SI"/>
              </w:rPr>
              <w:t>11.</w:t>
            </w:r>
            <w:r w:rsidR="009E05ED" w:rsidRPr="00275FBD">
              <w:rPr>
                <w:color w:val="000000"/>
                <w:sz w:val="18"/>
                <w:szCs w:val="18"/>
                <w:lang w:val="sl-SI"/>
              </w:rPr>
              <w:t>07</w:t>
            </w:r>
            <w:r w:rsidRPr="00275FBD">
              <w:rPr>
                <w:color w:val="000000"/>
                <w:sz w:val="18"/>
                <w:szCs w:val="18"/>
                <w:lang w:val="sl-SI"/>
              </w:rPr>
              <w:t>%</w:t>
            </w:r>
          </w:p>
        </w:tc>
      </w:tr>
      <w:tr w:rsidR="00ED1A59" w:rsidRPr="00275FBD" w14:paraId="03D65ACC" w14:textId="77777777" w:rsidTr="00DF1BD2">
        <w:tc>
          <w:tcPr>
            <w:tcW w:w="5559" w:type="dxa"/>
            <w:shd w:val="clear" w:color="auto" w:fill="D9D9D9"/>
          </w:tcPr>
          <w:p w14:paraId="0B24F89C" w14:textId="4E187D0C" w:rsidR="00ED1A59" w:rsidRPr="00275FBD" w:rsidRDefault="00DF1BD2" w:rsidP="00DF1BD2">
            <w:pPr>
              <w:spacing w:before="60" w:after="60"/>
              <w:jc w:val="left"/>
              <w:rPr>
                <w:rFonts w:cs="Calibri"/>
                <w:b/>
                <w:color w:val="000000"/>
                <w:sz w:val="18"/>
                <w:szCs w:val="18"/>
                <w:lang w:val="sl-SI" w:eastAsia="hr-HR"/>
              </w:rPr>
            </w:pPr>
            <w:r w:rsidRPr="00275FBD">
              <w:rPr>
                <w:rFonts w:cs="Calibri"/>
                <w:b/>
                <w:color w:val="000000"/>
                <w:sz w:val="18"/>
                <w:szCs w:val="18"/>
                <w:lang w:val="sl-SI" w:eastAsia="hr-HR"/>
              </w:rPr>
              <w:t>Preostal</w:t>
            </w:r>
            <w:r w:rsidR="00910B6F" w:rsidRPr="00275FBD">
              <w:rPr>
                <w:rFonts w:cs="Calibri"/>
                <w:b/>
                <w:color w:val="000000"/>
                <w:sz w:val="18"/>
                <w:szCs w:val="18"/>
                <w:lang w:val="sl-SI" w:eastAsia="hr-HR"/>
              </w:rPr>
              <w:t>e</w:t>
            </w:r>
            <w:r w:rsidRPr="00275FBD">
              <w:rPr>
                <w:rFonts w:cs="Calibri"/>
                <w:b/>
                <w:color w:val="000000"/>
                <w:sz w:val="18"/>
                <w:szCs w:val="18"/>
                <w:lang w:val="sl-SI" w:eastAsia="hr-HR"/>
              </w:rPr>
              <w:t xml:space="preserve"> </w:t>
            </w:r>
            <w:r w:rsidR="00910B6F" w:rsidRPr="00275FBD">
              <w:rPr>
                <w:rFonts w:cs="Calibri"/>
                <w:b/>
                <w:color w:val="000000"/>
                <w:sz w:val="18"/>
                <w:szCs w:val="18"/>
                <w:lang w:val="sl-SI" w:eastAsia="hr-HR"/>
              </w:rPr>
              <w:t xml:space="preserve">najdbe </w:t>
            </w:r>
            <w:r w:rsidRPr="00275FBD">
              <w:rPr>
                <w:rFonts w:cs="Calibri"/>
                <w:b/>
                <w:color w:val="000000"/>
                <w:sz w:val="18"/>
                <w:szCs w:val="18"/>
                <w:lang w:val="sl-SI" w:eastAsia="hr-HR"/>
              </w:rPr>
              <w:t>z rangom 3 ali manj</w:t>
            </w:r>
            <w:r w:rsidR="005F3BC3" w:rsidRPr="00275FBD">
              <w:rPr>
                <w:rFonts w:cs="Calibri"/>
                <w:b/>
                <w:color w:val="000000"/>
                <w:sz w:val="18"/>
                <w:szCs w:val="18"/>
                <w:lang w:val="sl-SI" w:eastAsia="hr-HR"/>
              </w:rPr>
              <w:t xml:space="preserve"> </w:t>
            </w:r>
            <w:r w:rsidRPr="00275FBD">
              <w:rPr>
                <w:rFonts w:cs="Calibri"/>
                <w:b/>
                <w:color w:val="000000"/>
                <w:sz w:val="18"/>
                <w:szCs w:val="18"/>
                <w:lang w:val="sl-SI" w:eastAsia="hr-HR"/>
              </w:rPr>
              <w:t xml:space="preserve">(brez </w:t>
            </w:r>
            <w:r w:rsidR="00BD5705" w:rsidRPr="00275FBD">
              <w:rPr>
                <w:rFonts w:cs="Calibri"/>
                <w:b/>
                <w:color w:val="000000"/>
                <w:sz w:val="18"/>
                <w:szCs w:val="18"/>
                <w:lang w:val="sl-SI" w:eastAsia="hr-HR"/>
              </w:rPr>
              <w:t>najdb</w:t>
            </w:r>
            <w:r w:rsidR="005D2420">
              <w:rPr>
                <w:rFonts w:cs="Calibri"/>
                <w:b/>
                <w:color w:val="000000"/>
                <w:sz w:val="18"/>
                <w:szCs w:val="18"/>
                <w:lang w:val="sl-SI" w:eastAsia="hr-HR"/>
              </w:rPr>
              <w:t>,</w:t>
            </w:r>
            <w:r w:rsidR="00BD5705" w:rsidRPr="00275FBD">
              <w:rPr>
                <w:rFonts w:cs="Calibri"/>
                <w:b/>
                <w:color w:val="000000"/>
                <w:sz w:val="18"/>
                <w:szCs w:val="18"/>
                <w:lang w:val="sl-SI" w:eastAsia="hr-HR"/>
              </w:rPr>
              <w:t xml:space="preserve"> </w:t>
            </w:r>
            <w:r w:rsidR="005D2420">
              <w:rPr>
                <w:rFonts w:cs="Calibri"/>
                <w:b/>
                <w:color w:val="000000"/>
                <w:sz w:val="18"/>
                <w:szCs w:val="18"/>
                <w:lang w:val="sl-SI" w:eastAsia="hr-HR"/>
              </w:rPr>
              <w:t>ki se vnašajo v CAP na zahtevo</w:t>
            </w:r>
            <w:r w:rsidRPr="00275FBD">
              <w:rPr>
                <w:rFonts w:cs="Calibri"/>
                <w:b/>
                <w:color w:val="000000"/>
                <w:sz w:val="18"/>
                <w:szCs w:val="18"/>
                <w:lang w:val="sl-SI" w:eastAsia="hr-HR"/>
              </w:rPr>
              <w:t xml:space="preserve"> URSJV oz. AI)</w:t>
            </w:r>
          </w:p>
        </w:tc>
        <w:tc>
          <w:tcPr>
            <w:tcW w:w="2095" w:type="dxa"/>
            <w:shd w:val="clear" w:color="auto" w:fill="D9D9D9"/>
            <w:vAlign w:val="center"/>
          </w:tcPr>
          <w:p w14:paraId="24623451" w14:textId="430DC7C0" w:rsidR="00ED1A59" w:rsidRPr="00275FBD" w:rsidRDefault="009E05ED" w:rsidP="009E05ED">
            <w:pPr>
              <w:spacing w:before="60" w:after="60"/>
              <w:jc w:val="center"/>
              <w:rPr>
                <w:rFonts w:cs="TimesNewRomanPSMT"/>
                <w:sz w:val="18"/>
                <w:szCs w:val="18"/>
                <w:lang w:val="sl-SI" w:eastAsia="en-GB"/>
              </w:rPr>
            </w:pPr>
            <w:r w:rsidRPr="00275FBD">
              <w:rPr>
                <w:color w:val="000000"/>
                <w:sz w:val="18"/>
                <w:szCs w:val="18"/>
                <w:lang w:val="sl-SI"/>
              </w:rPr>
              <w:t>74</w:t>
            </w:r>
            <w:r w:rsidR="005F3BC3" w:rsidRPr="00275FBD">
              <w:rPr>
                <w:color w:val="000000"/>
                <w:sz w:val="18"/>
                <w:szCs w:val="18"/>
                <w:vertAlign w:val="superscript"/>
                <w:lang w:val="sl-SI"/>
              </w:rPr>
              <w:t>(2)</w:t>
            </w:r>
          </w:p>
        </w:tc>
        <w:tc>
          <w:tcPr>
            <w:tcW w:w="1418" w:type="dxa"/>
            <w:shd w:val="clear" w:color="auto" w:fill="D9D9D9"/>
            <w:vAlign w:val="center"/>
          </w:tcPr>
          <w:p w14:paraId="667DD161" w14:textId="14B909EE" w:rsidR="00ED1A59" w:rsidRPr="00275FBD" w:rsidRDefault="009E05ED" w:rsidP="005F3BC3">
            <w:pPr>
              <w:spacing w:before="60" w:after="60"/>
              <w:jc w:val="center"/>
              <w:rPr>
                <w:rFonts w:cs="TimesNewRomanPSMT"/>
                <w:sz w:val="18"/>
                <w:szCs w:val="18"/>
                <w:lang w:val="sl-SI" w:eastAsia="en-GB"/>
              </w:rPr>
            </w:pPr>
            <w:r w:rsidRPr="00275FBD">
              <w:rPr>
                <w:color w:val="000000"/>
                <w:sz w:val="18"/>
                <w:szCs w:val="18"/>
                <w:lang w:val="sl-SI"/>
              </w:rPr>
              <w:t>29.25</w:t>
            </w:r>
            <w:r w:rsidR="00ED1A59" w:rsidRPr="00275FBD">
              <w:rPr>
                <w:color w:val="000000"/>
                <w:sz w:val="18"/>
                <w:szCs w:val="18"/>
                <w:lang w:val="sl-SI"/>
              </w:rPr>
              <w:t>%</w:t>
            </w:r>
          </w:p>
        </w:tc>
      </w:tr>
      <w:tr w:rsidR="00ED1A59" w:rsidRPr="00275FBD" w14:paraId="1CDC08CB" w14:textId="77777777" w:rsidTr="00DF1BD2">
        <w:tc>
          <w:tcPr>
            <w:tcW w:w="5559" w:type="dxa"/>
            <w:shd w:val="clear" w:color="auto" w:fill="D9D9D9"/>
          </w:tcPr>
          <w:p w14:paraId="5165EE71" w14:textId="708B0F9B" w:rsidR="00ED1A59" w:rsidRPr="00275FBD" w:rsidRDefault="00DF1BD2" w:rsidP="00B47BFF">
            <w:pPr>
              <w:spacing w:before="60" w:after="60"/>
              <w:jc w:val="left"/>
              <w:rPr>
                <w:rFonts w:cs="Calibri"/>
                <w:b/>
                <w:color w:val="000000"/>
                <w:sz w:val="18"/>
                <w:szCs w:val="18"/>
                <w:lang w:val="sl-SI" w:eastAsia="hr-HR"/>
              </w:rPr>
            </w:pPr>
            <w:r w:rsidRPr="00275FBD">
              <w:rPr>
                <w:rFonts w:cs="Calibri"/>
                <w:b/>
                <w:color w:val="000000"/>
                <w:sz w:val="18"/>
                <w:szCs w:val="18"/>
                <w:lang w:val="sl-SI" w:eastAsia="hr-HR"/>
              </w:rPr>
              <w:t>Skupaj</w:t>
            </w:r>
          </w:p>
        </w:tc>
        <w:tc>
          <w:tcPr>
            <w:tcW w:w="2095" w:type="dxa"/>
            <w:shd w:val="clear" w:color="auto" w:fill="D9D9D9"/>
            <w:vAlign w:val="center"/>
          </w:tcPr>
          <w:p w14:paraId="4E7956F1" w14:textId="19BEBF1D" w:rsidR="00ED1A59" w:rsidRPr="00275FBD" w:rsidRDefault="009E05ED" w:rsidP="009E05ED">
            <w:pPr>
              <w:spacing w:before="60" w:after="60"/>
              <w:jc w:val="center"/>
              <w:rPr>
                <w:rFonts w:cs="TimesNewRomanPSMT"/>
                <w:b/>
                <w:sz w:val="18"/>
                <w:szCs w:val="18"/>
                <w:lang w:val="sl-SI" w:eastAsia="en-GB"/>
              </w:rPr>
            </w:pPr>
            <w:r w:rsidRPr="00275FBD">
              <w:rPr>
                <w:b/>
                <w:color w:val="000000"/>
                <w:sz w:val="18"/>
                <w:szCs w:val="18"/>
                <w:lang w:val="sl-SI"/>
              </w:rPr>
              <w:t>253</w:t>
            </w:r>
            <w:r w:rsidR="00ED1A59" w:rsidRPr="00275FBD">
              <w:rPr>
                <w:b/>
                <w:color w:val="000000"/>
                <w:sz w:val="18"/>
                <w:szCs w:val="18"/>
                <w:vertAlign w:val="superscript"/>
                <w:lang w:val="sl-SI"/>
              </w:rPr>
              <w:t>(1)</w:t>
            </w:r>
          </w:p>
        </w:tc>
        <w:tc>
          <w:tcPr>
            <w:tcW w:w="1418" w:type="dxa"/>
            <w:shd w:val="clear" w:color="auto" w:fill="D9D9D9"/>
            <w:vAlign w:val="center"/>
          </w:tcPr>
          <w:p w14:paraId="200938FD" w14:textId="77777777" w:rsidR="00ED1A59" w:rsidRPr="00275FBD" w:rsidRDefault="00ED1A59" w:rsidP="00B47BFF">
            <w:pPr>
              <w:spacing w:before="60" w:after="60"/>
              <w:jc w:val="center"/>
              <w:rPr>
                <w:rFonts w:cs="TimesNewRomanPSMT"/>
                <w:b/>
                <w:sz w:val="18"/>
                <w:szCs w:val="18"/>
                <w:lang w:val="sl-SI" w:eastAsia="en-GB"/>
              </w:rPr>
            </w:pPr>
            <w:r w:rsidRPr="00275FBD">
              <w:rPr>
                <w:b/>
                <w:color w:val="000000"/>
                <w:sz w:val="18"/>
                <w:szCs w:val="18"/>
                <w:lang w:val="sl-SI"/>
              </w:rPr>
              <w:t>100.00%</w:t>
            </w:r>
          </w:p>
        </w:tc>
      </w:tr>
    </w:tbl>
    <w:p w14:paraId="404A2724" w14:textId="77777777" w:rsidR="00ED1A59" w:rsidRPr="00275FBD" w:rsidRDefault="00ED1A59" w:rsidP="00ED1A59">
      <w:pPr>
        <w:rPr>
          <w:rFonts w:cs="TimesNewRomanPSMT"/>
          <w:color w:val="000000"/>
          <w:sz w:val="2"/>
          <w:szCs w:val="2"/>
          <w:lang w:val="sl-SI" w:eastAsia="en-GB"/>
        </w:rPr>
      </w:pPr>
    </w:p>
    <w:p w14:paraId="6931AD2D" w14:textId="52FFDE1C" w:rsidR="00DF1BD2" w:rsidRPr="00275FBD" w:rsidRDefault="00DF1BD2" w:rsidP="00ED1A59">
      <w:pPr>
        <w:rPr>
          <w:rFonts w:cs="TimesNewRomanPSMT"/>
          <w:szCs w:val="20"/>
          <w:lang w:val="sl-SI" w:eastAsia="en-GB"/>
        </w:rPr>
      </w:pPr>
      <w:r w:rsidRPr="00275FBD">
        <w:rPr>
          <w:rFonts w:cs="TimesNewRomanPSMT"/>
          <w:szCs w:val="20"/>
          <w:lang w:val="sl-SI" w:eastAsia="en-GB"/>
        </w:rPr>
        <w:t>Pripombe za tabelo 5-4:</w:t>
      </w:r>
    </w:p>
    <w:p w14:paraId="074288D7" w14:textId="23DDB109" w:rsidR="00FD5D99" w:rsidRPr="00FA1DE2" w:rsidRDefault="00E31BF7" w:rsidP="00FA1DE2">
      <w:pPr>
        <w:pStyle w:val="Odstavekseznama"/>
        <w:numPr>
          <w:ilvl w:val="0"/>
          <w:numId w:val="50"/>
        </w:numPr>
        <w:rPr>
          <w:rFonts w:cs="TimesNewRomanPSMT"/>
          <w:szCs w:val="20"/>
          <w:lang w:val="sl-SI" w:eastAsia="en-GB"/>
        </w:rPr>
      </w:pPr>
      <w:r>
        <w:rPr>
          <w:rFonts w:cs="TimesNewRomanPSMT"/>
          <w:szCs w:val="20"/>
          <w:lang w:val="sl-SI" w:eastAsia="en-GB"/>
        </w:rPr>
        <w:t>Skupno število vseh najdb iz PSR3-NEK-9.1 [9] je 254. Od teh e</w:t>
      </w:r>
      <w:r w:rsidRPr="00275FBD">
        <w:rPr>
          <w:rFonts w:cs="TimesNewRomanPSMT"/>
          <w:szCs w:val="20"/>
          <w:lang w:val="sl-SI" w:eastAsia="en-GB"/>
        </w:rPr>
        <w:t xml:space="preserve">na najdba predstavlja pozitivno najdbo </w:t>
      </w:r>
      <w:r>
        <w:rPr>
          <w:rFonts w:cs="TimesNewRomanPSMT"/>
          <w:szCs w:val="20"/>
          <w:lang w:val="sl-SI" w:eastAsia="en-GB"/>
        </w:rPr>
        <w:t xml:space="preserve">in ni bila vključena v </w:t>
      </w:r>
      <w:proofErr w:type="spellStart"/>
      <w:r>
        <w:rPr>
          <w:rFonts w:cs="TimesNewRomanPSMT"/>
          <w:szCs w:val="20"/>
          <w:lang w:val="sl-SI" w:eastAsia="en-GB"/>
        </w:rPr>
        <w:t>prioritizacijo</w:t>
      </w:r>
      <w:proofErr w:type="spellEnd"/>
      <w:r>
        <w:rPr>
          <w:rFonts w:cs="TimesNewRomanPSMT"/>
          <w:szCs w:val="20"/>
          <w:lang w:val="sl-SI" w:eastAsia="en-GB"/>
        </w:rPr>
        <w:t>,</w:t>
      </w:r>
      <w:r w:rsidRPr="00275FBD">
        <w:rPr>
          <w:rFonts w:cs="TimesNewRomanPSMT"/>
          <w:szCs w:val="20"/>
          <w:lang w:val="sl-SI" w:eastAsia="en-GB"/>
        </w:rPr>
        <w:t xml:space="preserve"> ena najdba </w:t>
      </w:r>
      <w:r>
        <w:rPr>
          <w:rFonts w:cs="TimesNewRomanPSMT"/>
          <w:szCs w:val="20"/>
          <w:lang w:val="sl-SI" w:eastAsia="en-GB"/>
        </w:rPr>
        <w:t xml:space="preserve">pa je bila prenesena </w:t>
      </w:r>
      <w:r w:rsidRPr="00275FBD">
        <w:rPr>
          <w:rFonts w:cs="TimesNewRomanPSMT"/>
          <w:szCs w:val="20"/>
          <w:lang w:val="sl-SI" w:eastAsia="en-GB"/>
        </w:rPr>
        <w:t xml:space="preserve">iz varnostne </w:t>
      </w:r>
      <w:r>
        <w:rPr>
          <w:rFonts w:cs="TimesNewRomanPSMT"/>
          <w:szCs w:val="20"/>
          <w:lang w:val="sl-SI" w:eastAsia="en-GB"/>
        </w:rPr>
        <w:t>vsebine</w:t>
      </w:r>
      <w:r w:rsidRPr="00275FBD">
        <w:rPr>
          <w:rFonts w:cs="TimesNewRomanPSMT"/>
          <w:szCs w:val="20"/>
          <w:lang w:val="sl-SI" w:eastAsia="en-GB"/>
        </w:rPr>
        <w:t xml:space="preserve"> “17”</w:t>
      </w:r>
      <w:r>
        <w:rPr>
          <w:rFonts w:cs="TimesNewRomanPSMT"/>
          <w:szCs w:val="20"/>
          <w:lang w:val="sl-SI" w:eastAsia="en-GB"/>
        </w:rPr>
        <w:t xml:space="preserve"> </w:t>
      </w:r>
      <w:r w:rsidRPr="00275FBD">
        <w:rPr>
          <w:rFonts w:cs="TimesNewRomanPSMT"/>
          <w:szCs w:val="20"/>
          <w:lang w:val="sl-SI" w:eastAsia="en-GB"/>
        </w:rPr>
        <w:t>neposredno v IAP.</w:t>
      </w:r>
    </w:p>
    <w:p w14:paraId="733FC92F" w14:textId="6BEAC1F9" w:rsidR="00FA1DE2" w:rsidRDefault="00FA1DE2" w:rsidP="00FA1DE2">
      <w:pPr>
        <w:pStyle w:val="Odstavekseznama"/>
        <w:numPr>
          <w:ilvl w:val="0"/>
          <w:numId w:val="50"/>
        </w:numPr>
        <w:rPr>
          <w:rFonts w:cs="TimesNewRomanPSMT"/>
          <w:szCs w:val="20"/>
          <w:lang w:val="sl-SI" w:eastAsia="en-GB"/>
        </w:rPr>
      </w:pPr>
      <w:r>
        <w:rPr>
          <w:rFonts w:cs="TimesNewRomanPSMT"/>
          <w:szCs w:val="20"/>
          <w:lang w:val="sl-SI" w:eastAsia="en-GB"/>
        </w:rPr>
        <w:t>Preost</w:t>
      </w:r>
      <w:r w:rsidR="00E31BF7">
        <w:rPr>
          <w:rFonts w:cs="TimesNewRomanPSMT"/>
          <w:szCs w:val="20"/>
          <w:lang w:val="sl-SI" w:eastAsia="en-GB"/>
        </w:rPr>
        <w:t>a</w:t>
      </w:r>
      <w:r>
        <w:rPr>
          <w:rFonts w:cs="TimesNewRomanPSMT"/>
          <w:szCs w:val="20"/>
          <w:lang w:val="sl-SI" w:eastAsia="en-GB"/>
        </w:rPr>
        <w:t>le najdbe so najdbe iz PSR2</w:t>
      </w:r>
      <w:r w:rsidR="00E31BF7" w:rsidRPr="00E31BF7">
        <w:rPr>
          <w:rFonts w:cs="TimesNewRomanPSMT"/>
          <w:szCs w:val="20"/>
          <w:lang w:val="sl-SI" w:eastAsia="en-GB"/>
        </w:rPr>
        <w:t xml:space="preserve"> </w:t>
      </w:r>
      <w:r w:rsidR="00E31BF7">
        <w:rPr>
          <w:rFonts w:cs="TimesNewRomanPSMT"/>
          <w:szCs w:val="20"/>
          <w:lang w:val="sl-SI" w:eastAsia="en-GB"/>
        </w:rPr>
        <w:t xml:space="preserve">z rangom 3 ali manj, </w:t>
      </w:r>
      <w:r w:rsidR="005D2420">
        <w:rPr>
          <w:rFonts w:cs="TimesNewRomanPSMT"/>
          <w:szCs w:val="20"/>
          <w:lang w:val="sl-SI" w:eastAsia="en-GB"/>
        </w:rPr>
        <w:t xml:space="preserve">brez tistih </w:t>
      </w:r>
      <w:r w:rsidR="00E31BF7">
        <w:rPr>
          <w:rFonts w:cs="TimesNewRomanPSMT"/>
          <w:szCs w:val="20"/>
          <w:lang w:val="sl-SI" w:eastAsia="en-GB"/>
        </w:rPr>
        <w:t xml:space="preserve">za katere je URSJV zahtevala in potrdila dodatne akcije oz. so dodatne akcije zahtevale </w:t>
      </w:r>
      <w:r w:rsidR="001A56C8">
        <w:rPr>
          <w:rFonts w:cs="TimesNewRomanPSMT"/>
          <w:szCs w:val="20"/>
          <w:lang w:val="sl-SI" w:eastAsia="en-GB"/>
        </w:rPr>
        <w:t>pooblaščene organizacije (AI)</w:t>
      </w:r>
      <w:r w:rsidR="00E31BF7">
        <w:rPr>
          <w:rFonts w:cs="TimesNewRomanPSMT"/>
          <w:szCs w:val="20"/>
          <w:lang w:val="sl-SI" w:eastAsia="en-GB"/>
        </w:rPr>
        <w:t>.</w:t>
      </w:r>
    </w:p>
    <w:p w14:paraId="7F17BBCD" w14:textId="31331D99" w:rsidR="00E31BF7" w:rsidRPr="00FA1DE2" w:rsidRDefault="00E31BF7" w:rsidP="00FA1DE2">
      <w:pPr>
        <w:pStyle w:val="Odstavekseznama"/>
        <w:numPr>
          <w:ilvl w:val="0"/>
          <w:numId w:val="50"/>
        </w:numPr>
        <w:rPr>
          <w:rFonts w:cs="TimesNewRomanPSMT"/>
          <w:szCs w:val="20"/>
          <w:lang w:val="sl-SI" w:eastAsia="en-GB"/>
        </w:rPr>
      </w:pPr>
      <w:r w:rsidRPr="00FA1DE2">
        <w:rPr>
          <w:rFonts w:cs="TimesNewRomanPSMT"/>
          <w:szCs w:val="20"/>
          <w:lang w:val="sl-SI" w:eastAsia="en-GB"/>
        </w:rPr>
        <w:t>49 najdb iz postopka podrobne razvrstitve (rang &gt; 3) + ena najdba (6.1-023)</w:t>
      </w:r>
      <w:r>
        <w:rPr>
          <w:rFonts w:cs="TimesNewRomanPSMT"/>
          <w:szCs w:val="20"/>
          <w:lang w:val="sl-SI" w:eastAsia="en-GB"/>
        </w:rPr>
        <w:t>,</w:t>
      </w:r>
      <w:r w:rsidRPr="00FA1DE2">
        <w:rPr>
          <w:rFonts w:cs="TimesNewRomanPSMT"/>
          <w:szCs w:val="20"/>
          <w:lang w:val="sl-SI" w:eastAsia="en-GB"/>
        </w:rPr>
        <w:t xml:space="preserve"> dodana direktno iz varnostne </w:t>
      </w:r>
      <w:r w:rsidRPr="00FA1DE2">
        <w:rPr>
          <w:lang w:val="sl-SI"/>
        </w:rPr>
        <w:t xml:space="preserve">vsebine </w:t>
      </w:r>
      <w:r w:rsidRPr="00FA1DE2">
        <w:rPr>
          <w:rFonts w:cs="TimesNewRomanPSMT"/>
          <w:szCs w:val="20"/>
          <w:lang w:val="sl-SI" w:eastAsia="en-GB"/>
        </w:rPr>
        <w:t>17 (Fizično varovanje).</w:t>
      </w:r>
    </w:p>
    <w:p w14:paraId="0A3C5E2C" w14:textId="77777777" w:rsidR="00ED1A59" w:rsidRPr="00275FBD" w:rsidRDefault="00ED1A59" w:rsidP="00ED1A59">
      <w:pPr>
        <w:rPr>
          <w:rFonts w:cs="TimesNewRomanPSMT"/>
          <w:szCs w:val="20"/>
          <w:lang w:val="sl-SI" w:eastAsia="en-GB"/>
        </w:rPr>
      </w:pPr>
    </w:p>
    <w:p w14:paraId="60FDF918" w14:textId="77777777" w:rsidR="00ED1A59" w:rsidRPr="00275FBD" w:rsidRDefault="00ED1A59" w:rsidP="00ED1A59">
      <w:pPr>
        <w:spacing w:before="0" w:after="0"/>
        <w:rPr>
          <w:rFonts w:cs="TimesNewRomanPSMT"/>
          <w:sz w:val="2"/>
          <w:szCs w:val="2"/>
          <w:lang w:val="sl-SI" w:eastAsia="en-GB"/>
        </w:rPr>
      </w:pPr>
    </w:p>
    <w:p w14:paraId="2CA5C8DE" w14:textId="3FADF4AC" w:rsidR="00D51CB7" w:rsidRPr="00275FBD" w:rsidRDefault="00D51CB7" w:rsidP="00D51CB7">
      <w:pPr>
        <w:pStyle w:val="Napis"/>
        <w:rPr>
          <w:lang w:val="sl-SI"/>
        </w:rPr>
      </w:pPr>
      <w:bookmarkStart w:id="107" w:name="_Ref138494401"/>
      <w:bookmarkStart w:id="108" w:name="_Toc163197444"/>
      <w:r w:rsidRPr="00275FBD">
        <w:rPr>
          <w:lang w:val="sl-SI"/>
        </w:rPr>
        <w:t xml:space="preserve">Tabela </w:t>
      </w:r>
      <w:r w:rsidRPr="00275FBD">
        <w:rPr>
          <w:lang w:val="sl-SI"/>
        </w:rPr>
        <w:fldChar w:fldCharType="begin"/>
      </w:r>
      <w:r w:rsidRPr="00275FBD">
        <w:rPr>
          <w:lang w:val="sl-SI"/>
        </w:rPr>
        <w:instrText xml:space="preserve"> STYLEREF 1 \s </w:instrText>
      </w:r>
      <w:r w:rsidRPr="00275FBD">
        <w:rPr>
          <w:lang w:val="sl-SI"/>
        </w:rPr>
        <w:fldChar w:fldCharType="separate"/>
      </w:r>
      <w:r w:rsidR="00BA25CD">
        <w:rPr>
          <w:noProof/>
          <w:lang w:val="sl-SI"/>
        </w:rPr>
        <w:t>5</w:t>
      </w:r>
      <w:r w:rsidRPr="00275FBD">
        <w:rPr>
          <w:lang w:val="sl-SI"/>
        </w:rPr>
        <w:fldChar w:fldCharType="end"/>
      </w:r>
      <w:r w:rsidRPr="00275FBD">
        <w:rPr>
          <w:lang w:val="sl-SI"/>
        </w:rPr>
        <w:noBreakHyphen/>
      </w:r>
      <w:r w:rsidRPr="00275FBD">
        <w:rPr>
          <w:lang w:val="sl-SI"/>
        </w:rPr>
        <w:fldChar w:fldCharType="begin"/>
      </w:r>
      <w:r w:rsidRPr="00275FBD">
        <w:rPr>
          <w:lang w:val="sl-SI"/>
        </w:rPr>
        <w:instrText xml:space="preserve"> SEQ Tabela \* ARABIC \s 1 </w:instrText>
      </w:r>
      <w:r w:rsidRPr="00275FBD">
        <w:rPr>
          <w:lang w:val="sl-SI"/>
        </w:rPr>
        <w:fldChar w:fldCharType="separate"/>
      </w:r>
      <w:r w:rsidR="00BA25CD">
        <w:rPr>
          <w:noProof/>
          <w:lang w:val="sl-SI"/>
        </w:rPr>
        <w:t>5</w:t>
      </w:r>
      <w:r w:rsidRPr="00275FBD">
        <w:rPr>
          <w:lang w:val="sl-SI"/>
        </w:rPr>
        <w:fldChar w:fldCharType="end"/>
      </w:r>
      <w:bookmarkEnd w:id="107"/>
      <w:r w:rsidRPr="00275FBD">
        <w:rPr>
          <w:lang w:val="sl-SI"/>
        </w:rPr>
        <w:t>: Razpo</w:t>
      </w:r>
      <w:r w:rsidR="00EF2732">
        <w:rPr>
          <w:lang w:val="sl-SI"/>
        </w:rPr>
        <w:t>r</w:t>
      </w:r>
      <w:r w:rsidRPr="00275FBD">
        <w:rPr>
          <w:lang w:val="sl-SI"/>
        </w:rPr>
        <w:t>e</w:t>
      </w:r>
      <w:r w:rsidR="00EF2732">
        <w:rPr>
          <w:lang w:val="sl-SI"/>
        </w:rPr>
        <w:t>d</w:t>
      </w:r>
      <w:r w:rsidRPr="00275FBD">
        <w:rPr>
          <w:lang w:val="sl-SI"/>
        </w:rPr>
        <w:t xml:space="preserve">itev </w:t>
      </w:r>
      <w:r w:rsidR="00BD5705" w:rsidRPr="00275FBD">
        <w:rPr>
          <w:lang w:val="sl-SI"/>
        </w:rPr>
        <w:t xml:space="preserve">najdb </w:t>
      </w:r>
      <w:r w:rsidRPr="00275FBD">
        <w:rPr>
          <w:lang w:val="sl-SI"/>
        </w:rPr>
        <w:t xml:space="preserve">(korektivnih ukrepov) vključenih v IAP / CAP glede na </w:t>
      </w:r>
      <w:r w:rsidR="00477FBC" w:rsidRPr="00275FBD">
        <w:rPr>
          <w:lang w:val="sl-SI"/>
        </w:rPr>
        <w:t>časovn</w:t>
      </w:r>
      <w:r w:rsidR="00477FBC">
        <w:rPr>
          <w:lang w:val="sl-SI"/>
        </w:rPr>
        <w:t>i</w:t>
      </w:r>
      <w:r w:rsidR="00477FBC" w:rsidRPr="00275FBD">
        <w:rPr>
          <w:lang w:val="sl-SI"/>
        </w:rPr>
        <w:t xml:space="preserve"> </w:t>
      </w:r>
      <w:r w:rsidRPr="00275FBD">
        <w:rPr>
          <w:lang w:val="sl-SI"/>
        </w:rPr>
        <w:t xml:space="preserve">okvir </w:t>
      </w:r>
      <w:r w:rsidR="0014523E">
        <w:rPr>
          <w:lang w:val="sl-SI"/>
        </w:rPr>
        <w:t>za izvedbo</w:t>
      </w:r>
      <w:bookmarkEnd w:id="108"/>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276"/>
        <w:gridCol w:w="1134"/>
        <w:gridCol w:w="1134"/>
        <w:gridCol w:w="1134"/>
        <w:gridCol w:w="1275"/>
      </w:tblGrid>
      <w:tr w:rsidR="00ED1A59" w:rsidRPr="00275FBD" w14:paraId="3B9C70D4" w14:textId="77777777" w:rsidTr="00FD5D99">
        <w:trPr>
          <w:tblHeader/>
        </w:trPr>
        <w:tc>
          <w:tcPr>
            <w:tcW w:w="3119" w:type="dxa"/>
            <w:shd w:val="clear" w:color="auto" w:fill="D9D9D9"/>
            <w:vAlign w:val="bottom"/>
          </w:tcPr>
          <w:p w14:paraId="5005ED77" w14:textId="2A1FC3D6" w:rsidR="00ED1A59" w:rsidRPr="00275FBD" w:rsidRDefault="00ED1A59" w:rsidP="00B47BFF">
            <w:pPr>
              <w:spacing w:before="60" w:after="60"/>
              <w:jc w:val="left"/>
              <w:rPr>
                <w:rFonts w:cs="TimesNewRomanPSMT"/>
                <w:b/>
                <w:bCs/>
                <w:sz w:val="18"/>
                <w:szCs w:val="18"/>
                <w:lang w:val="sl-SI" w:eastAsia="en-GB"/>
              </w:rPr>
            </w:pPr>
            <w:r w:rsidRPr="00275FBD">
              <w:rPr>
                <w:rFonts w:cs="TimesNewRomanPSMT"/>
                <w:b/>
                <w:bCs/>
                <w:sz w:val="18"/>
                <w:szCs w:val="18"/>
                <w:lang w:val="sl-SI" w:eastAsia="en-GB"/>
              </w:rPr>
              <w:t>Dire</w:t>
            </w:r>
            <w:r w:rsidR="00774308" w:rsidRPr="00275FBD">
              <w:rPr>
                <w:rFonts w:cs="TimesNewRomanPSMT"/>
                <w:b/>
                <w:bCs/>
                <w:sz w:val="18"/>
                <w:szCs w:val="18"/>
                <w:lang w:val="sl-SI" w:eastAsia="en-GB"/>
              </w:rPr>
              <w:t>k</w:t>
            </w:r>
            <w:r w:rsidRPr="00275FBD">
              <w:rPr>
                <w:rFonts w:cs="TimesNewRomanPSMT"/>
                <w:b/>
                <w:bCs/>
                <w:sz w:val="18"/>
                <w:szCs w:val="18"/>
                <w:lang w:val="sl-SI" w:eastAsia="en-GB"/>
              </w:rPr>
              <w:t>t</w:t>
            </w:r>
            <w:r w:rsidR="00774308" w:rsidRPr="00275FBD">
              <w:rPr>
                <w:rFonts w:cs="TimesNewRomanPSMT"/>
                <w:b/>
                <w:bCs/>
                <w:sz w:val="18"/>
                <w:szCs w:val="18"/>
                <w:lang w:val="sl-SI" w:eastAsia="en-GB"/>
              </w:rPr>
              <w:t>en</w:t>
            </w:r>
            <w:r w:rsidRPr="00275FBD">
              <w:rPr>
                <w:rFonts w:cs="TimesNewRomanPSMT"/>
                <w:b/>
                <w:bCs/>
                <w:sz w:val="18"/>
                <w:szCs w:val="18"/>
                <w:lang w:val="sl-SI" w:eastAsia="en-GB"/>
              </w:rPr>
              <w:t xml:space="preserve"> </w:t>
            </w:r>
            <w:r w:rsidR="00774308" w:rsidRPr="00275FBD">
              <w:rPr>
                <w:rFonts w:cs="TimesNewRomanPSMT"/>
                <w:b/>
                <w:bCs/>
                <w:sz w:val="18"/>
                <w:szCs w:val="18"/>
                <w:lang w:val="sl-SI" w:eastAsia="en-GB"/>
              </w:rPr>
              <w:t>vnos v</w:t>
            </w:r>
            <w:r w:rsidRPr="00275FBD">
              <w:rPr>
                <w:rFonts w:cs="TimesNewRomanPSMT"/>
                <w:b/>
                <w:bCs/>
                <w:sz w:val="18"/>
                <w:szCs w:val="18"/>
                <w:lang w:val="sl-SI" w:eastAsia="en-GB"/>
              </w:rPr>
              <w:t xml:space="preserve"> CAP</w:t>
            </w:r>
          </w:p>
        </w:tc>
        <w:tc>
          <w:tcPr>
            <w:tcW w:w="1276" w:type="dxa"/>
            <w:shd w:val="clear" w:color="auto" w:fill="D9D9D9"/>
            <w:vAlign w:val="bottom"/>
          </w:tcPr>
          <w:p w14:paraId="0E73D58F" w14:textId="0D2EC8B0" w:rsidR="00ED1A59" w:rsidRPr="00275FBD" w:rsidRDefault="00774308" w:rsidP="00B47BFF">
            <w:pPr>
              <w:spacing w:before="60" w:after="60"/>
              <w:jc w:val="left"/>
              <w:rPr>
                <w:rFonts w:cs="TimesNewRomanPSMT"/>
                <w:b/>
                <w:bCs/>
                <w:sz w:val="18"/>
                <w:szCs w:val="18"/>
                <w:lang w:val="sl-SI" w:eastAsia="en-GB"/>
              </w:rPr>
            </w:pPr>
            <w:r w:rsidRPr="00275FBD">
              <w:rPr>
                <w:rFonts w:cs="Calibri"/>
                <w:b/>
                <w:bCs/>
                <w:color w:val="000000"/>
                <w:sz w:val="18"/>
                <w:szCs w:val="18"/>
                <w:lang w:val="sl-SI"/>
              </w:rPr>
              <w:t>Skupaj</w:t>
            </w:r>
          </w:p>
        </w:tc>
        <w:tc>
          <w:tcPr>
            <w:tcW w:w="1134" w:type="dxa"/>
            <w:shd w:val="clear" w:color="auto" w:fill="D9D9D9"/>
            <w:vAlign w:val="bottom"/>
          </w:tcPr>
          <w:p w14:paraId="0CD494F0" w14:textId="704B63B6" w:rsidR="00ED1A59" w:rsidRPr="00275FBD" w:rsidRDefault="00774308" w:rsidP="00B47BFF">
            <w:pPr>
              <w:spacing w:before="60" w:after="60"/>
              <w:jc w:val="left"/>
              <w:rPr>
                <w:rFonts w:cs="TimesNewRomanPSMT"/>
                <w:b/>
                <w:bCs/>
                <w:sz w:val="18"/>
                <w:szCs w:val="18"/>
                <w:lang w:val="sl-SI" w:eastAsia="en-GB"/>
              </w:rPr>
            </w:pPr>
            <w:r w:rsidRPr="00275FBD">
              <w:rPr>
                <w:rFonts w:cs="Calibri"/>
                <w:b/>
                <w:bCs/>
                <w:color w:val="000000"/>
                <w:sz w:val="18"/>
                <w:szCs w:val="18"/>
                <w:lang w:val="sl-SI"/>
              </w:rPr>
              <w:t>Čas</w:t>
            </w:r>
            <w:r w:rsidR="00ED1A59" w:rsidRPr="00275FBD">
              <w:rPr>
                <w:rFonts w:cs="Calibri"/>
                <w:b/>
                <w:bCs/>
                <w:color w:val="000000"/>
                <w:sz w:val="18"/>
                <w:szCs w:val="18"/>
                <w:lang w:val="sl-SI"/>
              </w:rPr>
              <w:t xml:space="preserve"> I</w:t>
            </w:r>
          </w:p>
        </w:tc>
        <w:tc>
          <w:tcPr>
            <w:tcW w:w="1134" w:type="dxa"/>
            <w:shd w:val="clear" w:color="auto" w:fill="D9D9D9"/>
            <w:vAlign w:val="bottom"/>
          </w:tcPr>
          <w:p w14:paraId="52626153" w14:textId="11C96328" w:rsidR="00ED1A59" w:rsidRPr="00275FBD" w:rsidRDefault="00774308" w:rsidP="00B47BFF">
            <w:pPr>
              <w:spacing w:before="60" w:after="60"/>
              <w:jc w:val="left"/>
              <w:rPr>
                <w:rFonts w:cs="TimesNewRomanPSMT"/>
                <w:b/>
                <w:bCs/>
                <w:sz w:val="18"/>
                <w:szCs w:val="18"/>
                <w:lang w:val="sl-SI" w:eastAsia="en-GB"/>
              </w:rPr>
            </w:pPr>
            <w:r w:rsidRPr="00275FBD">
              <w:rPr>
                <w:rFonts w:cs="Calibri"/>
                <w:b/>
                <w:bCs/>
                <w:color w:val="000000"/>
                <w:sz w:val="18"/>
                <w:szCs w:val="18"/>
                <w:lang w:val="sl-SI"/>
              </w:rPr>
              <w:t>Čas</w:t>
            </w:r>
            <w:r w:rsidR="00ED1A59" w:rsidRPr="00275FBD">
              <w:rPr>
                <w:rFonts w:cs="Calibri"/>
                <w:b/>
                <w:bCs/>
                <w:color w:val="000000"/>
                <w:sz w:val="18"/>
                <w:szCs w:val="18"/>
                <w:lang w:val="sl-SI"/>
              </w:rPr>
              <w:t xml:space="preserve"> II</w:t>
            </w:r>
          </w:p>
        </w:tc>
        <w:tc>
          <w:tcPr>
            <w:tcW w:w="1134" w:type="dxa"/>
            <w:shd w:val="clear" w:color="auto" w:fill="D9D9D9"/>
            <w:vAlign w:val="bottom"/>
          </w:tcPr>
          <w:p w14:paraId="233C9874" w14:textId="3D28794E" w:rsidR="00ED1A59" w:rsidRPr="00275FBD" w:rsidRDefault="00774308" w:rsidP="00B47BFF">
            <w:pPr>
              <w:spacing w:before="60" w:after="60"/>
              <w:jc w:val="left"/>
              <w:rPr>
                <w:rFonts w:cs="Calibri"/>
                <w:b/>
                <w:bCs/>
                <w:color w:val="000000"/>
                <w:sz w:val="18"/>
                <w:szCs w:val="18"/>
                <w:lang w:val="sl-SI"/>
              </w:rPr>
            </w:pPr>
            <w:r w:rsidRPr="00275FBD">
              <w:rPr>
                <w:rFonts w:cs="Calibri"/>
                <w:b/>
                <w:bCs/>
                <w:color w:val="000000"/>
                <w:sz w:val="18"/>
                <w:szCs w:val="18"/>
                <w:lang w:val="sl-SI"/>
              </w:rPr>
              <w:t>Čas</w:t>
            </w:r>
            <w:r w:rsidR="00ED1A59" w:rsidRPr="00275FBD">
              <w:rPr>
                <w:rFonts w:cs="Calibri"/>
                <w:b/>
                <w:bCs/>
                <w:color w:val="000000"/>
                <w:sz w:val="18"/>
                <w:szCs w:val="18"/>
                <w:lang w:val="sl-SI"/>
              </w:rPr>
              <w:t xml:space="preserve"> III</w:t>
            </w:r>
          </w:p>
        </w:tc>
        <w:tc>
          <w:tcPr>
            <w:tcW w:w="1275" w:type="dxa"/>
            <w:shd w:val="clear" w:color="auto" w:fill="D9D9D9"/>
            <w:vAlign w:val="bottom"/>
          </w:tcPr>
          <w:p w14:paraId="66B151CF" w14:textId="54C2688C" w:rsidR="00ED1A59" w:rsidRPr="00275FBD" w:rsidRDefault="00ED1A59" w:rsidP="00B47BFF">
            <w:pPr>
              <w:spacing w:before="60" w:after="60"/>
              <w:jc w:val="left"/>
              <w:rPr>
                <w:rFonts w:cs="TimesNewRomanPSMT"/>
                <w:b/>
                <w:bCs/>
                <w:sz w:val="18"/>
                <w:szCs w:val="18"/>
                <w:lang w:val="sl-SI" w:eastAsia="en-GB"/>
              </w:rPr>
            </w:pPr>
            <w:r w:rsidRPr="00275FBD">
              <w:rPr>
                <w:rFonts w:cs="TimesNewRomanPSMT"/>
                <w:b/>
                <w:bCs/>
                <w:sz w:val="18"/>
                <w:szCs w:val="18"/>
                <w:lang w:val="sl-SI" w:eastAsia="en-GB"/>
              </w:rPr>
              <w:t>Pre</w:t>
            </w:r>
            <w:r w:rsidR="00774308" w:rsidRPr="00275FBD">
              <w:rPr>
                <w:rFonts w:cs="TimesNewRomanPSMT"/>
                <w:b/>
                <w:bCs/>
                <w:sz w:val="18"/>
                <w:szCs w:val="18"/>
                <w:lang w:val="sl-SI" w:eastAsia="en-GB"/>
              </w:rPr>
              <w:t>d</w:t>
            </w:r>
            <w:r w:rsidRPr="00275FBD">
              <w:rPr>
                <w:rFonts w:cs="TimesNewRomanPSMT"/>
                <w:b/>
                <w:bCs/>
                <w:sz w:val="18"/>
                <w:szCs w:val="18"/>
                <w:lang w:val="sl-SI" w:eastAsia="en-GB"/>
              </w:rPr>
              <w:t>-SALTO</w:t>
            </w:r>
          </w:p>
        </w:tc>
      </w:tr>
      <w:tr w:rsidR="00ED1A59" w:rsidRPr="00275FBD" w14:paraId="31C69CD1" w14:textId="77777777" w:rsidTr="00FD5D99">
        <w:tc>
          <w:tcPr>
            <w:tcW w:w="3119" w:type="dxa"/>
            <w:vAlign w:val="bottom"/>
          </w:tcPr>
          <w:p w14:paraId="7632BB0A" w14:textId="5FB0E3F9" w:rsidR="00ED1A59" w:rsidRPr="00275FBD" w:rsidRDefault="00774308" w:rsidP="00B47BFF">
            <w:pPr>
              <w:spacing w:before="60" w:after="60"/>
              <w:jc w:val="left"/>
              <w:rPr>
                <w:rFonts w:cs="TimesNewRomanPSMT"/>
                <w:bCs/>
                <w:sz w:val="18"/>
                <w:szCs w:val="18"/>
                <w:lang w:val="sl-SI" w:eastAsia="en-GB"/>
              </w:rPr>
            </w:pPr>
            <w:r w:rsidRPr="00275FBD">
              <w:rPr>
                <w:rFonts w:cs="Calibri"/>
                <w:bCs/>
                <w:color w:val="000000"/>
                <w:sz w:val="18"/>
                <w:szCs w:val="18"/>
                <w:lang w:val="sl-SI" w:eastAsia="hr-HR"/>
              </w:rPr>
              <w:t>Načrt izvedbe ukrepov (IAP): rang &gt;3</w:t>
            </w:r>
            <w:r w:rsidR="00ED1A59" w:rsidRPr="00275FBD">
              <w:rPr>
                <w:rFonts w:cs="Calibri"/>
                <w:bCs/>
                <w:color w:val="000000"/>
                <w:sz w:val="18"/>
                <w:szCs w:val="18"/>
                <w:lang w:val="sl-SI" w:eastAsia="hr-HR"/>
              </w:rPr>
              <w:t xml:space="preserve"> </w:t>
            </w:r>
            <w:r w:rsidR="00ED1A59" w:rsidRPr="00275FBD">
              <w:rPr>
                <w:rFonts w:cs="Calibri"/>
                <w:bCs/>
                <w:color w:val="000000"/>
                <w:sz w:val="18"/>
                <w:szCs w:val="18"/>
                <w:vertAlign w:val="superscript"/>
                <w:lang w:val="sl-SI" w:eastAsia="hr-HR"/>
              </w:rPr>
              <w:t>(1)</w:t>
            </w:r>
          </w:p>
        </w:tc>
        <w:tc>
          <w:tcPr>
            <w:tcW w:w="1276" w:type="dxa"/>
            <w:vAlign w:val="center"/>
          </w:tcPr>
          <w:p w14:paraId="133E5B5B" w14:textId="3052929D" w:rsidR="00ED1A59" w:rsidRPr="00275FBD" w:rsidRDefault="00FD5D99"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50</w:t>
            </w:r>
          </w:p>
        </w:tc>
        <w:tc>
          <w:tcPr>
            <w:tcW w:w="1134" w:type="dxa"/>
            <w:shd w:val="clear" w:color="auto" w:fill="auto"/>
            <w:vAlign w:val="center"/>
          </w:tcPr>
          <w:p w14:paraId="5A437B1D" w14:textId="77777777" w:rsidR="00ED1A59" w:rsidRPr="00275FBD" w:rsidRDefault="00ED1A59"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13</w:t>
            </w:r>
          </w:p>
        </w:tc>
        <w:tc>
          <w:tcPr>
            <w:tcW w:w="1134" w:type="dxa"/>
            <w:shd w:val="clear" w:color="auto" w:fill="auto"/>
            <w:vAlign w:val="center"/>
          </w:tcPr>
          <w:p w14:paraId="69D6E531" w14:textId="6ACF6F98" w:rsidR="00ED1A59" w:rsidRPr="00275FBD" w:rsidRDefault="00FD5D99"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30</w:t>
            </w:r>
          </w:p>
        </w:tc>
        <w:tc>
          <w:tcPr>
            <w:tcW w:w="1134" w:type="dxa"/>
            <w:vAlign w:val="center"/>
          </w:tcPr>
          <w:p w14:paraId="74238AF3" w14:textId="77777777" w:rsidR="00ED1A59" w:rsidRPr="00275FBD" w:rsidRDefault="00ED1A59"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6</w:t>
            </w:r>
          </w:p>
        </w:tc>
        <w:tc>
          <w:tcPr>
            <w:tcW w:w="1275" w:type="dxa"/>
            <w:shd w:val="clear" w:color="auto" w:fill="auto"/>
            <w:vAlign w:val="center"/>
          </w:tcPr>
          <w:p w14:paraId="129679AD" w14:textId="77777777" w:rsidR="00ED1A59" w:rsidRPr="00275FBD" w:rsidRDefault="00ED1A59"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1</w:t>
            </w:r>
          </w:p>
        </w:tc>
      </w:tr>
      <w:tr w:rsidR="00ED1A59" w:rsidRPr="00275FBD" w14:paraId="7DEE9685" w14:textId="77777777" w:rsidTr="00FD5D99">
        <w:tc>
          <w:tcPr>
            <w:tcW w:w="3119" w:type="dxa"/>
            <w:vAlign w:val="bottom"/>
          </w:tcPr>
          <w:p w14:paraId="2B7AD5E5" w14:textId="6822346C" w:rsidR="00ED1A59" w:rsidRPr="00275FBD" w:rsidRDefault="00910B6F" w:rsidP="00B47BFF">
            <w:pPr>
              <w:spacing w:before="60" w:after="60"/>
              <w:jc w:val="left"/>
              <w:rPr>
                <w:rFonts w:cs="TimesNewRomanPSMT"/>
                <w:bCs/>
                <w:sz w:val="18"/>
                <w:szCs w:val="18"/>
                <w:lang w:val="sl-SI" w:eastAsia="en-GB"/>
              </w:rPr>
            </w:pPr>
            <w:r w:rsidRPr="00275FBD">
              <w:rPr>
                <w:rFonts w:cs="Calibri"/>
                <w:bCs/>
                <w:color w:val="000000"/>
                <w:sz w:val="18"/>
                <w:szCs w:val="18"/>
                <w:lang w:val="sl-SI" w:eastAsia="hr-HR"/>
              </w:rPr>
              <w:t>Najdbe</w:t>
            </w:r>
            <w:r w:rsidR="005C0015">
              <w:rPr>
                <w:rFonts w:cs="Calibri"/>
                <w:bCs/>
                <w:color w:val="000000"/>
                <w:sz w:val="18"/>
                <w:szCs w:val="18"/>
                <w:lang w:val="sl-SI" w:eastAsia="hr-HR"/>
              </w:rPr>
              <w:t>,</w:t>
            </w:r>
            <w:r w:rsidR="00774308" w:rsidRPr="00275FBD">
              <w:rPr>
                <w:rFonts w:cs="Calibri"/>
                <w:bCs/>
                <w:color w:val="000000"/>
                <w:sz w:val="18"/>
                <w:szCs w:val="18"/>
                <w:lang w:val="sl-SI" w:eastAsia="hr-HR"/>
              </w:rPr>
              <w:t xml:space="preserve"> ki zahtevajo takojšnjo </w:t>
            </w:r>
            <w:r w:rsidR="00F8499D">
              <w:rPr>
                <w:rFonts w:cs="Calibri"/>
                <w:color w:val="000000"/>
                <w:sz w:val="18"/>
                <w:szCs w:val="18"/>
                <w:lang w:val="sl-SI" w:eastAsia="hr-HR"/>
              </w:rPr>
              <w:t>razrešitev</w:t>
            </w:r>
            <w:r w:rsidR="00F8499D" w:rsidRPr="00275FBD">
              <w:rPr>
                <w:rFonts w:cs="Calibri"/>
                <w:color w:val="000000"/>
                <w:sz w:val="18"/>
                <w:szCs w:val="18"/>
                <w:lang w:val="sl-SI" w:eastAsia="hr-HR"/>
              </w:rPr>
              <w:t xml:space="preserve"> </w:t>
            </w:r>
            <w:r w:rsidR="00774308" w:rsidRPr="00275FBD">
              <w:rPr>
                <w:rFonts w:cs="Calibri"/>
                <w:bCs/>
                <w:color w:val="000000"/>
                <w:sz w:val="18"/>
                <w:szCs w:val="18"/>
                <w:lang w:val="sl-SI" w:eastAsia="hr-HR"/>
              </w:rPr>
              <w:t>(»IRR«)</w:t>
            </w:r>
            <w:r w:rsidR="00ED1A59" w:rsidRPr="00275FBD">
              <w:rPr>
                <w:rFonts w:cs="Calibri"/>
                <w:bCs/>
                <w:color w:val="000000"/>
                <w:sz w:val="18"/>
                <w:szCs w:val="18"/>
                <w:lang w:val="sl-SI" w:eastAsia="hr-HR"/>
              </w:rPr>
              <w:t xml:space="preserve"> </w:t>
            </w:r>
            <w:r w:rsidR="00ED1A59" w:rsidRPr="00275FBD">
              <w:rPr>
                <w:rFonts w:cs="Calibri"/>
                <w:bCs/>
                <w:color w:val="000000"/>
                <w:sz w:val="18"/>
                <w:szCs w:val="18"/>
                <w:vertAlign w:val="superscript"/>
                <w:lang w:val="sl-SI" w:eastAsia="hr-HR"/>
              </w:rPr>
              <w:t>(2)</w:t>
            </w:r>
          </w:p>
        </w:tc>
        <w:tc>
          <w:tcPr>
            <w:tcW w:w="1276" w:type="dxa"/>
            <w:vAlign w:val="center"/>
          </w:tcPr>
          <w:p w14:paraId="226C6F1C" w14:textId="77777777" w:rsidR="00ED1A59" w:rsidRPr="00275FBD" w:rsidRDefault="00ED1A59"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15</w:t>
            </w:r>
          </w:p>
        </w:tc>
        <w:tc>
          <w:tcPr>
            <w:tcW w:w="1134" w:type="dxa"/>
            <w:shd w:val="clear" w:color="auto" w:fill="auto"/>
            <w:vAlign w:val="center"/>
          </w:tcPr>
          <w:p w14:paraId="34EF5280" w14:textId="77777777" w:rsidR="00ED1A59" w:rsidRPr="00275FBD" w:rsidRDefault="00ED1A59"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0</w:t>
            </w:r>
          </w:p>
        </w:tc>
        <w:tc>
          <w:tcPr>
            <w:tcW w:w="1134" w:type="dxa"/>
            <w:shd w:val="clear" w:color="auto" w:fill="auto"/>
            <w:vAlign w:val="center"/>
          </w:tcPr>
          <w:p w14:paraId="5C3CBD5C" w14:textId="77777777" w:rsidR="00ED1A59" w:rsidRPr="00275FBD" w:rsidRDefault="00ED1A59"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1</w:t>
            </w:r>
          </w:p>
        </w:tc>
        <w:tc>
          <w:tcPr>
            <w:tcW w:w="1134" w:type="dxa"/>
            <w:vAlign w:val="center"/>
          </w:tcPr>
          <w:p w14:paraId="2139497E" w14:textId="77777777" w:rsidR="00ED1A59" w:rsidRPr="00275FBD" w:rsidRDefault="00ED1A59"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0</w:t>
            </w:r>
          </w:p>
        </w:tc>
        <w:tc>
          <w:tcPr>
            <w:tcW w:w="1275" w:type="dxa"/>
            <w:shd w:val="clear" w:color="auto" w:fill="auto"/>
            <w:vAlign w:val="center"/>
          </w:tcPr>
          <w:p w14:paraId="2DC51CCC" w14:textId="77777777" w:rsidR="00ED1A59" w:rsidRPr="00275FBD" w:rsidRDefault="00ED1A59"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14</w:t>
            </w:r>
          </w:p>
        </w:tc>
      </w:tr>
      <w:tr w:rsidR="00ED1A59" w:rsidRPr="00275FBD" w14:paraId="6A230EB4" w14:textId="77777777" w:rsidTr="00FD5D99">
        <w:tc>
          <w:tcPr>
            <w:tcW w:w="3119" w:type="dxa"/>
            <w:vAlign w:val="bottom"/>
          </w:tcPr>
          <w:p w14:paraId="45117968" w14:textId="0341F46C" w:rsidR="00ED1A59" w:rsidRPr="00275FBD" w:rsidRDefault="00910B6F" w:rsidP="00B47BFF">
            <w:pPr>
              <w:spacing w:before="60" w:after="60"/>
              <w:jc w:val="left"/>
              <w:rPr>
                <w:rFonts w:cs="TimesNewRomanPSMT"/>
                <w:bCs/>
                <w:sz w:val="18"/>
                <w:szCs w:val="18"/>
                <w:lang w:val="sl-SI" w:eastAsia="en-GB"/>
              </w:rPr>
            </w:pPr>
            <w:r w:rsidRPr="00275FBD">
              <w:rPr>
                <w:rFonts w:cs="Calibri"/>
                <w:bCs/>
                <w:color w:val="000000"/>
                <w:sz w:val="18"/>
                <w:szCs w:val="18"/>
                <w:lang w:val="sl-SI" w:eastAsia="hr-HR"/>
              </w:rPr>
              <w:t>Najdbe</w:t>
            </w:r>
            <w:r w:rsidR="00774308" w:rsidRPr="00275FBD">
              <w:rPr>
                <w:rFonts w:cs="Calibri"/>
                <w:bCs/>
                <w:color w:val="000000"/>
                <w:sz w:val="18"/>
                <w:szCs w:val="18"/>
                <w:lang w:val="sl-SI" w:eastAsia="hr-HR"/>
              </w:rPr>
              <w:t xml:space="preserve"> </w:t>
            </w:r>
            <w:r w:rsidR="00A7693C">
              <w:rPr>
                <w:rFonts w:cs="Calibri"/>
                <w:bCs/>
                <w:color w:val="000000"/>
                <w:sz w:val="18"/>
                <w:szCs w:val="18"/>
                <w:lang w:val="sl-SI" w:eastAsia="hr-HR"/>
              </w:rPr>
              <w:t xml:space="preserve">izvedljive </w:t>
            </w:r>
            <w:r w:rsidR="00774308" w:rsidRPr="00275FBD">
              <w:rPr>
                <w:rFonts w:cs="Calibri"/>
                <w:bCs/>
                <w:color w:val="000000"/>
                <w:sz w:val="18"/>
                <w:szCs w:val="18"/>
                <w:lang w:val="sl-SI" w:eastAsia="hr-HR"/>
              </w:rPr>
              <w:t xml:space="preserve">z </w:t>
            </w:r>
            <w:r w:rsidR="00A7693C">
              <w:rPr>
                <w:rFonts w:cs="Calibri"/>
                <w:bCs/>
                <w:color w:val="000000"/>
                <w:sz w:val="18"/>
                <w:szCs w:val="18"/>
                <w:lang w:val="sl-SI" w:eastAsia="hr-HR"/>
              </w:rPr>
              <w:t>majhn</w:t>
            </w:r>
            <w:r w:rsidR="00774308" w:rsidRPr="00275FBD">
              <w:rPr>
                <w:rFonts w:cs="Calibri"/>
                <w:bCs/>
                <w:color w:val="000000"/>
                <w:sz w:val="18"/>
                <w:szCs w:val="18"/>
                <w:lang w:val="sl-SI" w:eastAsia="hr-HR"/>
              </w:rPr>
              <w:t>im naporom (»LE«)</w:t>
            </w:r>
          </w:p>
        </w:tc>
        <w:tc>
          <w:tcPr>
            <w:tcW w:w="1276" w:type="dxa"/>
            <w:vAlign w:val="center"/>
          </w:tcPr>
          <w:p w14:paraId="4A6B65D2" w14:textId="77777777" w:rsidR="00ED1A59" w:rsidRPr="00275FBD" w:rsidRDefault="00ED1A59"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33</w:t>
            </w:r>
          </w:p>
        </w:tc>
        <w:tc>
          <w:tcPr>
            <w:tcW w:w="1134" w:type="dxa"/>
            <w:shd w:val="clear" w:color="auto" w:fill="auto"/>
            <w:vAlign w:val="center"/>
          </w:tcPr>
          <w:p w14:paraId="152DF75E" w14:textId="77777777" w:rsidR="00ED1A59" w:rsidRPr="00275FBD" w:rsidRDefault="00ED1A59"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25</w:t>
            </w:r>
          </w:p>
        </w:tc>
        <w:tc>
          <w:tcPr>
            <w:tcW w:w="1134" w:type="dxa"/>
            <w:shd w:val="clear" w:color="auto" w:fill="auto"/>
            <w:vAlign w:val="center"/>
          </w:tcPr>
          <w:p w14:paraId="1F778EF7" w14:textId="77777777" w:rsidR="00ED1A59" w:rsidRPr="00275FBD" w:rsidRDefault="00ED1A59"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8</w:t>
            </w:r>
          </w:p>
        </w:tc>
        <w:tc>
          <w:tcPr>
            <w:tcW w:w="1134" w:type="dxa"/>
            <w:vAlign w:val="center"/>
          </w:tcPr>
          <w:p w14:paraId="48B46DF3" w14:textId="77777777" w:rsidR="00ED1A59" w:rsidRPr="00275FBD" w:rsidRDefault="00ED1A59"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0</w:t>
            </w:r>
          </w:p>
        </w:tc>
        <w:tc>
          <w:tcPr>
            <w:tcW w:w="1275" w:type="dxa"/>
            <w:shd w:val="clear" w:color="auto" w:fill="auto"/>
            <w:vAlign w:val="center"/>
          </w:tcPr>
          <w:p w14:paraId="4CEAE369" w14:textId="77777777" w:rsidR="00ED1A59" w:rsidRPr="00275FBD" w:rsidRDefault="00ED1A59"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0</w:t>
            </w:r>
          </w:p>
        </w:tc>
      </w:tr>
      <w:tr w:rsidR="00ED1A59" w:rsidRPr="00275FBD" w14:paraId="783A8B4E" w14:textId="77777777" w:rsidTr="00FD5D99">
        <w:tc>
          <w:tcPr>
            <w:tcW w:w="3119" w:type="dxa"/>
            <w:vAlign w:val="bottom"/>
          </w:tcPr>
          <w:p w14:paraId="5DF80E3E" w14:textId="176DE481" w:rsidR="00ED1A59" w:rsidRPr="00275FBD" w:rsidRDefault="00910B6F" w:rsidP="00B47BFF">
            <w:pPr>
              <w:spacing w:before="60" w:after="60"/>
              <w:jc w:val="left"/>
              <w:rPr>
                <w:rFonts w:cs="TimesNewRomanPSMT"/>
                <w:bCs/>
                <w:sz w:val="18"/>
                <w:szCs w:val="18"/>
                <w:lang w:val="sl-SI" w:eastAsia="en-GB"/>
              </w:rPr>
            </w:pPr>
            <w:r w:rsidRPr="00275FBD">
              <w:rPr>
                <w:rFonts w:cs="Calibri"/>
                <w:bCs/>
                <w:color w:val="000000"/>
                <w:sz w:val="18"/>
                <w:szCs w:val="18"/>
                <w:lang w:val="sl-SI" w:eastAsia="hr-HR"/>
              </w:rPr>
              <w:t xml:space="preserve">Zahteva </w:t>
            </w:r>
            <w:r w:rsidR="00774308" w:rsidRPr="00275FBD">
              <w:rPr>
                <w:rFonts w:cs="Calibri"/>
                <w:bCs/>
                <w:color w:val="000000"/>
                <w:sz w:val="18"/>
                <w:szCs w:val="18"/>
                <w:lang w:val="sl-SI" w:eastAsia="hr-HR"/>
              </w:rPr>
              <w:t xml:space="preserve"> – URSJV</w:t>
            </w:r>
          </w:p>
        </w:tc>
        <w:tc>
          <w:tcPr>
            <w:tcW w:w="1276" w:type="dxa"/>
            <w:vAlign w:val="center"/>
          </w:tcPr>
          <w:p w14:paraId="10474E39" w14:textId="210447E9" w:rsidR="00ED1A59" w:rsidRPr="00275FBD" w:rsidRDefault="005F3BC3"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51</w:t>
            </w:r>
          </w:p>
        </w:tc>
        <w:tc>
          <w:tcPr>
            <w:tcW w:w="1134" w:type="dxa"/>
            <w:shd w:val="clear" w:color="auto" w:fill="auto"/>
            <w:vAlign w:val="center"/>
          </w:tcPr>
          <w:p w14:paraId="1A909130" w14:textId="3C4785BF" w:rsidR="00ED1A59" w:rsidRPr="00275FBD" w:rsidRDefault="005F3BC3"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1</w:t>
            </w:r>
          </w:p>
        </w:tc>
        <w:tc>
          <w:tcPr>
            <w:tcW w:w="1134" w:type="dxa"/>
            <w:shd w:val="clear" w:color="auto" w:fill="auto"/>
            <w:vAlign w:val="center"/>
          </w:tcPr>
          <w:p w14:paraId="371EA5EC" w14:textId="1EE2B609" w:rsidR="00ED1A59" w:rsidRPr="00275FBD" w:rsidRDefault="005F3BC3"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46</w:t>
            </w:r>
          </w:p>
        </w:tc>
        <w:tc>
          <w:tcPr>
            <w:tcW w:w="1134" w:type="dxa"/>
            <w:vAlign w:val="center"/>
          </w:tcPr>
          <w:p w14:paraId="2DD00D27" w14:textId="7A6E37A1" w:rsidR="00ED1A59" w:rsidRPr="00275FBD" w:rsidRDefault="005F3BC3"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10</w:t>
            </w:r>
          </w:p>
        </w:tc>
        <w:tc>
          <w:tcPr>
            <w:tcW w:w="1275" w:type="dxa"/>
            <w:shd w:val="clear" w:color="auto" w:fill="auto"/>
            <w:vAlign w:val="center"/>
          </w:tcPr>
          <w:p w14:paraId="21955069" w14:textId="77777777" w:rsidR="00ED1A59" w:rsidRPr="00275FBD" w:rsidRDefault="00ED1A59"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0</w:t>
            </w:r>
          </w:p>
        </w:tc>
      </w:tr>
      <w:tr w:rsidR="00FD5D99" w:rsidRPr="00275FBD" w14:paraId="0E4ED826" w14:textId="77777777" w:rsidTr="00FD5D99">
        <w:tc>
          <w:tcPr>
            <w:tcW w:w="3119" w:type="dxa"/>
            <w:shd w:val="clear" w:color="auto" w:fill="auto"/>
            <w:vAlign w:val="bottom"/>
          </w:tcPr>
          <w:p w14:paraId="114E05D4" w14:textId="478740AE" w:rsidR="00FD5D99" w:rsidRPr="00275FBD" w:rsidRDefault="00910B6F" w:rsidP="00B47BFF">
            <w:pPr>
              <w:spacing w:before="60" w:after="60"/>
              <w:jc w:val="left"/>
              <w:rPr>
                <w:rFonts w:cs="Calibri"/>
                <w:bCs/>
                <w:color w:val="000000"/>
                <w:sz w:val="18"/>
                <w:szCs w:val="18"/>
                <w:lang w:val="sl-SI" w:eastAsia="hr-HR"/>
              </w:rPr>
            </w:pPr>
            <w:r w:rsidRPr="00275FBD">
              <w:rPr>
                <w:rFonts w:cs="Calibri"/>
                <w:bCs/>
                <w:color w:val="000000"/>
                <w:sz w:val="18"/>
                <w:szCs w:val="18"/>
                <w:lang w:val="sl-SI" w:eastAsia="hr-HR"/>
              </w:rPr>
              <w:t>Zahteva</w:t>
            </w:r>
            <w:r w:rsidR="00774308" w:rsidRPr="00275FBD">
              <w:rPr>
                <w:rFonts w:cs="Calibri"/>
                <w:bCs/>
                <w:color w:val="000000"/>
                <w:sz w:val="18"/>
                <w:szCs w:val="18"/>
                <w:lang w:val="sl-SI" w:eastAsia="hr-HR"/>
              </w:rPr>
              <w:t xml:space="preserve"> – AI</w:t>
            </w:r>
          </w:p>
        </w:tc>
        <w:tc>
          <w:tcPr>
            <w:tcW w:w="1276" w:type="dxa"/>
            <w:shd w:val="clear" w:color="auto" w:fill="auto"/>
            <w:vAlign w:val="center"/>
          </w:tcPr>
          <w:p w14:paraId="7942618A" w14:textId="441F1F33" w:rsidR="00FD5D99" w:rsidRPr="00275FBD" w:rsidRDefault="00FD5D99"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2</w:t>
            </w:r>
          </w:p>
        </w:tc>
        <w:tc>
          <w:tcPr>
            <w:tcW w:w="1134" w:type="dxa"/>
            <w:shd w:val="clear" w:color="auto" w:fill="auto"/>
            <w:vAlign w:val="center"/>
          </w:tcPr>
          <w:p w14:paraId="02A4EEF0" w14:textId="78FCD389" w:rsidR="00FD5D99" w:rsidRPr="00275FBD" w:rsidRDefault="00FD5D99"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0</w:t>
            </w:r>
          </w:p>
        </w:tc>
        <w:tc>
          <w:tcPr>
            <w:tcW w:w="1134" w:type="dxa"/>
            <w:shd w:val="clear" w:color="auto" w:fill="auto"/>
            <w:vAlign w:val="center"/>
          </w:tcPr>
          <w:p w14:paraId="0C6F0DC9" w14:textId="164C1580" w:rsidR="00FD5D99" w:rsidRPr="00275FBD" w:rsidRDefault="00FD5D99"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2</w:t>
            </w:r>
          </w:p>
        </w:tc>
        <w:tc>
          <w:tcPr>
            <w:tcW w:w="1134" w:type="dxa"/>
            <w:shd w:val="clear" w:color="auto" w:fill="auto"/>
            <w:vAlign w:val="center"/>
          </w:tcPr>
          <w:p w14:paraId="1B708C06" w14:textId="7FE1842C" w:rsidR="00FD5D99" w:rsidRPr="00275FBD" w:rsidRDefault="00FD5D99"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0</w:t>
            </w:r>
          </w:p>
        </w:tc>
        <w:tc>
          <w:tcPr>
            <w:tcW w:w="1275" w:type="dxa"/>
            <w:shd w:val="clear" w:color="auto" w:fill="auto"/>
            <w:vAlign w:val="center"/>
          </w:tcPr>
          <w:p w14:paraId="47B88EE6" w14:textId="0998806D" w:rsidR="00FD5D99" w:rsidRPr="00275FBD" w:rsidRDefault="00FD5D99" w:rsidP="00B47BFF">
            <w:pPr>
              <w:spacing w:before="60" w:after="60"/>
              <w:jc w:val="center"/>
              <w:rPr>
                <w:rFonts w:cs="TimesNewRomanPSMT"/>
                <w:bCs/>
                <w:sz w:val="18"/>
                <w:szCs w:val="18"/>
                <w:lang w:val="sl-SI" w:eastAsia="en-GB"/>
              </w:rPr>
            </w:pPr>
            <w:r w:rsidRPr="00275FBD">
              <w:rPr>
                <w:rFonts w:cs="TimesNewRomanPSMT"/>
                <w:bCs/>
                <w:sz w:val="18"/>
                <w:szCs w:val="18"/>
                <w:lang w:val="sl-SI" w:eastAsia="en-GB"/>
              </w:rPr>
              <w:t>0</w:t>
            </w:r>
          </w:p>
        </w:tc>
      </w:tr>
      <w:tr w:rsidR="00ED1A59" w:rsidRPr="00275FBD" w14:paraId="62E5C3D6" w14:textId="77777777" w:rsidTr="00FD5D99">
        <w:tc>
          <w:tcPr>
            <w:tcW w:w="3119" w:type="dxa"/>
            <w:shd w:val="clear" w:color="auto" w:fill="D9D9D9"/>
            <w:vAlign w:val="bottom"/>
          </w:tcPr>
          <w:p w14:paraId="78FF3441" w14:textId="1A318D40" w:rsidR="00ED1A59" w:rsidRPr="00275FBD" w:rsidRDefault="00774308" w:rsidP="00B47BFF">
            <w:pPr>
              <w:spacing w:before="60" w:after="60"/>
              <w:ind w:right="317"/>
              <w:jc w:val="right"/>
              <w:rPr>
                <w:rFonts w:cs="Calibri"/>
                <w:b/>
                <w:bCs/>
                <w:color w:val="000000"/>
                <w:sz w:val="18"/>
                <w:szCs w:val="18"/>
                <w:lang w:val="sl-SI" w:eastAsia="hr-HR"/>
              </w:rPr>
            </w:pPr>
            <w:r w:rsidRPr="00275FBD">
              <w:rPr>
                <w:rFonts w:cs="TimesNewRomanPSMT"/>
                <w:b/>
                <w:bCs/>
                <w:sz w:val="18"/>
                <w:szCs w:val="18"/>
                <w:lang w:val="sl-SI" w:eastAsia="en-GB"/>
              </w:rPr>
              <w:t>Skupaj</w:t>
            </w:r>
          </w:p>
        </w:tc>
        <w:tc>
          <w:tcPr>
            <w:tcW w:w="1276" w:type="dxa"/>
            <w:shd w:val="clear" w:color="auto" w:fill="D9D9D9"/>
            <w:vAlign w:val="center"/>
          </w:tcPr>
          <w:p w14:paraId="7184AACE" w14:textId="32F8FCE7" w:rsidR="00ED1A59" w:rsidRPr="00275FBD" w:rsidRDefault="00FD5D99" w:rsidP="00FD5D99">
            <w:pPr>
              <w:spacing w:before="60" w:after="60"/>
              <w:jc w:val="center"/>
              <w:rPr>
                <w:rFonts w:cs="TimesNewRomanPSMT"/>
                <w:b/>
                <w:bCs/>
                <w:sz w:val="18"/>
                <w:szCs w:val="18"/>
                <w:lang w:val="sl-SI" w:eastAsia="en-GB"/>
              </w:rPr>
            </w:pPr>
            <w:r w:rsidRPr="00275FBD">
              <w:rPr>
                <w:rFonts w:cs="TimesNewRomanPSMT"/>
                <w:b/>
                <w:bCs/>
                <w:sz w:val="18"/>
                <w:szCs w:val="18"/>
                <w:lang w:val="sl-SI" w:eastAsia="en-GB"/>
              </w:rPr>
              <w:t>151</w:t>
            </w:r>
          </w:p>
        </w:tc>
        <w:tc>
          <w:tcPr>
            <w:tcW w:w="1134" w:type="dxa"/>
            <w:shd w:val="clear" w:color="auto" w:fill="D9D9D9" w:themeFill="background1" w:themeFillShade="D9"/>
            <w:vAlign w:val="center"/>
          </w:tcPr>
          <w:p w14:paraId="09999128" w14:textId="02B34509" w:rsidR="00ED1A59" w:rsidRPr="00275FBD" w:rsidRDefault="00ED1A59" w:rsidP="00B47BFF">
            <w:pPr>
              <w:spacing w:before="60" w:after="60"/>
              <w:jc w:val="center"/>
              <w:rPr>
                <w:rFonts w:cs="TimesNewRomanPSMT"/>
                <w:b/>
                <w:bCs/>
                <w:sz w:val="18"/>
                <w:szCs w:val="18"/>
                <w:lang w:val="sl-SI" w:eastAsia="en-GB"/>
              </w:rPr>
            </w:pPr>
            <w:r w:rsidRPr="00275FBD">
              <w:rPr>
                <w:rFonts w:cs="TimesNewRomanPSMT"/>
                <w:b/>
                <w:bCs/>
                <w:sz w:val="18"/>
                <w:szCs w:val="18"/>
                <w:lang w:val="sl-SI" w:eastAsia="en-GB"/>
              </w:rPr>
              <w:t>3</w:t>
            </w:r>
            <w:r w:rsidR="0084660E" w:rsidRPr="00275FBD">
              <w:rPr>
                <w:rFonts w:cs="TimesNewRomanPSMT"/>
                <w:b/>
                <w:bCs/>
                <w:sz w:val="18"/>
                <w:szCs w:val="18"/>
                <w:lang w:val="sl-SI" w:eastAsia="en-GB"/>
              </w:rPr>
              <w:t>9</w:t>
            </w:r>
          </w:p>
        </w:tc>
        <w:tc>
          <w:tcPr>
            <w:tcW w:w="1134" w:type="dxa"/>
            <w:shd w:val="clear" w:color="auto" w:fill="D9D9D9" w:themeFill="background1" w:themeFillShade="D9"/>
            <w:vAlign w:val="center"/>
          </w:tcPr>
          <w:p w14:paraId="636269CB" w14:textId="150AE5F0" w:rsidR="00ED1A59" w:rsidRPr="00275FBD" w:rsidRDefault="0084660E" w:rsidP="00B47BFF">
            <w:pPr>
              <w:spacing w:before="60" w:after="60"/>
              <w:jc w:val="center"/>
              <w:rPr>
                <w:rFonts w:cs="TimesNewRomanPSMT"/>
                <w:b/>
                <w:bCs/>
                <w:sz w:val="18"/>
                <w:szCs w:val="18"/>
                <w:lang w:val="sl-SI" w:eastAsia="en-GB"/>
              </w:rPr>
            </w:pPr>
            <w:r w:rsidRPr="00275FBD">
              <w:rPr>
                <w:rFonts w:cs="TimesNewRomanPSMT"/>
                <w:b/>
                <w:bCs/>
                <w:sz w:val="18"/>
                <w:szCs w:val="18"/>
                <w:lang w:val="sl-SI" w:eastAsia="en-GB"/>
              </w:rPr>
              <w:t>8</w:t>
            </w:r>
            <w:r w:rsidR="00FD5D99" w:rsidRPr="00275FBD">
              <w:rPr>
                <w:rFonts w:cs="TimesNewRomanPSMT"/>
                <w:b/>
                <w:bCs/>
                <w:sz w:val="18"/>
                <w:szCs w:val="18"/>
                <w:lang w:val="sl-SI" w:eastAsia="en-GB"/>
              </w:rPr>
              <w:t>7</w:t>
            </w:r>
          </w:p>
        </w:tc>
        <w:tc>
          <w:tcPr>
            <w:tcW w:w="1134" w:type="dxa"/>
            <w:shd w:val="clear" w:color="auto" w:fill="D9D9D9" w:themeFill="background1" w:themeFillShade="D9"/>
            <w:vAlign w:val="center"/>
          </w:tcPr>
          <w:p w14:paraId="51818EC6" w14:textId="7AEBA0F8" w:rsidR="00ED1A59" w:rsidRPr="00275FBD" w:rsidRDefault="0084660E" w:rsidP="00B47BFF">
            <w:pPr>
              <w:spacing w:before="60" w:after="60"/>
              <w:jc w:val="center"/>
              <w:rPr>
                <w:rFonts w:cs="TimesNewRomanPSMT"/>
                <w:b/>
                <w:bCs/>
                <w:sz w:val="18"/>
                <w:szCs w:val="18"/>
                <w:lang w:val="sl-SI" w:eastAsia="en-GB"/>
              </w:rPr>
            </w:pPr>
            <w:r w:rsidRPr="00275FBD">
              <w:rPr>
                <w:rFonts w:cs="TimesNewRomanPSMT"/>
                <w:b/>
                <w:bCs/>
                <w:sz w:val="18"/>
                <w:szCs w:val="18"/>
                <w:lang w:val="sl-SI" w:eastAsia="en-GB"/>
              </w:rPr>
              <w:t>10</w:t>
            </w:r>
          </w:p>
        </w:tc>
        <w:tc>
          <w:tcPr>
            <w:tcW w:w="1275" w:type="dxa"/>
            <w:shd w:val="clear" w:color="auto" w:fill="D9D9D9" w:themeFill="background1" w:themeFillShade="D9"/>
            <w:vAlign w:val="center"/>
          </w:tcPr>
          <w:p w14:paraId="724F2FB2" w14:textId="77777777" w:rsidR="00ED1A59" w:rsidRPr="00275FBD" w:rsidRDefault="00ED1A59" w:rsidP="00B47BFF">
            <w:pPr>
              <w:spacing w:before="60" w:after="60"/>
              <w:jc w:val="center"/>
              <w:rPr>
                <w:rFonts w:cs="TimesNewRomanPSMT"/>
                <w:b/>
                <w:bCs/>
                <w:sz w:val="18"/>
                <w:szCs w:val="18"/>
                <w:lang w:val="sl-SI" w:eastAsia="en-GB"/>
              </w:rPr>
            </w:pPr>
            <w:r w:rsidRPr="00275FBD">
              <w:rPr>
                <w:rFonts w:cs="TimesNewRomanPSMT"/>
                <w:b/>
                <w:bCs/>
                <w:sz w:val="18"/>
                <w:szCs w:val="18"/>
                <w:lang w:val="sl-SI" w:eastAsia="en-GB"/>
              </w:rPr>
              <w:t>15</w:t>
            </w:r>
          </w:p>
        </w:tc>
      </w:tr>
      <w:tr w:rsidR="00ED1A59" w:rsidRPr="00275FBD" w14:paraId="55CFF3A2" w14:textId="77777777" w:rsidTr="00FD5D99">
        <w:tc>
          <w:tcPr>
            <w:tcW w:w="3119" w:type="dxa"/>
            <w:shd w:val="clear" w:color="auto" w:fill="D9D9D9"/>
            <w:vAlign w:val="bottom"/>
          </w:tcPr>
          <w:p w14:paraId="2396D278" w14:textId="77777777" w:rsidR="00ED1A59" w:rsidRPr="00275FBD" w:rsidRDefault="00ED1A59" w:rsidP="00B47BFF">
            <w:pPr>
              <w:spacing w:before="60" w:after="60"/>
              <w:ind w:right="317"/>
              <w:jc w:val="right"/>
              <w:rPr>
                <w:rFonts w:cs="Calibri"/>
                <w:b/>
                <w:bCs/>
                <w:color w:val="000000"/>
                <w:sz w:val="18"/>
                <w:szCs w:val="18"/>
                <w:lang w:val="sl-SI" w:eastAsia="hr-HR"/>
              </w:rPr>
            </w:pPr>
            <w:r w:rsidRPr="00275FBD">
              <w:rPr>
                <w:rFonts w:cs="Calibri"/>
                <w:b/>
                <w:bCs/>
                <w:color w:val="000000"/>
                <w:sz w:val="18"/>
                <w:szCs w:val="18"/>
                <w:lang w:val="sl-SI" w:eastAsia="hr-HR"/>
              </w:rPr>
              <w:t>%</w:t>
            </w:r>
          </w:p>
        </w:tc>
        <w:tc>
          <w:tcPr>
            <w:tcW w:w="1276" w:type="dxa"/>
            <w:shd w:val="clear" w:color="auto" w:fill="D9D9D9"/>
            <w:vAlign w:val="center"/>
          </w:tcPr>
          <w:p w14:paraId="6C150462" w14:textId="77777777" w:rsidR="00ED1A59" w:rsidRPr="00275FBD" w:rsidRDefault="00ED1A59" w:rsidP="00B47BFF">
            <w:pPr>
              <w:spacing w:before="60" w:after="60"/>
              <w:jc w:val="center"/>
              <w:rPr>
                <w:rFonts w:cs="TimesNewRomanPSMT"/>
                <w:b/>
                <w:bCs/>
                <w:sz w:val="18"/>
                <w:szCs w:val="18"/>
                <w:lang w:val="sl-SI" w:eastAsia="en-GB"/>
              </w:rPr>
            </w:pPr>
            <w:r w:rsidRPr="00275FBD">
              <w:rPr>
                <w:rFonts w:cs="Calibri"/>
                <w:b/>
                <w:bCs/>
                <w:color w:val="000000"/>
                <w:sz w:val="18"/>
                <w:szCs w:val="18"/>
                <w:lang w:val="sl-SI"/>
              </w:rPr>
              <w:t>100.0%</w:t>
            </w:r>
          </w:p>
        </w:tc>
        <w:tc>
          <w:tcPr>
            <w:tcW w:w="1134" w:type="dxa"/>
            <w:shd w:val="clear" w:color="auto" w:fill="D9D9D9" w:themeFill="background1" w:themeFillShade="D9"/>
            <w:vAlign w:val="center"/>
          </w:tcPr>
          <w:p w14:paraId="7D5605AE" w14:textId="238619B6" w:rsidR="00ED1A59" w:rsidRPr="00275FBD" w:rsidRDefault="0084660E" w:rsidP="00B47BFF">
            <w:pPr>
              <w:spacing w:before="60" w:after="60"/>
              <w:jc w:val="center"/>
              <w:rPr>
                <w:rFonts w:cs="TimesNewRomanPSMT"/>
                <w:b/>
                <w:bCs/>
                <w:sz w:val="18"/>
                <w:szCs w:val="18"/>
                <w:lang w:val="sl-SI" w:eastAsia="en-GB"/>
              </w:rPr>
            </w:pPr>
            <w:r w:rsidRPr="00275FBD">
              <w:rPr>
                <w:rFonts w:cs="TimesNewRomanPSMT"/>
                <w:b/>
                <w:bCs/>
                <w:sz w:val="18"/>
                <w:szCs w:val="18"/>
                <w:lang w:val="sl-SI" w:eastAsia="en-GB"/>
              </w:rPr>
              <w:t>2</w:t>
            </w:r>
            <w:r w:rsidR="00FD5D99" w:rsidRPr="00275FBD">
              <w:rPr>
                <w:rFonts w:cs="TimesNewRomanPSMT"/>
                <w:b/>
                <w:bCs/>
                <w:sz w:val="18"/>
                <w:szCs w:val="18"/>
                <w:lang w:val="sl-SI" w:eastAsia="en-GB"/>
              </w:rPr>
              <w:t>5</w:t>
            </w:r>
            <w:r w:rsidR="00ED1A59" w:rsidRPr="00275FBD">
              <w:rPr>
                <w:rFonts w:cs="TimesNewRomanPSMT"/>
                <w:b/>
                <w:bCs/>
                <w:sz w:val="18"/>
                <w:szCs w:val="18"/>
                <w:lang w:val="sl-SI" w:eastAsia="en-GB"/>
              </w:rPr>
              <w:t>.</w:t>
            </w:r>
            <w:r w:rsidR="00FD5D99" w:rsidRPr="00275FBD">
              <w:rPr>
                <w:rFonts w:cs="TimesNewRomanPSMT"/>
                <w:b/>
                <w:bCs/>
                <w:sz w:val="18"/>
                <w:szCs w:val="18"/>
                <w:lang w:val="sl-SI" w:eastAsia="en-GB"/>
              </w:rPr>
              <w:t>83</w:t>
            </w:r>
            <w:r w:rsidR="00ED1A59" w:rsidRPr="00275FBD">
              <w:rPr>
                <w:rFonts w:cs="TimesNewRomanPSMT"/>
                <w:b/>
                <w:bCs/>
                <w:sz w:val="18"/>
                <w:szCs w:val="18"/>
                <w:lang w:val="sl-SI" w:eastAsia="en-GB"/>
              </w:rPr>
              <w:t>%</w:t>
            </w:r>
          </w:p>
        </w:tc>
        <w:tc>
          <w:tcPr>
            <w:tcW w:w="1134" w:type="dxa"/>
            <w:shd w:val="clear" w:color="auto" w:fill="D9D9D9" w:themeFill="background1" w:themeFillShade="D9"/>
            <w:vAlign w:val="center"/>
          </w:tcPr>
          <w:p w14:paraId="6824DB92" w14:textId="78069938" w:rsidR="00ED1A59" w:rsidRPr="00275FBD" w:rsidRDefault="0084660E" w:rsidP="00B47BFF">
            <w:pPr>
              <w:spacing w:before="60" w:after="60"/>
              <w:jc w:val="center"/>
              <w:rPr>
                <w:rFonts w:cs="TimesNewRomanPSMT"/>
                <w:b/>
                <w:bCs/>
                <w:sz w:val="18"/>
                <w:szCs w:val="18"/>
                <w:lang w:val="sl-SI" w:eastAsia="en-GB"/>
              </w:rPr>
            </w:pPr>
            <w:r w:rsidRPr="00275FBD">
              <w:rPr>
                <w:rFonts w:cs="TimesNewRomanPSMT"/>
                <w:b/>
                <w:bCs/>
                <w:sz w:val="18"/>
                <w:szCs w:val="18"/>
                <w:lang w:val="sl-SI" w:eastAsia="en-GB"/>
              </w:rPr>
              <w:t>5</w:t>
            </w:r>
            <w:r w:rsidR="00FD5D99" w:rsidRPr="00275FBD">
              <w:rPr>
                <w:rFonts w:cs="TimesNewRomanPSMT"/>
                <w:b/>
                <w:bCs/>
                <w:sz w:val="18"/>
                <w:szCs w:val="18"/>
                <w:lang w:val="sl-SI" w:eastAsia="en-GB"/>
              </w:rPr>
              <w:t>7</w:t>
            </w:r>
            <w:r w:rsidR="00ED1A59" w:rsidRPr="00275FBD">
              <w:rPr>
                <w:rFonts w:cs="TimesNewRomanPSMT"/>
                <w:b/>
                <w:bCs/>
                <w:sz w:val="18"/>
                <w:szCs w:val="18"/>
                <w:lang w:val="sl-SI" w:eastAsia="en-GB"/>
              </w:rPr>
              <w:t>.</w:t>
            </w:r>
            <w:r w:rsidR="00FD5D99" w:rsidRPr="00275FBD">
              <w:rPr>
                <w:rFonts w:cs="TimesNewRomanPSMT"/>
                <w:b/>
                <w:bCs/>
                <w:sz w:val="18"/>
                <w:szCs w:val="18"/>
                <w:lang w:val="sl-SI" w:eastAsia="en-GB"/>
              </w:rPr>
              <w:t>62</w:t>
            </w:r>
            <w:r w:rsidR="00ED1A59" w:rsidRPr="00275FBD">
              <w:rPr>
                <w:rFonts w:cs="TimesNewRomanPSMT"/>
                <w:b/>
                <w:bCs/>
                <w:sz w:val="18"/>
                <w:szCs w:val="18"/>
                <w:lang w:val="sl-SI" w:eastAsia="en-GB"/>
              </w:rPr>
              <w:t>%</w:t>
            </w:r>
          </w:p>
        </w:tc>
        <w:tc>
          <w:tcPr>
            <w:tcW w:w="1134" w:type="dxa"/>
            <w:shd w:val="clear" w:color="auto" w:fill="D9D9D9" w:themeFill="background1" w:themeFillShade="D9"/>
            <w:vAlign w:val="center"/>
          </w:tcPr>
          <w:p w14:paraId="69085783" w14:textId="3030E2D8" w:rsidR="00ED1A59" w:rsidRPr="00275FBD" w:rsidRDefault="00ED1A59" w:rsidP="00B47BFF">
            <w:pPr>
              <w:spacing w:before="60" w:after="60"/>
              <w:jc w:val="center"/>
              <w:rPr>
                <w:rFonts w:cs="TimesNewRomanPSMT"/>
                <w:b/>
                <w:bCs/>
                <w:sz w:val="18"/>
                <w:szCs w:val="18"/>
                <w:lang w:val="sl-SI" w:eastAsia="en-GB"/>
              </w:rPr>
            </w:pPr>
            <w:r w:rsidRPr="00275FBD">
              <w:rPr>
                <w:rFonts w:cs="TimesNewRomanPSMT"/>
                <w:b/>
                <w:bCs/>
                <w:sz w:val="18"/>
                <w:szCs w:val="18"/>
                <w:lang w:val="sl-SI" w:eastAsia="en-GB"/>
              </w:rPr>
              <w:t>6.</w:t>
            </w:r>
            <w:r w:rsidR="00FD5D99" w:rsidRPr="00275FBD">
              <w:rPr>
                <w:rFonts w:cs="TimesNewRomanPSMT"/>
                <w:b/>
                <w:bCs/>
                <w:sz w:val="18"/>
                <w:szCs w:val="18"/>
                <w:lang w:val="sl-SI" w:eastAsia="en-GB"/>
              </w:rPr>
              <w:t>62</w:t>
            </w:r>
            <w:r w:rsidRPr="00275FBD">
              <w:rPr>
                <w:rFonts w:cs="TimesNewRomanPSMT"/>
                <w:b/>
                <w:bCs/>
                <w:sz w:val="18"/>
                <w:szCs w:val="18"/>
                <w:lang w:val="sl-SI" w:eastAsia="en-GB"/>
              </w:rPr>
              <w:t>%</w:t>
            </w:r>
          </w:p>
        </w:tc>
        <w:tc>
          <w:tcPr>
            <w:tcW w:w="1275" w:type="dxa"/>
            <w:shd w:val="clear" w:color="auto" w:fill="D9D9D9" w:themeFill="background1" w:themeFillShade="D9"/>
            <w:vAlign w:val="center"/>
          </w:tcPr>
          <w:p w14:paraId="001236E1" w14:textId="6BD87530" w:rsidR="00ED1A59" w:rsidRPr="00275FBD" w:rsidRDefault="00FD5D99" w:rsidP="00B47BFF">
            <w:pPr>
              <w:spacing w:before="60" w:after="60"/>
              <w:jc w:val="center"/>
              <w:rPr>
                <w:rFonts w:cs="TimesNewRomanPSMT"/>
                <w:b/>
                <w:bCs/>
                <w:sz w:val="18"/>
                <w:szCs w:val="18"/>
                <w:lang w:val="sl-SI" w:eastAsia="en-GB"/>
              </w:rPr>
            </w:pPr>
            <w:r w:rsidRPr="00275FBD">
              <w:rPr>
                <w:rFonts w:cs="TimesNewRomanPSMT"/>
                <w:b/>
                <w:bCs/>
                <w:sz w:val="18"/>
                <w:szCs w:val="18"/>
                <w:lang w:val="sl-SI" w:eastAsia="en-GB"/>
              </w:rPr>
              <w:t>9</w:t>
            </w:r>
            <w:r w:rsidR="00ED1A59" w:rsidRPr="00275FBD">
              <w:rPr>
                <w:rFonts w:cs="TimesNewRomanPSMT"/>
                <w:b/>
                <w:bCs/>
                <w:sz w:val="18"/>
                <w:szCs w:val="18"/>
                <w:lang w:val="sl-SI" w:eastAsia="en-GB"/>
              </w:rPr>
              <w:t>.</w:t>
            </w:r>
            <w:r w:rsidRPr="00275FBD">
              <w:rPr>
                <w:rFonts w:cs="TimesNewRomanPSMT"/>
                <w:b/>
                <w:bCs/>
                <w:sz w:val="18"/>
                <w:szCs w:val="18"/>
                <w:lang w:val="sl-SI" w:eastAsia="en-GB"/>
              </w:rPr>
              <w:t>93</w:t>
            </w:r>
            <w:r w:rsidR="00ED1A59" w:rsidRPr="00275FBD">
              <w:rPr>
                <w:rFonts w:cs="TimesNewRomanPSMT"/>
                <w:b/>
                <w:bCs/>
                <w:sz w:val="18"/>
                <w:szCs w:val="18"/>
                <w:lang w:val="sl-SI" w:eastAsia="en-GB"/>
              </w:rPr>
              <w:t>%</w:t>
            </w:r>
          </w:p>
        </w:tc>
      </w:tr>
    </w:tbl>
    <w:p w14:paraId="25C279E7" w14:textId="77777777" w:rsidR="00ED1A59" w:rsidRPr="00275FBD" w:rsidRDefault="00ED1A59" w:rsidP="00ED1A59">
      <w:pPr>
        <w:spacing w:before="0" w:after="0"/>
        <w:rPr>
          <w:rFonts w:cs="TimesNewRomanPSMT"/>
          <w:sz w:val="2"/>
          <w:szCs w:val="2"/>
          <w:lang w:val="sl-SI" w:eastAsia="en-GB"/>
        </w:rPr>
      </w:pPr>
    </w:p>
    <w:p w14:paraId="30CB512F" w14:textId="77777777" w:rsidR="00ED1A59" w:rsidRPr="00275FBD" w:rsidRDefault="00ED1A59" w:rsidP="00ED1A59">
      <w:pPr>
        <w:rPr>
          <w:rFonts w:cs="TimesNewRomanPSMT"/>
          <w:color w:val="000000"/>
          <w:sz w:val="2"/>
          <w:szCs w:val="2"/>
          <w:lang w:val="sl-SI" w:eastAsia="en-GB"/>
        </w:rPr>
      </w:pPr>
    </w:p>
    <w:p w14:paraId="02F64FBF" w14:textId="3AC1F62A" w:rsidR="00ED1A59" w:rsidRPr="00275FBD" w:rsidRDefault="00774308" w:rsidP="00ED1A59">
      <w:pPr>
        <w:rPr>
          <w:rFonts w:cs="TimesNewRomanPSMT"/>
          <w:szCs w:val="20"/>
          <w:lang w:val="sl-SI" w:eastAsia="en-GB"/>
        </w:rPr>
      </w:pPr>
      <w:r w:rsidRPr="00997B22">
        <w:rPr>
          <w:rFonts w:cs="TimesNewRomanPSMT"/>
          <w:szCs w:val="20"/>
          <w:lang w:val="sl-SI" w:eastAsia="en-GB"/>
        </w:rPr>
        <w:t>Pripombe za tabelo 5-5</w:t>
      </w:r>
      <w:r w:rsidR="00ED1A59" w:rsidRPr="00997B22">
        <w:rPr>
          <w:rFonts w:cs="TimesNewRomanPSMT"/>
          <w:szCs w:val="20"/>
          <w:lang w:val="sl-SI" w:eastAsia="en-GB"/>
        </w:rPr>
        <w:t>:</w:t>
      </w:r>
    </w:p>
    <w:p w14:paraId="3E5DF36E" w14:textId="144A76E7" w:rsidR="00ED1A59" w:rsidRPr="00275FBD" w:rsidRDefault="00ED1A59" w:rsidP="00ED1A59">
      <w:pPr>
        <w:ind w:left="567" w:hanging="567"/>
        <w:rPr>
          <w:lang w:val="sl-SI" w:eastAsia="en-GB"/>
        </w:rPr>
      </w:pPr>
      <w:r w:rsidRPr="00275FBD">
        <w:rPr>
          <w:lang w:val="sl-SI" w:eastAsia="en-GB"/>
        </w:rPr>
        <w:lastRenderedPageBreak/>
        <w:t>1.</w:t>
      </w:r>
      <w:r w:rsidRPr="00275FBD">
        <w:rPr>
          <w:lang w:val="sl-SI" w:eastAsia="en-GB"/>
        </w:rPr>
        <w:tab/>
      </w:r>
      <w:r w:rsidR="00774308" w:rsidRPr="00275FBD">
        <w:rPr>
          <w:lang w:val="sl-SI" w:eastAsia="en-GB"/>
        </w:rPr>
        <w:t xml:space="preserve">Za </w:t>
      </w:r>
      <w:r w:rsidR="00B47200" w:rsidRPr="00275FBD">
        <w:rPr>
          <w:lang w:val="sl-SI" w:eastAsia="en-GB"/>
        </w:rPr>
        <w:t>najdbo</w:t>
      </w:r>
      <w:r w:rsidR="00774308" w:rsidRPr="00275FBD">
        <w:rPr>
          <w:lang w:val="sl-SI" w:eastAsia="en-GB"/>
        </w:rPr>
        <w:t xml:space="preserve"> PSR3 1.4-015 (</w:t>
      </w:r>
      <w:r w:rsidR="00997B22">
        <w:rPr>
          <w:lang w:val="sl-SI" w:eastAsia="en-GB"/>
        </w:rPr>
        <w:t>kategorija</w:t>
      </w:r>
      <w:r w:rsidR="00997B22" w:rsidRPr="00275FBD">
        <w:rPr>
          <w:lang w:val="sl-SI" w:eastAsia="en-GB"/>
        </w:rPr>
        <w:t xml:space="preserve"> </w:t>
      </w:r>
      <w:r w:rsidR="00774308" w:rsidRPr="00275FBD">
        <w:rPr>
          <w:lang w:val="sl-SI" w:eastAsia="en-GB"/>
        </w:rPr>
        <w:t xml:space="preserve">"RE") časovno okno izvajanja temelji na akcijskem načrtu </w:t>
      </w:r>
      <w:r w:rsidR="00997B22">
        <w:rPr>
          <w:lang w:val="sl-SI" w:eastAsia="en-GB"/>
        </w:rPr>
        <w:t>»</w:t>
      </w:r>
      <w:r w:rsidR="00774308" w:rsidRPr="00275FBD">
        <w:rPr>
          <w:lang w:val="sl-SI" w:eastAsia="en-GB"/>
        </w:rPr>
        <w:t>pred</w:t>
      </w:r>
      <w:r w:rsidR="00720355">
        <w:rPr>
          <w:lang w:val="sl-SI" w:eastAsia="en-GB"/>
        </w:rPr>
        <w:t>-</w:t>
      </w:r>
      <w:r w:rsidR="00774308" w:rsidRPr="00275FBD">
        <w:rPr>
          <w:lang w:val="sl-SI" w:eastAsia="en-GB"/>
        </w:rPr>
        <w:t>SALTO</w:t>
      </w:r>
      <w:r w:rsidR="00997B22">
        <w:rPr>
          <w:lang w:val="sl-SI" w:eastAsia="en-GB"/>
        </w:rPr>
        <w:t>«</w:t>
      </w:r>
      <w:r w:rsidR="00774308" w:rsidRPr="00275FBD">
        <w:rPr>
          <w:lang w:val="sl-SI" w:eastAsia="en-GB"/>
        </w:rPr>
        <w:t>.</w:t>
      </w:r>
    </w:p>
    <w:p w14:paraId="3550A0C6" w14:textId="07C04115" w:rsidR="00ED1A59" w:rsidRPr="00275FBD" w:rsidRDefault="00ED1A59" w:rsidP="00ED1A59">
      <w:pPr>
        <w:ind w:left="567" w:hanging="567"/>
        <w:rPr>
          <w:lang w:val="sl-SI"/>
        </w:rPr>
      </w:pPr>
      <w:r w:rsidRPr="00275FBD">
        <w:rPr>
          <w:lang w:val="sl-SI" w:eastAsia="en-GB"/>
        </w:rPr>
        <w:t>2.</w:t>
      </w:r>
      <w:r w:rsidRPr="00275FBD">
        <w:rPr>
          <w:lang w:val="sl-SI" w:eastAsia="en-GB"/>
        </w:rPr>
        <w:tab/>
      </w:r>
      <w:r w:rsidR="00774308" w:rsidRPr="00275FBD">
        <w:rPr>
          <w:lang w:val="sl-SI" w:eastAsia="en-GB"/>
        </w:rPr>
        <w:t xml:space="preserve">Za vseh 14 </w:t>
      </w:r>
      <w:r w:rsidR="00BD5705" w:rsidRPr="00275FBD">
        <w:rPr>
          <w:lang w:val="sl-SI" w:eastAsia="en-GB"/>
        </w:rPr>
        <w:t xml:space="preserve">najdb </w:t>
      </w:r>
      <w:r w:rsidR="00774308" w:rsidRPr="00275FBD">
        <w:rPr>
          <w:lang w:val="sl-SI" w:eastAsia="en-GB"/>
        </w:rPr>
        <w:t xml:space="preserve">PSR3 </w:t>
      </w:r>
      <w:r w:rsidR="00997B22">
        <w:rPr>
          <w:lang w:val="sl-SI" w:eastAsia="en-GB"/>
        </w:rPr>
        <w:t>»</w:t>
      </w:r>
      <w:r w:rsidR="00774308" w:rsidRPr="00275FBD">
        <w:rPr>
          <w:lang w:val="sl-SI" w:eastAsia="en-GB"/>
        </w:rPr>
        <w:t>pred</w:t>
      </w:r>
      <w:r w:rsidR="00720355">
        <w:rPr>
          <w:lang w:val="sl-SI" w:eastAsia="en-GB"/>
        </w:rPr>
        <w:t>-</w:t>
      </w:r>
      <w:r w:rsidR="00774308" w:rsidRPr="00275FBD">
        <w:rPr>
          <w:lang w:val="sl-SI" w:eastAsia="en-GB"/>
        </w:rPr>
        <w:t>SALTO</w:t>
      </w:r>
      <w:r w:rsidR="00997B22">
        <w:rPr>
          <w:lang w:val="sl-SI" w:eastAsia="en-GB"/>
        </w:rPr>
        <w:t>«</w:t>
      </w:r>
      <w:r w:rsidR="00774308" w:rsidRPr="00275FBD">
        <w:rPr>
          <w:lang w:val="sl-SI" w:eastAsia="en-GB"/>
        </w:rPr>
        <w:t xml:space="preserve">, </w:t>
      </w:r>
      <w:r w:rsidR="005C5149">
        <w:rPr>
          <w:lang w:val="sl-SI" w:eastAsia="en-GB"/>
        </w:rPr>
        <w:t xml:space="preserve">za kategorijo </w:t>
      </w:r>
      <w:r w:rsidR="00774308" w:rsidRPr="00275FBD">
        <w:rPr>
          <w:lang w:val="sl-SI" w:eastAsia="en-GB"/>
        </w:rPr>
        <w:t xml:space="preserve">"IRR", časovna okna izvajanja temeljijo na akcijskem načrtu </w:t>
      </w:r>
      <w:r w:rsidR="005C0015">
        <w:rPr>
          <w:lang w:val="sl-SI" w:eastAsia="en-GB"/>
        </w:rPr>
        <w:t xml:space="preserve">za </w:t>
      </w:r>
      <w:r w:rsidR="00997B22">
        <w:rPr>
          <w:lang w:val="sl-SI" w:eastAsia="en-GB"/>
        </w:rPr>
        <w:t>»</w:t>
      </w:r>
      <w:r w:rsidR="00774308" w:rsidRPr="00275FBD">
        <w:rPr>
          <w:lang w:val="sl-SI" w:eastAsia="en-GB"/>
        </w:rPr>
        <w:t>pred</w:t>
      </w:r>
      <w:r w:rsidR="00720355">
        <w:rPr>
          <w:lang w:val="sl-SI" w:eastAsia="en-GB"/>
        </w:rPr>
        <w:t>-</w:t>
      </w:r>
      <w:r w:rsidR="00774308" w:rsidRPr="00275FBD">
        <w:rPr>
          <w:lang w:val="sl-SI" w:eastAsia="en-GB"/>
        </w:rPr>
        <w:t>SALTO</w:t>
      </w:r>
      <w:r w:rsidR="00997B22">
        <w:rPr>
          <w:lang w:val="sl-SI" w:eastAsia="en-GB"/>
        </w:rPr>
        <w:t>«</w:t>
      </w:r>
      <w:r w:rsidR="00774308" w:rsidRPr="00275FBD">
        <w:rPr>
          <w:lang w:val="sl-SI" w:eastAsia="en-GB"/>
        </w:rPr>
        <w:t>.</w:t>
      </w:r>
    </w:p>
    <w:p w14:paraId="4CEABE8F" w14:textId="46E31981" w:rsidR="00774308" w:rsidRPr="00275FBD" w:rsidRDefault="00774308" w:rsidP="00ED1A59">
      <w:pPr>
        <w:rPr>
          <w:lang w:val="sl-SI" w:eastAsia="en-GB"/>
        </w:rPr>
      </w:pPr>
    </w:p>
    <w:p w14:paraId="33BE1597" w14:textId="1BD503A8" w:rsidR="00F5563F" w:rsidRPr="00275FBD" w:rsidRDefault="00F5563F" w:rsidP="00F5563F">
      <w:pPr>
        <w:rPr>
          <w:rFonts w:cs="TimesNewRomanPSMT"/>
          <w:szCs w:val="20"/>
          <w:lang w:val="sl-SI" w:eastAsia="en-GB"/>
        </w:rPr>
      </w:pPr>
      <w:r w:rsidRPr="00275FBD">
        <w:rPr>
          <w:rFonts w:cs="TimesNewRomanPSMT"/>
          <w:szCs w:val="20"/>
          <w:lang w:val="sl-SI" w:eastAsia="en-GB"/>
        </w:rPr>
        <w:t xml:space="preserve">Korektivne ukrepe za najdbe, ki so del Načrta izvedbe ukrepov, je treba </w:t>
      </w:r>
      <w:r w:rsidR="005C5149">
        <w:rPr>
          <w:rFonts w:cs="TimesNewRomanPSMT"/>
          <w:szCs w:val="20"/>
          <w:lang w:val="sl-SI" w:eastAsia="en-GB"/>
        </w:rPr>
        <w:t xml:space="preserve">po </w:t>
      </w:r>
      <w:r w:rsidR="005C5149" w:rsidRPr="00275FBD">
        <w:rPr>
          <w:rFonts w:cs="TimesNewRomanPSMT"/>
          <w:szCs w:val="20"/>
          <w:lang w:val="sl-SI" w:eastAsia="en-GB"/>
        </w:rPr>
        <w:t>zahtev</w:t>
      </w:r>
      <w:r w:rsidR="005C5149">
        <w:rPr>
          <w:rFonts w:cs="TimesNewRomanPSMT"/>
          <w:szCs w:val="20"/>
          <w:lang w:val="sl-SI" w:eastAsia="en-GB"/>
        </w:rPr>
        <w:t>i</w:t>
      </w:r>
      <w:r w:rsidR="005C5149" w:rsidRPr="00275FBD">
        <w:rPr>
          <w:rFonts w:cs="TimesNewRomanPSMT"/>
          <w:szCs w:val="20"/>
          <w:lang w:val="sl-SI" w:eastAsia="en-GB"/>
        </w:rPr>
        <w:t xml:space="preserve"> Pravilnik</w:t>
      </w:r>
      <w:r w:rsidR="005C5149">
        <w:rPr>
          <w:rFonts w:cs="TimesNewRomanPSMT"/>
          <w:szCs w:val="20"/>
          <w:lang w:val="sl-SI" w:eastAsia="en-GB"/>
        </w:rPr>
        <w:t>a</w:t>
      </w:r>
      <w:r w:rsidR="005C5149" w:rsidRPr="00275FBD">
        <w:rPr>
          <w:rFonts w:cs="TimesNewRomanPSMT"/>
          <w:szCs w:val="20"/>
          <w:lang w:val="sl-SI" w:eastAsia="en-GB"/>
        </w:rPr>
        <w:t xml:space="preserve"> </w:t>
      </w:r>
      <w:r w:rsidR="005C5149" w:rsidRPr="00275FBD">
        <w:rPr>
          <w:rFonts w:cs="TimesNewRomanPSMT"/>
          <w:szCs w:val="20"/>
          <w:lang w:val="sl-SI" w:eastAsia="en-GB"/>
        </w:rPr>
        <w:fldChar w:fldCharType="begin"/>
      </w:r>
      <w:r w:rsidR="005C5149" w:rsidRPr="00275FBD">
        <w:rPr>
          <w:rFonts w:cs="TimesNewRomanPSMT"/>
          <w:szCs w:val="20"/>
          <w:lang w:val="sl-SI" w:eastAsia="en-GB"/>
        </w:rPr>
        <w:instrText xml:space="preserve"> REF _Ref129601022 \r \h </w:instrText>
      </w:r>
      <w:r w:rsidR="005C5149" w:rsidRPr="00275FBD">
        <w:rPr>
          <w:rFonts w:cs="TimesNewRomanPSMT"/>
          <w:szCs w:val="20"/>
          <w:lang w:val="sl-SI" w:eastAsia="en-GB"/>
        </w:rPr>
      </w:r>
      <w:r w:rsidR="005C5149" w:rsidRPr="00275FBD">
        <w:rPr>
          <w:rFonts w:cs="TimesNewRomanPSMT"/>
          <w:szCs w:val="20"/>
          <w:lang w:val="sl-SI" w:eastAsia="en-GB"/>
        </w:rPr>
        <w:fldChar w:fldCharType="separate"/>
      </w:r>
      <w:r w:rsidR="00BA25CD">
        <w:rPr>
          <w:rFonts w:cs="TimesNewRomanPSMT"/>
          <w:szCs w:val="20"/>
          <w:lang w:val="sl-SI" w:eastAsia="en-GB"/>
        </w:rPr>
        <w:t>[6]</w:t>
      </w:r>
      <w:r w:rsidR="005C5149" w:rsidRPr="00275FBD">
        <w:rPr>
          <w:rFonts w:cs="TimesNewRomanPSMT"/>
          <w:szCs w:val="20"/>
          <w:lang w:val="sl-SI" w:eastAsia="en-GB"/>
        </w:rPr>
        <w:fldChar w:fldCharType="end"/>
      </w:r>
      <w:r w:rsidR="005C5149">
        <w:rPr>
          <w:rFonts w:cs="TimesNewRomanPSMT"/>
          <w:szCs w:val="20"/>
          <w:lang w:val="sl-SI" w:eastAsia="en-GB"/>
        </w:rPr>
        <w:t xml:space="preserve"> </w:t>
      </w:r>
      <w:r w:rsidRPr="00275FBD">
        <w:rPr>
          <w:rFonts w:cs="TimesNewRomanPSMT"/>
          <w:szCs w:val="20"/>
          <w:lang w:val="sl-SI" w:eastAsia="en-GB"/>
        </w:rPr>
        <w:t xml:space="preserve">izvesti v roku petih let po odobritvi poročila PSR. V skladu z navedeno zahtevo so bile za čas izvedbe </w:t>
      </w:r>
      <w:r w:rsidR="00B20813">
        <w:rPr>
          <w:rFonts w:cs="TimesNewRomanPSMT"/>
          <w:szCs w:val="20"/>
          <w:lang w:val="sl-SI" w:eastAsia="en-GB"/>
        </w:rPr>
        <w:t>določ</w:t>
      </w:r>
      <w:r w:rsidR="00B20813" w:rsidRPr="00275FBD">
        <w:rPr>
          <w:rFonts w:cs="TimesNewRomanPSMT"/>
          <w:szCs w:val="20"/>
          <w:lang w:val="sl-SI" w:eastAsia="en-GB"/>
        </w:rPr>
        <w:t xml:space="preserve">ene </w:t>
      </w:r>
      <w:r w:rsidRPr="00275FBD">
        <w:rPr>
          <w:rFonts w:cs="TimesNewRomanPSMT"/>
          <w:szCs w:val="20"/>
          <w:lang w:val="sl-SI" w:eastAsia="en-GB"/>
        </w:rPr>
        <w:t>naslednje tri kategorije:</w:t>
      </w:r>
    </w:p>
    <w:p w14:paraId="1E4F23B7" w14:textId="77777777" w:rsidR="00F5563F" w:rsidRPr="00275FBD" w:rsidRDefault="00F5563F" w:rsidP="00F5563F">
      <w:pPr>
        <w:pStyle w:val="Odstavekseznama"/>
        <w:numPr>
          <w:ilvl w:val="0"/>
          <w:numId w:val="49"/>
        </w:numPr>
        <w:ind w:left="714" w:hanging="357"/>
        <w:contextualSpacing w:val="0"/>
        <w:rPr>
          <w:rFonts w:cs="TimesNewRomanPSMT"/>
          <w:szCs w:val="20"/>
          <w:lang w:val="sl-SI" w:eastAsia="en-GB"/>
        </w:rPr>
      </w:pPr>
      <w:r w:rsidRPr="00275FBD">
        <w:rPr>
          <w:rFonts w:cs="TimesNewRomanPSMT"/>
          <w:szCs w:val="20"/>
          <w:lang w:val="sl-SI" w:eastAsia="en-GB"/>
        </w:rPr>
        <w:t>Kategorija I: 0-1 leto</w:t>
      </w:r>
    </w:p>
    <w:p w14:paraId="5D19DF7F" w14:textId="77777777" w:rsidR="00F5563F" w:rsidRPr="00275FBD" w:rsidRDefault="00F5563F" w:rsidP="00F5563F">
      <w:pPr>
        <w:pStyle w:val="Odstavekseznama"/>
        <w:numPr>
          <w:ilvl w:val="0"/>
          <w:numId w:val="49"/>
        </w:numPr>
        <w:ind w:left="714" w:hanging="357"/>
        <w:contextualSpacing w:val="0"/>
        <w:rPr>
          <w:rFonts w:cs="TimesNewRomanPSMT"/>
          <w:szCs w:val="20"/>
          <w:lang w:val="sl-SI" w:eastAsia="en-GB"/>
        </w:rPr>
      </w:pPr>
      <w:r w:rsidRPr="00275FBD">
        <w:rPr>
          <w:rFonts w:cs="TimesNewRomanPSMT"/>
          <w:szCs w:val="20"/>
          <w:lang w:val="sl-SI" w:eastAsia="en-GB"/>
        </w:rPr>
        <w:t>Kategorija II: 1-3 leta</w:t>
      </w:r>
    </w:p>
    <w:p w14:paraId="449FF7EF" w14:textId="77777777" w:rsidR="00F5563F" w:rsidRPr="00275FBD" w:rsidRDefault="00F5563F" w:rsidP="00F5563F">
      <w:pPr>
        <w:pStyle w:val="Odstavekseznama"/>
        <w:numPr>
          <w:ilvl w:val="0"/>
          <w:numId w:val="49"/>
        </w:numPr>
        <w:ind w:left="714" w:hanging="357"/>
        <w:contextualSpacing w:val="0"/>
        <w:rPr>
          <w:rFonts w:cs="TimesNewRomanPSMT"/>
          <w:szCs w:val="20"/>
          <w:lang w:val="sl-SI" w:eastAsia="en-GB"/>
        </w:rPr>
      </w:pPr>
      <w:r w:rsidRPr="00275FBD">
        <w:rPr>
          <w:rFonts w:cs="TimesNewRomanPSMT"/>
          <w:szCs w:val="20"/>
          <w:lang w:val="sl-SI" w:eastAsia="en-GB"/>
        </w:rPr>
        <w:t>Kategorija III: 3-5 let</w:t>
      </w:r>
    </w:p>
    <w:p w14:paraId="47F75BC6" w14:textId="02A4A5D5" w:rsidR="00F5563F" w:rsidRPr="00275FBD" w:rsidRDefault="00F5563F" w:rsidP="00F5563F">
      <w:pPr>
        <w:rPr>
          <w:rFonts w:cs="TimesNewRomanPSMT"/>
          <w:szCs w:val="20"/>
          <w:lang w:val="sl-SI" w:eastAsia="en-GB"/>
        </w:rPr>
      </w:pPr>
      <w:r w:rsidRPr="00275FBD">
        <w:rPr>
          <w:rFonts w:cs="TimesNewRomanPSMT"/>
          <w:szCs w:val="20"/>
          <w:lang w:val="sl-SI" w:eastAsia="en-GB"/>
        </w:rPr>
        <w:t xml:space="preserve">Za vsako najdbo, </w:t>
      </w:r>
      <w:r w:rsidR="00462A7B">
        <w:rPr>
          <w:rFonts w:cs="TimesNewRomanPSMT"/>
          <w:szCs w:val="20"/>
          <w:lang w:val="sl-SI" w:eastAsia="en-GB"/>
        </w:rPr>
        <w:t>vključ</w:t>
      </w:r>
      <w:r w:rsidR="00462A7B" w:rsidRPr="00275FBD">
        <w:rPr>
          <w:rFonts w:cs="TimesNewRomanPSMT"/>
          <w:szCs w:val="20"/>
          <w:lang w:val="sl-SI" w:eastAsia="en-GB"/>
        </w:rPr>
        <w:t xml:space="preserve">eno </w:t>
      </w:r>
      <w:r w:rsidRPr="00275FBD">
        <w:rPr>
          <w:rFonts w:cs="TimesNewRomanPSMT"/>
          <w:szCs w:val="20"/>
          <w:lang w:val="sl-SI" w:eastAsia="en-GB"/>
        </w:rPr>
        <w:t xml:space="preserve">v IAP, je bila </w:t>
      </w:r>
      <w:r w:rsidR="00B20813">
        <w:rPr>
          <w:rFonts w:cs="TimesNewRomanPSMT"/>
          <w:szCs w:val="20"/>
          <w:lang w:val="sl-SI" w:eastAsia="en-GB"/>
        </w:rPr>
        <w:t>določ</w:t>
      </w:r>
      <w:r w:rsidR="00B20813" w:rsidRPr="00275FBD">
        <w:rPr>
          <w:rFonts w:cs="TimesNewRomanPSMT"/>
          <w:szCs w:val="20"/>
          <w:lang w:val="sl-SI" w:eastAsia="en-GB"/>
        </w:rPr>
        <w:t xml:space="preserve">ena </w:t>
      </w:r>
      <w:r w:rsidRPr="00275FBD">
        <w:rPr>
          <w:rFonts w:cs="TimesNewRomanPSMT"/>
          <w:szCs w:val="20"/>
          <w:lang w:val="sl-SI" w:eastAsia="en-GB"/>
        </w:rPr>
        <w:t>kategorija</w:t>
      </w:r>
      <w:r w:rsidR="005C5149">
        <w:rPr>
          <w:rFonts w:cs="TimesNewRomanPSMT"/>
          <w:szCs w:val="20"/>
          <w:lang w:val="sl-SI" w:eastAsia="en-GB"/>
        </w:rPr>
        <w:t xml:space="preserve"> za</w:t>
      </w:r>
      <w:r w:rsidRPr="00275FBD">
        <w:rPr>
          <w:rFonts w:cs="TimesNewRomanPSMT"/>
          <w:szCs w:val="20"/>
          <w:lang w:val="sl-SI" w:eastAsia="en-GB"/>
        </w:rPr>
        <w:t xml:space="preserve"> čas izvedbe. </w:t>
      </w:r>
      <w:r w:rsidRPr="00275FBD">
        <w:rPr>
          <w:rFonts w:cs="TimesNewRomanPSMT"/>
          <w:szCs w:val="20"/>
          <w:lang w:val="sl-SI" w:eastAsia="en-GB"/>
        </w:rPr>
        <w:fldChar w:fldCharType="begin"/>
      </w:r>
      <w:r w:rsidRPr="00275FBD">
        <w:rPr>
          <w:rFonts w:cs="TimesNewRomanPSMT"/>
          <w:szCs w:val="20"/>
          <w:lang w:val="sl-SI" w:eastAsia="en-GB"/>
        </w:rPr>
        <w:instrText xml:space="preserve"> REF _Ref138494401 \h </w:instrText>
      </w:r>
      <w:r w:rsidRPr="00275FBD">
        <w:rPr>
          <w:rFonts w:cs="TimesNewRomanPSMT"/>
          <w:szCs w:val="20"/>
          <w:lang w:val="sl-SI" w:eastAsia="en-GB"/>
        </w:rPr>
      </w:r>
      <w:r w:rsidRPr="00275FBD">
        <w:rPr>
          <w:rFonts w:cs="TimesNewRomanPSMT"/>
          <w:szCs w:val="20"/>
          <w:lang w:val="sl-SI" w:eastAsia="en-GB"/>
        </w:rPr>
        <w:fldChar w:fldCharType="separate"/>
      </w:r>
      <w:r w:rsidR="00BA25CD" w:rsidRPr="00275FBD">
        <w:rPr>
          <w:lang w:val="sl-SI"/>
        </w:rPr>
        <w:t xml:space="preserve">Tabela </w:t>
      </w:r>
      <w:r w:rsidR="00BA25CD">
        <w:rPr>
          <w:noProof/>
          <w:lang w:val="sl-SI"/>
        </w:rPr>
        <w:t>5</w:t>
      </w:r>
      <w:r w:rsidR="00BA25CD" w:rsidRPr="00275FBD">
        <w:rPr>
          <w:lang w:val="sl-SI"/>
        </w:rPr>
        <w:noBreakHyphen/>
      </w:r>
      <w:r w:rsidR="00BA25CD">
        <w:rPr>
          <w:noProof/>
          <w:lang w:val="sl-SI"/>
        </w:rPr>
        <w:t>5</w:t>
      </w:r>
      <w:r w:rsidRPr="00275FBD">
        <w:rPr>
          <w:rFonts w:cs="TimesNewRomanPSMT"/>
          <w:szCs w:val="20"/>
          <w:lang w:val="sl-SI" w:eastAsia="en-GB"/>
        </w:rPr>
        <w:fldChar w:fldCharType="end"/>
      </w:r>
      <w:r w:rsidRPr="00275FBD">
        <w:rPr>
          <w:rFonts w:cs="TimesNewRomanPSMT"/>
          <w:szCs w:val="20"/>
          <w:lang w:val="sl-SI" w:eastAsia="en-GB"/>
        </w:rPr>
        <w:t xml:space="preserve"> prikazuje porazdelitev najdb, vnesenih v IAP, glede na njihova časovna okna </w:t>
      </w:r>
      <w:r w:rsidR="0014523E">
        <w:rPr>
          <w:rFonts w:cs="TimesNewRomanPSMT"/>
          <w:szCs w:val="20"/>
          <w:lang w:val="sl-SI" w:eastAsia="en-GB"/>
        </w:rPr>
        <w:t>za izvedbo</w:t>
      </w:r>
      <w:r w:rsidRPr="00275FBD">
        <w:rPr>
          <w:rFonts w:cs="TimesNewRomanPSMT"/>
          <w:szCs w:val="20"/>
          <w:lang w:val="sl-SI" w:eastAsia="en-GB"/>
        </w:rPr>
        <w:t>. Opozoriti je treba, da za nekatere najdbe (zlasti tist</w:t>
      </w:r>
      <w:r w:rsidR="00495660">
        <w:rPr>
          <w:rFonts w:cs="TimesNewRomanPSMT"/>
          <w:szCs w:val="20"/>
          <w:lang w:val="sl-SI" w:eastAsia="en-GB"/>
        </w:rPr>
        <w:t>e</w:t>
      </w:r>
      <w:r w:rsidRPr="00275FBD">
        <w:rPr>
          <w:rFonts w:cs="TimesNewRomanPSMT"/>
          <w:szCs w:val="20"/>
          <w:lang w:val="sl-SI" w:eastAsia="en-GB"/>
        </w:rPr>
        <w:t>, ki se nanašajo na »pred-SALTO«) obstajajo ločene zahteve glede časovnega razporeda, kar je tudi prikazano v tabeli.</w:t>
      </w:r>
    </w:p>
    <w:p w14:paraId="11563864" w14:textId="77777777" w:rsidR="00F5563F" w:rsidRPr="00275FBD" w:rsidRDefault="00F5563F" w:rsidP="00ED1A59">
      <w:pPr>
        <w:rPr>
          <w:lang w:val="sl-SI" w:eastAsia="en-GB"/>
        </w:rPr>
      </w:pPr>
    </w:p>
    <w:p w14:paraId="74BE12E5" w14:textId="542D2A68" w:rsidR="00C82D8E" w:rsidRPr="00275FBD" w:rsidRDefault="00C82D8E" w:rsidP="00C82D8E">
      <w:pPr>
        <w:rPr>
          <w:rFonts w:cs="TimesNewRomanPSMT"/>
          <w:szCs w:val="20"/>
          <w:lang w:val="sl-SI" w:eastAsia="en-GB"/>
        </w:rPr>
      </w:pPr>
      <w:r w:rsidRPr="00275FBD">
        <w:rPr>
          <w:rFonts w:cs="TimesNewRomanPSMT"/>
          <w:szCs w:val="20"/>
          <w:lang w:val="sl-SI" w:eastAsia="en-GB"/>
        </w:rPr>
        <w:t xml:space="preserve">V zvezi z vključitvijo </w:t>
      </w:r>
      <w:r w:rsidR="00B20813">
        <w:rPr>
          <w:rFonts w:cs="TimesNewRomanPSMT"/>
          <w:szCs w:val="20"/>
          <w:lang w:val="sl-SI" w:eastAsia="en-GB"/>
        </w:rPr>
        <w:t>določ</w:t>
      </w:r>
      <w:r w:rsidR="00B20813" w:rsidRPr="00275FBD">
        <w:rPr>
          <w:rFonts w:cs="TimesNewRomanPSMT"/>
          <w:szCs w:val="20"/>
          <w:lang w:val="sl-SI" w:eastAsia="en-GB"/>
        </w:rPr>
        <w:t xml:space="preserve">enih </w:t>
      </w:r>
      <w:r w:rsidRPr="00275FBD">
        <w:rPr>
          <w:rFonts w:cs="TimesNewRomanPSMT"/>
          <w:szCs w:val="20"/>
          <w:lang w:val="sl-SI" w:eastAsia="en-GB"/>
        </w:rPr>
        <w:t xml:space="preserve">in razvrščenih </w:t>
      </w:r>
      <w:r w:rsidR="00BD5705" w:rsidRPr="00275FBD">
        <w:rPr>
          <w:rFonts w:cs="TimesNewRomanPSMT"/>
          <w:szCs w:val="20"/>
          <w:lang w:val="sl-SI" w:eastAsia="en-GB"/>
        </w:rPr>
        <w:t>najdb</w:t>
      </w:r>
      <w:r w:rsidRPr="00275FBD">
        <w:rPr>
          <w:rFonts w:cs="TimesNewRomanPSMT"/>
          <w:szCs w:val="20"/>
          <w:lang w:val="sl-SI" w:eastAsia="en-GB"/>
        </w:rPr>
        <w:t xml:space="preserve"> v IAP (</w:t>
      </w:r>
      <w:r w:rsidRPr="00275FBD">
        <w:rPr>
          <w:rFonts w:cs="TimesNewRomanPSMT"/>
          <w:szCs w:val="20"/>
          <w:lang w:val="sl-SI" w:eastAsia="en-GB"/>
        </w:rPr>
        <w:fldChar w:fldCharType="begin"/>
      </w:r>
      <w:r w:rsidRPr="00275FBD">
        <w:rPr>
          <w:rFonts w:cs="TimesNewRomanPSMT"/>
          <w:szCs w:val="20"/>
          <w:lang w:val="sl-SI" w:eastAsia="en-GB"/>
        </w:rPr>
        <w:instrText xml:space="preserve"> REF _Ref133224011 \r \h </w:instrText>
      </w:r>
      <w:r w:rsidRPr="00275FBD">
        <w:rPr>
          <w:rFonts w:cs="TimesNewRomanPSMT"/>
          <w:szCs w:val="20"/>
          <w:lang w:val="sl-SI" w:eastAsia="en-GB"/>
        </w:rPr>
      </w:r>
      <w:r w:rsidRPr="00275FBD">
        <w:rPr>
          <w:rFonts w:cs="TimesNewRomanPSMT"/>
          <w:szCs w:val="20"/>
          <w:lang w:val="sl-SI" w:eastAsia="en-GB"/>
        </w:rPr>
        <w:fldChar w:fldCharType="separate"/>
      </w:r>
      <w:r w:rsidR="00BA25CD">
        <w:rPr>
          <w:rFonts w:cs="TimesNewRomanPSMT"/>
          <w:szCs w:val="20"/>
          <w:lang w:val="sl-SI" w:eastAsia="en-GB"/>
        </w:rPr>
        <w:t>[10]</w:t>
      </w:r>
      <w:r w:rsidRPr="00275FBD">
        <w:rPr>
          <w:rFonts w:cs="TimesNewRomanPSMT"/>
          <w:szCs w:val="20"/>
          <w:lang w:val="sl-SI" w:eastAsia="en-GB"/>
        </w:rPr>
        <w:fldChar w:fldCharType="end"/>
      </w:r>
      <w:r w:rsidRPr="00275FBD">
        <w:rPr>
          <w:rFonts w:cs="TimesNewRomanPSMT"/>
          <w:szCs w:val="20"/>
          <w:lang w:val="sl-SI" w:eastAsia="en-GB"/>
        </w:rPr>
        <w:t>) so podani naslednji zaključki:</w:t>
      </w:r>
    </w:p>
    <w:p w14:paraId="3AE7D1E1" w14:textId="5D34F1DF" w:rsidR="00C82D8E" w:rsidRPr="00275FBD" w:rsidRDefault="00B20813" w:rsidP="00C82D8E">
      <w:pPr>
        <w:pStyle w:val="Odstavekseznama"/>
        <w:numPr>
          <w:ilvl w:val="0"/>
          <w:numId w:val="49"/>
        </w:numPr>
        <w:ind w:left="714" w:hanging="357"/>
        <w:contextualSpacing w:val="0"/>
        <w:rPr>
          <w:rFonts w:cs="TimesNewRomanPSMT"/>
          <w:szCs w:val="20"/>
          <w:lang w:val="sl-SI" w:eastAsia="en-GB"/>
        </w:rPr>
      </w:pPr>
      <w:r>
        <w:rPr>
          <w:rFonts w:cs="TimesNewRomanPSMT"/>
          <w:szCs w:val="20"/>
          <w:lang w:val="sl-SI" w:eastAsia="en-GB"/>
        </w:rPr>
        <w:t>T</w:t>
      </w:r>
      <w:r w:rsidR="00C82D8E" w:rsidRPr="00275FBD">
        <w:rPr>
          <w:rFonts w:cs="TimesNewRomanPSMT"/>
          <w:szCs w:val="20"/>
          <w:lang w:val="sl-SI" w:eastAsia="en-GB"/>
        </w:rPr>
        <w:t xml:space="preserve">ri </w:t>
      </w:r>
      <w:r w:rsidR="00F857B7" w:rsidRPr="00275FBD">
        <w:rPr>
          <w:rFonts w:cs="TimesNewRomanPSMT"/>
          <w:szCs w:val="20"/>
          <w:lang w:val="sl-SI" w:eastAsia="en-GB"/>
        </w:rPr>
        <w:t xml:space="preserve">najdbe </w:t>
      </w:r>
      <w:r w:rsidR="00C82D8E" w:rsidRPr="00275FBD">
        <w:rPr>
          <w:rFonts w:cs="TimesNewRomanPSMT"/>
          <w:szCs w:val="20"/>
          <w:lang w:val="sl-SI" w:eastAsia="en-GB"/>
        </w:rPr>
        <w:t>z možnim vplivom na varnost, ki jih je mogoče tolerirati za omejen čas, so vključen</w:t>
      </w:r>
      <w:r w:rsidR="00FD4D06">
        <w:rPr>
          <w:rFonts w:cs="TimesNewRomanPSMT"/>
          <w:szCs w:val="20"/>
          <w:lang w:val="sl-SI" w:eastAsia="en-GB"/>
        </w:rPr>
        <w:t>e</w:t>
      </w:r>
      <w:r w:rsidR="00C82D8E" w:rsidRPr="00275FBD">
        <w:rPr>
          <w:rFonts w:cs="TimesNewRomanPSMT"/>
          <w:szCs w:val="20"/>
          <w:lang w:val="sl-SI" w:eastAsia="en-GB"/>
        </w:rPr>
        <w:t xml:space="preserve"> v IAP (Dodatek 1, </w:t>
      </w:r>
      <w:r w:rsidR="0014523E">
        <w:rPr>
          <w:rFonts w:cs="TimesNewRomanPSMT"/>
          <w:szCs w:val="20"/>
          <w:lang w:val="sl-SI" w:eastAsia="en-GB"/>
        </w:rPr>
        <w:t>T</w:t>
      </w:r>
      <w:r w:rsidR="00C82D8E" w:rsidRPr="00275FBD">
        <w:rPr>
          <w:rFonts w:cs="TimesNewRomanPSMT"/>
          <w:szCs w:val="20"/>
          <w:lang w:val="sl-SI" w:eastAsia="en-GB"/>
        </w:rPr>
        <w:t xml:space="preserve">abela A-1, </w:t>
      </w:r>
      <w:r w:rsidR="00F857B7" w:rsidRPr="00275FBD">
        <w:rPr>
          <w:rFonts w:cs="TimesNewRomanPSMT"/>
          <w:szCs w:val="20"/>
          <w:lang w:val="sl-SI" w:eastAsia="en-GB"/>
        </w:rPr>
        <w:t xml:space="preserve">najdbe </w:t>
      </w:r>
      <w:r w:rsidR="002D2C2E">
        <w:rPr>
          <w:rFonts w:cs="TimesNewRomanPSMT"/>
          <w:szCs w:val="20"/>
          <w:lang w:val="sl-SI" w:eastAsia="en-GB"/>
        </w:rPr>
        <w:t xml:space="preserve">kategorije </w:t>
      </w:r>
      <w:r w:rsidR="00C82D8E" w:rsidRPr="00275FBD">
        <w:rPr>
          <w:rFonts w:cs="TimesNewRomanPSMT"/>
          <w:szCs w:val="20"/>
          <w:lang w:val="sl-SI" w:eastAsia="en-GB"/>
        </w:rPr>
        <w:t>»DL«). Vpisan</w:t>
      </w:r>
      <w:r w:rsidR="00FD4D06">
        <w:rPr>
          <w:rFonts w:cs="TimesNewRomanPSMT"/>
          <w:szCs w:val="20"/>
          <w:lang w:val="sl-SI" w:eastAsia="en-GB"/>
        </w:rPr>
        <w:t>e</w:t>
      </w:r>
      <w:r w:rsidR="00C82D8E" w:rsidRPr="00275FBD">
        <w:rPr>
          <w:rFonts w:cs="TimesNewRomanPSMT"/>
          <w:szCs w:val="20"/>
          <w:lang w:val="sl-SI" w:eastAsia="en-GB"/>
        </w:rPr>
        <w:t xml:space="preserve"> bodo v NEK CAP in </w:t>
      </w:r>
      <w:r w:rsidR="00462A7B" w:rsidRPr="00275FBD">
        <w:rPr>
          <w:rFonts w:cs="TimesNewRomanPSMT"/>
          <w:szCs w:val="20"/>
          <w:lang w:val="sl-SI" w:eastAsia="en-GB"/>
        </w:rPr>
        <w:t xml:space="preserve">spremljano </w:t>
      </w:r>
      <w:r w:rsidR="00237606" w:rsidRPr="00275FBD">
        <w:rPr>
          <w:rFonts w:cs="TimesNewRomanPSMT"/>
          <w:szCs w:val="20"/>
          <w:lang w:val="sl-SI" w:eastAsia="en-GB"/>
        </w:rPr>
        <w:t xml:space="preserve">bo </w:t>
      </w:r>
      <w:r w:rsidR="00C82D8E" w:rsidRPr="00275FBD">
        <w:rPr>
          <w:rFonts w:cs="TimesNewRomanPSMT"/>
          <w:szCs w:val="20"/>
          <w:lang w:val="sl-SI" w:eastAsia="en-GB"/>
        </w:rPr>
        <w:t>njihovo pravočasno reševanje.</w:t>
      </w:r>
    </w:p>
    <w:p w14:paraId="6A6B73C9" w14:textId="3E28DBF9" w:rsidR="00C82D8E" w:rsidRPr="00275FBD" w:rsidRDefault="00B20813" w:rsidP="00C82D8E">
      <w:pPr>
        <w:pStyle w:val="Odstavekseznama"/>
        <w:numPr>
          <w:ilvl w:val="0"/>
          <w:numId w:val="49"/>
        </w:numPr>
        <w:ind w:left="714" w:hanging="357"/>
        <w:contextualSpacing w:val="0"/>
        <w:rPr>
          <w:rFonts w:cs="TimesNewRomanPSMT"/>
          <w:szCs w:val="20"/>
          <w:lang w:val="sl-SI" w:eastAsia="en-GB"/>
        </w:rPr>
      </w:pPr>
      <w:r>
        <w:rPr>
          <w:rFonts w:cs="TimesNewRomanPSMT"/>
          <w:szCs w:val="20"/>
          <w:lang w:val="sl-SI" w:eastAsia="en-GB"/>
        </w:rPr>
        <w:t>S</w:t>
      </w:r>
      <w:r w:rsidR="00C82D8E" w:rsidRPr="00275FBD">
        <w:rPr>
          <w:rFonts w:cs="TimesNewRomanPSMT"/>
          <w:szCs w:val="20"/>
          <w:lang w:val="sl-SI" w:eastAsia="en-GB"/>
        </w:rPr>
        <w:t xml:space="preserve">kupno 30 </w:t>
      </w:r>
      <w:r w:rsidR="00BD5705" w:rsidRPr="00275FBD">
        <w:rPr>
          <w:rFonts w:cs="TimesNewRomanPSMT"/>
          <w:szCs w:val="20"/>
          <w:lang w:val="sl-SI" w:eastAsia="en-GB"/>
        </w:rPr>
        <w:t>najdb,</w:t>
      </w:r>
      <w:r w:rsidR="00C82D8E" w:rsidRPr="00275FBD">
        <w:rPr>
          <w:rFonts w:cs="TimesNewRomanPSMT"/>
          <w:szCs w:val="20"/>
          <w:lang w:val="sl-SI" w:eastAsia="en-GB"/>
        </w:rPr>
        <w:t xml:space="preserve"> ki </w:t>
      </w:r>
      <w:r w:rsidR="00462A7B">
        <w:rPr>
          <w:rFonts w:cs="TimesNewRomanPSMT"/>
          <w:szCs w:val="20"/>
          <w:lang w:val="sl-SI" w:eastAsia="en-GB"/>
        </w:rPr>
        <w:t>predvidevajo</w:t>
      </w:r>
      <w:r w:rsidR="00C82D8E" w:rsidRPr="00275FBD">
        <w:rPr>
          <w:rFonts w:cs="TimesNewRomanPSMT"/>
          <w:szCs w:val="20"/>
          <w:lang w:val="sl-SI" w:eastAsia="en-GB"/>
        </w:rPr>
        <w:t xml:space="preserve"> </w:t>
      </w:r>
      <w:r w:rsidR="00462A7B" w:rsidRPr="00275FBD">
        <w:rPr>
          <w:rFonts w:cs="TimesNewRomanPSMT"/>
          <w:szCs w:val="20"/>
          <w:lang w:val="sl-SI" w:eastAsia="en-GB"/>
        </w:rPr>
        <w:t>ponovn</w:t>
      </w:r>
      <w:r w:rsidR="00462A7B">
        <w:rPr>
          <w:rFonts w:cs="TimesNewRomanPSMT"/>
          <w:szCs w:val="20"/>
          <w:lang w:val="sl-SI" w:eastAsia="en-GB"/>
        </w:rPr>
        <w:t xml:space="preserve">o </w:t>
      </w:r>
      <w:r w:rsidR="00C82D8E" w:rsidRPr="00275FBD">
        <w:rPr>
          <w:rFonts w:cs="TimesNewRomanPSMT"/>
          <w:szCs w:val="20"/>
          <w:lang w:val="sl-SI" w:eastAsia="en-GB"/>
        </w:rPr>
        <w:t>analiz</w:t>
      </w:r>
      <w:r w:rsidR="00462A7B">
        <w:rPr>
          <w:rFonts w:cs="TimesNewRomanPSMT"/>
          <w:szCs w:val="20"/>
          <w:lang w:val="sl-SI" w:eastAsia="en-GB"/>
        </w:rPr>
        <w:t>o</w:t>
      </w:r>
      <w:r w:rsidR="00C82D8E" w:rsidRPr="00275FBD">
        <w:rPr>
          <w:rFonts w:cs="TimesNewRomanPSMT"/>
          <w:szCs w:val="20"/>
          <w:lang w:val="sl-SI" w:eastAsia="en-GB"/>
        </w:rPr>
        <w:t xml:space="preserve"> ali ponovn</w:t>
      </w:r>
      <w:r w:rsidR="00462A7B">
        <w:rPr>
          <w:rFonts w:cs="TimesNewRomanPSMT"/>
          <w:szCs w:val="20"/>
          <w:lang w:val="sl-SI" w:eastAsia="en-GB"/>
        </w:rPr>
        <w:t>o</w:t>
      </w:r>
      <w:r w:rsidR="00C82D8E" w:rsidRPr="00275FBD">
        <w:rPr>
          <w:rFonts w:cs="TimesNewRomanPSMT"/>
          <w:szCs w:val="20"/>
          <w:lang w:val="sl-SI" w:eastAsia="en-GB"/>
        </w:rPr>
        <w:t xml:space="preserve"> ocen</w:t>
      </w:r>
      <w:r w:rsidR="00462A7B">
        <w:rPr>
          <w:rFonts w:cs="TimesNewRomanPSMT"/>
          <w:szCs w:val="20"/>
          <w:lang w:val="sl-SI" w:eastAsia="en-GB"/>
        </w:rPr>
        <w:t>o</w:t>
      </w:r>
      <w:r w:rsidR="00C82D8E" w:rsidRPr="00275FBD">
        <w:rPr>
          <w:rFonts w:cs="TimesNewRomanPSMT"/>
          <w:szCs w:val="20"/>
          <w:lang w:val="sl-SI" w:eastAsia="en-GB"/>
        </w:rPr>
        <w:t xml:space="preserve"> jedrske varnosti, s časovno omejeno sprejemljivostjo, je vključenih v IAP (</w:t>
      </w:r>
      <w:r w:rsidR="00080F69" w:rsidRPr="00275FBD">
        <w:rPr>
          <w:rFonts w:cs="TimesNewRomanPSMT"/>
          <w:szCs w:val="20"/>
          <w:lang w:val="sl-SI" w:eastAsia="en-GB"/>
        </w:rPr>
        <w:t>Dodatek 1</w:t>
      </w:r>
      <w:r w:rsidR="00C82D8E" w:rsidRPr="00275FBD">
        <w:rPr>
          <w:rFonts w:cs="TimesNewRomanPSMT"/>
          <w:szCs w:val="20"/>
          <w:lang w:val="sl-SI" w:eastAsia="en-GB"/>
        </w:rPr>
        <w:t xml:space="preserve">, </w:t>
      </w:r>
      <w:r w:rsidR="0014523E">
        <w:rPr>
          <w:rFonts w:cs="TimesNewRomanPSMT"/>
          <w:szCs w:val="20"/>
          <w:lang w:val="sl-SI" w:eastAsia="en-GB"/>
        </w:rPr>
        <w:t>T</w:t>
      </w:r>
      <w:r w:rsidR="0014523E" w:rsidRPr="00275FBD">
        <w:rPr>
          <w:rFonts w:cs="TimesNewRomanPSMT"/>
          <w:szCs w:val="20"/>
          <w:lang w:val="sl-SI" w:eastAsia="en-GB"/>
        </w:rPr>
        <w:t xml:space="preserve">abela </w:t>
      </w:r>
      <w:r w:rsidR="00C82D8E" w:rsidRPr="00275FBD">
        <w:rPr>
          <w:rFonts w:cs="TimesNewRomanPSMT"/>
          <w:szCs w:val="20"/>
          <w:lang w:val="sl-SI" w:eastAsia="en-GB"/>
        </w:rPr>
        <w:t xml:space="preserve">A-1, </w:t>
      </w:r>
      <w:r w:rsidR="00F857B7" w:rsidRPr="00275FBD">
        <w:rPr>
          <w:rFonts w:cs="TimesNewRomanPSMT"/>
          <w:szCs w:val="20"/>
          <w:lang w:val="sl-SI" w:eastAsia="en-GB"/>
        </w:rPr>
        <w:t xml:space="preserve">najdbe </w:t>
      </w:r>
      <w:r w:rsidR="002D2C2E">
        <w:rPr>
          <w:rFonts w:cs="TimesNewRomanPSMT"/>
          <w:szCs w:val="20"/>
          <w:lang w:val="sl-SI" w:eastAsia="en-GB"/>
        </w:rPr>
        <w:t xml:space="preserve">kategorije </w:t>
      </w:r>
      <w:r w:rsidR="00C82D8E" w:rsidRPr="00275FBD">
        <w:rPr>
          <w:rFonts w:cs="TimesNewRomanPSMT"/>
          <w:szCs w:val="20"/>
          <w:lang w:val="sl-SI" w:eastAsia="en-GB"/>
        </w:rPr>
        <w:t>»RE«). Vpisan</w:t>
      </w:r>
      <w:r w:rsidR="00FD4D06">
        <w:rPr>
          <w:rFonts w:cs="TimesNewRomanPSMT"/>
          <w:szCs w:val="20"/>
          <w:lang w:val="sl-SI" w:eastAsia="en-GB"/>
        </w:rPr>
        <w:t>e</w:t>
      </w:r>
      <w:r w:rsidR="00C82D8E" w:rsidRPr="00275FBD">
        <w:rPr>
          <w:rFonts w:cs="TimesNewRomanPSMT"/>
          <w:szCs w:val="20"/>
          <w:lang w:val="sl-SI" w:eastAsia="en-GB"/>
        </w:rPr>
        <w:t xml:space="preserve"> bodo v NEK </w:t>
      </w:r>
      <w:r w:rsidR="00080F69" w:rsidRPr="00275FBD">
        <w:rPr>
          <w:rFonts w:cs="TimesNewRomanPSMT"/>
          <w:szCs w:val="20"/>
          <w:lang w:val="sl-SI" w:eastAsia="en-GB"/>
        </w:rPr>
        <w:t xml:space="preserve">CAP </w:t>
      </w:r>
      <w:r w:rsidR="00C82D8E" w:rsidRPr="00275FBD">
        <w:rPr>
          <w:rFonts w:cs="TimesNewRomanPSMT"/>
          <w:szCs w:val="20"/>
          <w:lang w:val="sl-SI" w:eastAsia="en-GB"/>
        </w:rPr>
        <w:t xml:space="preserve">in spremljano </w:t>
      </w:r>
      <w:r w:rsidR="00237606" w:rsidRPr="00275FBD">
        <w:rPr>
          <w:rFonts w:cs="TimesNewRomanPSMT"/>
          <w:szCs w:val="20"/>
          <w:lang w:val="sl-SI" w:eastAsia="en-GB"/>
        </w:rPr>
        <w:t xml:space="preserve">bo </w:t>
      </w:r>
      <w:r w:rsidR="00C82D8E" w:rsidRPr="00275FBD">
        <w:rPr>
          <w:rFonts w:cs="TimesNewRomanPSMT"/>
          <w:szCs w:val="20"/>
          <w:lang w:val="sl-SI" w:eastAsia="en-GB"/>
        </w:rPr>
        <w:t>njihovo pravočasno reševanje.</w:t>
      </w:r>
    </w:p>
    <w:p w14:paraId="3745D810" w14:textId="2DEB5DE3" w:rsidR="00C82D8E" w:rsidRPr="00237606" w:rsidRDefault="00B20813" w:rsidP="00C82D8E">
      <w:pPr>
        <w:pStyle w:val="Odstavekseznama"/>
        <w:numPr>
          <w:ilvl w:val="0"/>
          <w:numId w:val="49"/>
        </w:numPr>
        <w:ind w:left="714" w:hanging="357"/>
        <w:contextualSpacing w:val="0"/>
        <w:rPr>
          <w:rFonts w:cs="TimesNewRomanPSMT"/>
          <w:szCs w:val="20"/>
          <w:lang w:val="sl-SI" w:eastAsia="en-GB"/>
        </w:rPr>
      </w:pPr>
      <w:r w:rsidRPr="00237606">
        <w:rPr>
          <w:rFonts w:cs="TimesNewRomanPSMT"/>
          <w:szCs w:val="20"/>
          <w:lang w:val="sl-SI" w:eastAsia="en-GB"/>
        </w:rPr>
        <w:t>S</w:t>
      </w:r>
      <w:r w:rsidR="00C82D8E" w:rsidRPr="00237606">
        <w:rPr>
          <w:rFonts w:cs="TimesNewRomanPSMT"/>
          <w:szCs w:val="20"/>
          <w:lang w:val="sl-SI" w:eastAsia="en-GB"/>
        </w:rPr>
        <w:t xml:space="preserve">kupno 16 </w:t>
      </w:r>
      <w:r w:rsidR="00BD5705" w:rsidRPr="00237606">
        <w:rPr>
          <w:rFonts w:cs="TimesNewRomanPSMT"/>
          <w:szCs w:val="20"/>
          <w:lang w:val="sl-SI" w:eastAsia="en-GB"/>
        </w:rPr>
        <w:t>najdb,</w:t>
      </w:r>
      <w:r w:rsidR="00C82D8E" w:rsidRPr="00237606">
        <w:rPr>
          <w:rFonts w:cs="TimesNewRomanPSMT"/>
          <w:szCs w:val="20"/>
          <w:lang w:val="sl-SI" w:eastAsia="en-GB"/>
        </w:rPr>
        <w:t xml:space="preserve"> ki se nanašajo na </w:t>
      </w:r>
      <w:r w:rsidR="00462A7B" w:rsidRPr="00237606">
        <w:rPr>
          <w:rFonts w:cs="TimesNewRomanPSMT"/>
          <w:szCs w:val="20"/>
          <w:lang w:val="sl-SI" w:eastAsia="en-GB"/>
        </w:rPr>
        <w:t xml:space="preserve">pomanjkljivosti </w:t>
      </w:r>
      <w:r w:rsidR="00C82D8E" w:rsidRPr="00237606">
        <w:rPr>
          <w:rFonts w:cs="TimesNewRomanPSMT"/>
          <w:szCs w:val="20"/>
          <w:lang w:val="sl-SI" w:eastAsia="en-GB"/>
        </w:rPr>
        <w:t>v zagotavljanju obratovalne varnosti, ki jih je treba pravočasno rešiti, je vključenih v IAP (</w:t>
      </w:r>
      <w:r w:rsidR="00EC320D" w:rsidRPr="00237606">
        <w:rPr>
          <w:rFonts w:cs="TimesNewRomanPSMT"/>
          <w:szCs w:val="20"/>
          <w:lang w:val="sl-SI" w:eastAsia="en-GB"/>
        </w:rPr>
        <w:t>Dodatek 1</w:t>
      </w:r>
      <w:r w:rsidR="00C82D8E" w:rsidRPr="00237606">
        <w:rPr>
          <w:rFonts w:cs="TimesNewRomanPSMT"/>
          <w:szCs w:val="20"/>
          <w:lang w:val="sl-SI" w:eastAsia="en-GB"/>
        </w:rPr>
        <w:t xml:space="preserve">, </w:t>
      </w:r>
      <w:r w:rsidR="0014523E" w:rsidRPr="00237606">
        <w:rPr>
          <w:rFonts w:cs="TimesNewRomanPSMT"/>
          <w:szCs w:val="20"/>
          <w:lang w:val="sl-SI" w:eastAsia="en-GB"/>
        </w:rPr>
        <w:t xml:space="preserve">Tabela </w:t>
      </w:r>
      <w:r w:rsidR="00C82D8E" w:rsidRPr="00237606">
        <w:rPr>
          <w:rFonts w:cs="TimesNewRomanPSMT"/>
          <w:szCs w:val="20"/>
          <w:lang w:val="sl-SI" w:eastAsia="en-GB"/>
        </w:rPr>
        <w:t xml:space="preserve">A-1, </w:t>
      </w:r>
      <w:r w:rsidR="002D2C2E" w:rsidRPr="00237606">
        <w:rPr>
          <w:rFonts w:cs="TimesNewRomanPSMT"/>
          <w:szCs w:val="20"/>
          <w:lang w:val="sl-SI" w:eastAsia="en-GB"/>
        </w:rPr>
        <w:t xml:space="preserve">najdbe kategorije </w:t>
      </w:r>
      <w:r w:rsidR="00C82D8E" w:rsidRPr="00237606">
        <w:rPr>
          <w:rFonts w:cs="TimesNewRomanPSMT"/>
          <w:szCs w:val="20"/>
          <w:lang w:val="sl-SI" w:eastAsia="en-GB"/>
        </w:rPr>
        <w:t>»SF«). Vpisan</w:t>
      </w:r>
      <w:r w:rsidR="00FD4D06" w:rsidRPr="00237606">
        <w:rPr>
          <w:rFonts w:cs="TimesNewRomanPSMT"/>
          <w:szCs w:val="20"/>
          <w:lang w:val="sl-SI" w:eastAsia="en-GB"/>
        </w:rPr>
        <w:t>e</w:t>
      </w:r>
      <w:r w:rsidR="00C82D8E" w:rsidRPr="00237606">
        <w:rPr>
          <w:rFonts w:cs="TimesNewRomanPSMT"/>
          <w:szCs w:val="20"/>
          <w:lang w:val="sl-SI" w:eastAsia="en-GB"/>
        </w:rPr>
        <w:t xml:space="preserve"> bodo v NEK </w:t>
      </w:r>
      <w:r w:rsidR="00EC320D" w:rsidRPr="00237606">
        <w:rPr>
          <w:rFonts w:cs="TimesNewRomanPSMT"/>
          <w:szCs w:val="20"/>
          <w:lang w:val="sl-SI" w:eastAsia="en-GB"/>
        </w:rPr>
        <w:t xml:space="preserve">CAP </w:t>
      </w:r>
      <w:r w:rsidR="00C82D8E" w:rsidRPr="00237606">
        <w:rPr>
          <w:rFonts w:cs="TimesNewRomanPSMT"/>
          <w:szCs w:val="20"/>
          <w:lang w:val="sl-SI" w:eastAsia="en-GB"/>
        </w:rPr>
        <w:t xml:space="preserve">in spremljano </w:t>
      </w:r>
      <w:r w:rsidR="00237606" w:rsidRPr="00237606">
        <w:rPr>
          <w:rFonts w:cs="TimesNewRomanPSMT"/>
          <w:szCs w:val="20"/>
          <w:lang w:val="sl-SI" w:eastAsia="en-GB"/>
        </w:rPr>
        <w:t xml:space="preserve">bo </w:t>
      </w:r>
      <w:r w:rsidR="00C82D8E" w:rsidRPr="00237606">
        <w:rPr>
          <w:rFonts w:cs="TimesNewRomanPSMT"/>
          <w:szCs w:val="20"/>
          <w:lang w:val="sl-SI" w:eastAsia="en-GB"/>
        </w:rPr>
        <w:t>njihovo pravočasno reševanje.</w:t>
      </w:r>
    </w:p>
    <w:p w14:paraId="0D7EA2D3" w14:textId="3077C115" w:rsidR="00C82D8E" w:rsidRPr="00275FBD" w:rsidRDefault="00C82D8E" w:rsidP="00C82D8E">
      <w:pPr>
        <w:pStyle w:val="Odstavekseznama"/>
        <w:numPr>
          <w:ilvl w:val="0"/>
          <w:numId w:val="49"/>
        </w:numPr>
        <w:ind w:left="714" w:hanging="357"/>
        <w:contextualSpacing w:val="0"/>
        <w:rPr>
          <w:rFonts w:cs="TimesNewRomanPSMT"/>
          <w:szCs w:val="20"/>
          <w:lang w:val="sl-SI" w:eastAsia="en-GB"/>
        </w:rPr>
      </w:pPr>
      <w:r w:rsidRPr="00275FBD">
        <w:rPr>
          <w:rFonts w:cs="TimesNewRomanPSMT"/>
          <w:szCs w:val="20"/>
          <w:lang w:val="sl-SI" w:eastAsia="en-GB"/>
        </w:rPr>
        <w:t xml:space="preserve">Vseh 15 </w:t>
      </w:r>
      <w:r w:rsidR="00BD5705" w:rsidRPr="00275FBD">
        <w:rPr>
          <w:rFonts w:cs="TimesNewRomanPSMT"/>
          <w:szCs w:val="20"/>
          <w:lang w:val="sl-SI" w:eastAsia="en-GB"/>
        </w:rPr>
        <w:t>najdb,</w:t>
      </w:r>
      <w:r w:rsidRPr="00275FBD">
        <w:rPr>
          <w:rFonts w:cs="TimesNewRomanPSMT"/>
          <w:szCs w:val="20"/>
          <w:lang w:val="sl-SI" w:eastAsia="en-GB"/>
        </w:rPr>
        <w:t xml:space="preserve"> </w:t>
      </w:r>
      <w:r w:rsidR="00B20813">
        <w:rPr>
          <w:rFonts w:cs="TimesNewRomanPSMT"/>
          <w:szCs w:val="20"/>
          <w:lang w:val="sl-SI" w:eastAsia="en-GB"/>
        </w:rPr>
        <w:t>določ</w:t>
      </w:r>
      <w:r w:rsidR="00B20813" w:rsidRPr="00275FBD">
        <w:rPr>
          <w:rFonts w:cs="TimesNewRomanPSMT"/>
          <w:szCs w:val="20"/>
          <w:lang w:val="sl-SI" w:eastAsia="en-GB"/>
        </w:rPr>
        <w:t xml:space="preserve">enih </w:t>
      </w:r>
      <w:r w:rsidRPr="00275FBD">
        <w:rPr>
          <w:rFonts w:cs="TimesNewRomanPSMT"/>
          <w:szCs w:val="20"/>
          <w:lang w:val="sl-SI" w:eastAsia="en-GB"/>
        </w:rPr>
        <w:t>za neposredni vnos v IAP na podlagi dogovora med NEK in URSJV, je vključenih v IAP (</w:t>
      </w:r>
      <w:r w:rsidR="00EC320D" w:rsidRPr="00275FBD">
        <w:rPr>
          <w:rFonts w:cs="TimesNewRomanPSMT"/>
          <w:szCs w:val="20"/>
          <w:lang w:val="sl-SI" w:eastAsia="en-GB"/>
        </w:rPr>
        <w:t>Dodatek 1</w:t>
      </w:r>
      <w:r w:rsidRPr="00275FBD">
        <w:rPr>
          <w:rFonts w:cs="TimesNewRomanPSMT"/>
          <w:szCs w:val="20"/>
          <w:lang w:val="sl-SI" w:eastAsia="en-GB"/>
        </w:rPr>
        <w:t xml:space="preserve">, </w:t>
      </w:r>
      <w:r w:rsidR="0014523E">
        <w:rPr>
          <w:rFonts w:cs="TimesNewRomanPSMT"/>
          <w:szCs w:val="20"/>
          <w:lang w:val="sl-SI" w:eastAsia="en-GB"/>
        </w:rPr>
        <w:t>T</w:t>
      </w:r>
      <w:r w:rsidR="0014523E" w:rsidRPr="00275FBD">
        <w:rPr>
          <w:rFonts w:cs="TimesNewRomanPSMT"/>
          <w:szCs w:val="20"/>
          <w:lang w:val="sl-SI" w:eastAsia="en-GB"/>
        </w:rPr>
        <w:t xml:space="preserve">abela </w:t>
      </w:r>
      <w:r w:rsidRPr="00275FBD">
        <w:rPr>
          <w:rFonts w:cs="TimesNewRomanPSMT"/>
          <w:szCs w:val="20"/>
          <w:lang w:val="sl-SI" w:eastAsia="en-GB"/>
        </w:rPr>
        <w:t>A-2). Vpisan</w:t>
      </w:r>
      <w:r w:rsidR="00FD4D06">
        <w:rPr>
          <w:rFonts w:cs="TimesNewRomanPSMT"/>
          <w:szCs w:val="20"/>
          <w:lang w:val="sl-SI" w:eastAsia="en-GB"/>
        </w:rPr>
        <w:t>e</w:t>
      </w:r>
      <w:r w:rsidRPr="00275FBD">
        <w:rPr>
          <w:rFonts w:cs="TimesNewRomanPSMT"/>
          <w:szCs w:val="20"/>
          <w:lang w:val="sl-SI" w:eastAsia="en-GB"/>
        </w:rPr>
        <w:t xml:space="preserve"> bodo v NEK </w:t>
      </w:r>
      <w:r w:rsidR="00EC320D" w:rsidRPr="00275FBD">
        <w:rPr>
          <w:rFonts w:cs="TimesNewRomanPSMT"/>
          <w:szCs w:val="20"/>
          <w:lang w:val="sl-SI" w:eastAsia="en-GB"/>
        </w:rPr>
        <w:t xml:space="preserve">CAP </w:t>
      </w:r>
      <w:r w:rsidRPr="00275FBD">
        <w:rPr>
          <w:rFonts w:cs="TimesNewRomanPSMT"/>
          <w:szCs w:val="20"/>
          <w:lang w:val="sl-SI" w:eastAsia="en-GB"/>
        </w:rPr>
        <w:t xml:space="preserve">in spremljano </w:t>
      </w:r>
      <w:r w:rsidR="00237606" w:rsidRPr="00275FBD">
        <w:rPr>
          <w:rFonts w:cs="TimesNewRomanPSMT"/>
          <w:szCs w:val="20"/>
          <w:lang w:val="sl-SI" w:eastAsia="en-GB"/>
        </w:rPr>
        <w:t xml:space="preserve">bo </w:t>
      </w:r>
      <w:r w:rsidRPr="00275FBD">
        <w:rPr>
          <w:rFonts w:cs="TimesNewRomanPSMT"/>
          <w:szCs w:val="20"/>
          <w:lang w:val="sl-SI" w:eastAsia="en-GB"/>
        </w:rPr>
        <w:t>njihovo pravočasno reševanje.</w:t>
      </w:r>
    </w:p>
    <w:p w14:paraId="4E39374B" w14:textId="565FBB77" w:rsidR="00C82D8E" w:rsidRPr="00275FBD" w:rsidRDefault="00C82D8E" w:rsidP="00C82D8E">
      <w:pPr>
        <w:pStyle w:val="Odstavekseznama"/>
        <w:numPr>
          <w:ilvl w:val="0"/>
          <w:numId w:val="49"/>
        </w:numPr>
        <w:ind w:left="714" w:hanging="357"/>
        <w:contextualSpacing w:val="0"/>
        <w:rPr>
          <w:rFonts w:cs="TimesNewRomanPSMT"/>
          <w:szCs w:val="20"/>
          <w:lang w:val="sl-SI" w:eastAsia="en-GB"/>
        </w:rPr>
      </w:pPr>
      <w:r w:rsidRPr="00A7693C">
        <w:rPr>
          <w:rFonts w:cs="TimesNewRomanPSMT"/>
          <w:szCs w:val="20"/>
          <w:lang w:val="sl-SI" w:eastAsia="en-GB"/>
        </w:rPr>
        <w:t>Vs</w:t>
      </w:r>
      <w:r w:rsidR="00F857B7" w:rsidRPr="00A7693C">
        <w:rPr>
          <w:rFonts w:cs="TimesNewRomanPSMT"/>
          <w:szCs w:val="20"/>
          <w:lang w:val="sl-SI" w:eastAsia="en-GB"/>
        </w:rPr>
        <w:t>e</w:t>
      </w:r>
      <w:r w:rsidRPr="00A7693C">
        <w:rPr>
          <w:rFonts w:cs="TimesNewRomanPSMT"/>
          <w:szCs w:val="20"/>
          <w:lang w:val="sl-SI" w:eastAsia="en-GB"/>
        </w:rPr>
        <w:t xml:space="preserve"> </w:t>
      </w:r>
      <w:r w:rsidR="00F857B7" w:rsidRPr="00A7693C">
        <w:rPr>
          <w:rFonts w:cs="TimesNewRomanPSMT"/>
          <w:szCs w:val="20"/>
          <w:lang w:val="sl-SI" w:eastAsia="en-GB"/>
        </w:rPr>
        <w:t>najdbe</w:t>
      </w:r>
      <w:r w:rsidR="007158D5">
        <w:rPr>
          <w:rFonts w:cs="TimesNewRomanPSMT"/>
          <w:szCs w:val="20"/>
          <w:lang w:val="sl-SI" w:eastAsia="en-GB"/>
        </w:rPr>
        <w:t>,</w:t>
      </w:r>
      <w:r w:rsidR="00F857B7" w:rsidRPr="00A7693C">
        <w:rPr>
          <w:rFonts w:cs="TimesNewRomanPSMT"/>
          <w:szCs w:val="20"/>
          <w:lang w:val="sl-SI" w:eastAsia="en-GB"/>
        </w:rPr>
        <w:t xml:space="preserve"> </w:t>
      </w:r>
      <w:r w:rsidR="00A7693C" w:rsidRPr="00A7693C">
        <w:rPr>
          <w:rFonts w:cs="TimesNewRomanPSMT"/>
          <w:szCs w:val="20"/>
          <w:lang w:val="sl-SI" w:eastAsia="en-GB"/>
        </w:rPr>
        <w:t xml:space="preserve">izvedljive </w:t>
      </w:r>
      <w:r w:rsidRPr="00A7693C">
        <w:rPr>
          <w:rFonts w:cs="TimesNewRomanPSMT"/>
          <w:szCs w:val="20"/>
          <w:lang w:val="sl-SI" w:eastAsia="en-GB"/>
        </w:rPr>
        <w:t xml:space="preserve">z </w:t>
      </w:r>
      <w:r w:rsidR="00A7693C" w:rsidRPr="00A7693C">
        <w:rPr>
          <w:rFonts w:cs="TimesNewRomanPSMT"/>
          <w:szCs w:val="20"/>
          <w:lang w:val="sl-SI" w:eastAsia="en-GB"/>
        </w:rPr>
        <w:t xml:space="preserve">majhnim </w:t>
      </w:r>
      <w:r w:rsidRPr="00A7693C">
        <w:rPr>
          <w:rFonts w:cs="TimesNewRomanPSMT"/>
          <w:szCs w:val="20"/>
          <w:lang w:val="sl-SI" w:eastAsia="en-GB"/>
        </w:rPr>
        <w:t>naporom</w:t>
      </w:r>
      <w:r w:rsidR="007158D5">
        <w:rPr>
          <w:rFonts w:cs="TimesNewRomanPSMT"/>
          <w:szCs w:val="20"/>
          <w:lang w:val="sl-SI" w:eastAsia="en-GB"/>
        </w:rPr>
        <w:t>,</w:t>
      </w:r>
      <w:r w:rsidRPr="00A7693C">
        <w:rPr>
          <w:rFonts w:cs="TimesNewRomanPSMT"/>
          <w:szCs w:val="20"/>
          <w:lang w:val="sl-SI" w:eastAsia="en-GB"/>
        </w:rPr>
        <w:t xml:space="preserve"> so vključen</w:t>
      </w:r>
      <w:r w:rsidR="00FD4D06" w:rsidRPr="00A7693C">
        <w:rPr>
          <w:rFonts w:cs="TimesNewRomanPSMT"/>
          <w:szCs w:val="20"/>
          <w:lang w:val="sl-SI" w:eastAsia="en-GB"/>
        </w:rPr>
        <w:t>e</w:t>
      </w:r>
      <w:r w:rsidRPr="00A7693C">
        <w:rPr>
          <w:rFonts w:cs="TimesNewRomanPSMT"/>
          <w:szCs w:val="20"/>
          <w:lang w:val="sl-SI" w:eastAsia="en-GB"/>
        </w:rPr>
        <w:t xml:space="preserve"> v IAP (</w:t>
      </w:r>
      <w:r w:rsidR="00EC320D" w:rsidRPr="00A7693C">
        <w:rPr>
          <w:rFonts w:cs="TimesNewRomanPSMT"/>
          <w:szCs w:val="20"/>
          <w:lang w:val="sl-SI" w:eastAsia="en-GB"/>
        </w:rPr>
        <w:t>Dodatek 1</w:t>
      </w:r>
      <w:r w:rsidRPr="00A7693C">
        <w:rPr>
          <w:rFonts w:cs="TimesNewRomanPSMT"/>
          <w:szCs w:val="20"/>
          <w:lang w:val="sl-SI" w:eastAsia="en-GB"/>
        </w:rPr>
        <w:t xml:space="preserve">, </w:t>
      </w:r>
      <w:r w:rsidR="0014523E" w:rsidRPr="00A7693C">
        <w:rPr>
          <w:rFonts w:cs="TimesNewRomanPSMT"/>
          <w:szCs w:val="20"/>
          <w:lang w:val="sl-SI" w:eastAsia="en-GB"/>
        </w:rPr>
        <w:t>T</w:t>
      </w:r>
      <w:r w:rsidRPr="00A7693C">
        <w:rPr>
          <w:rFonts w:cs="TimesNewRomanPSMT"/>
          <w:szCs w:val="20"/>
          <w:lang w:val="sl-SI" w:eastAsia="en-GB"/>
        </w:rPr>
        <w:t>abela A-</w:t>
      </w:r>
      <w:r w:rsidRPr="00275FBD">
        <w:rPr>
          <w:rFonts w:cs="TimesNewRomanPSMT"/>
          <w:szCs w:val="20"/>
          <w:lang w:val="sl-SI" w:eastAsia="en-GB"/>
        </w:rPr>
        <w:t>3). Vpisan</w:t>
      </w:r>
      <w:r w:rsidR="00FD4D06">
        <w:rPr>
          <w:rFonts w:cs="TimesNewRomanPSMT"/>
          <w:szCs w:val="20"/>
          <w:lang w:val="sl-SI" w:eastAsia="en-GB"/>
        </w:rPr>
        <w:t>e</w:t>
      </w:r>
      <w:r w:rsidRPr="00275FBD">
        <w:rPr>
          <w:rFonts w:cs="TimesNewRomanPSMT"/>
          <w:szCs w:val="20"/>
          <w:lang w:val="sl-SI" w:eastAsia="en-GB"/>
        </w:rPr>
        <w:t xml:space="preserve"> bodo v NEK </w:t>
      </w:r>
      <w:r w:rsidR="00EC320D" w:rsidRPr="00275FBD">
        <w:rPr>
          <w:rFonts w:cs="TimesNewRomanPSMT"/>
          <w:szCs w:val="20"/>
          <w:lang w:val="sl-SI" w:eastAsia="en-GB"/>
        </w:rPr>
        <w:t xml:space="preserve">CAP </w:t>
      </w:r>
      <w:r w:rsidRPr="00275FBD">
        <w:rPr>
          <w:rFonts w:cs="TimesNewRomanPSMT"/>
          <w:szCs w:val="20"/>
          <w:lang w:val="sl-SI" w:eastAsia="en-GB"/>
        </w:rPr>
        <w:t xml:space="preserve">in </w:t>
      </w:r>
      <w:r w:rsidR="000C4C8B" w:rsidRPr="00275FBD">
        <w:rPr>
          <w:rFonts w:cs="TimesNewRomanPSMT"/>
          <w:szCs w:val="20"/>
          <w:lang w:val="sl-SI" w:eastAsia="en-GB"/>
        </w:rPr>
        <w:t xml:space="preserve">spremljano </w:t>
      </w:r>
      <w:r w:rsidR="00A7693C" w:rsidRPr="00275FBD">
        <w:rPr>
          <w:rFonts w:cs="TimesNewRomanPSMT"/>
          <w:szCs w:val="20"/>
          <w:lang w:val="sl-SI" w:eastAsia="en-GB"/>
        </w:rPr>
        <w:t xml:space="preserve">bo </w:t>
      </w:r>
      <w:r w:rsidRPr="00275FBD">
        <w:rPr>
          <w:rFonts w:cs="TimesNewRomanPSMT"/>
          <w:szCs w:val="20"/>
          <w:lang w:val="sl-SI" w:eastAsia="en-GB"/>
        </w:rPr>
        <w:t>njihovo pravočasno reševanje.</w:t>
      </w:r>
      <w:r w:rsidR="000C4C8B">
        <w:rPr>
          <w:rFonts w:cs="TimesNewRomanPSMT"/>
          <w:szCs w:val="20"/>
          <w:lang w:val="sl-SI" w:eastAsia="en-GB"/>
        </w:rPr>
        <w:t xml:space="preserve"> </w:t>
      </w:r>
    </w:p>
    <w:p w14:paraId="040B0C65" w14:textId="6F376F8B" w:rsidR="00C82D8E" w:rsidRPr="00275FBD" w:rsidRDefault="00C82D8E" w:rsidP="00C82D8E">
      <w:pPr>
        <w:pStyle w:val="Odstavekseznama"/>
        <w:numPr>
          <w:ilvl w:val="0"/>
          <w:numId w:val="49"/>
        </w:numPr>
        <w:ind w:left="714" w:hanging="357"/>
        <w:contextualSpacing w:val="0"/>
        <w:rPr>
          <w:rFonts w:cs="TimesNewRomanPSMT"/>
          <w:szCs w:val="20"/>
          <w:lang w:val="sl-SI" w:eastAsia="en-GB"/>
        </w:rPr>
      </w:pPr>
      <w:r w:rsidRPr="00275FBD">
        <w:rPr>
          <w:rFonts w:cs="TimesNewRomanPSMT"/>
          <w:szCs w:val="20"/>
          <w:lang w:val="sl-SI" w:eastAsia="en-GB"/>
        </w:rPr>
        <w:t>Za preostal</w:t>
      </w:r>
      <w:r w:rsidR="00F857B7" w:rsidRPr="00275FBD">
        <w:rPr>
          <w:rFonts w:cs="TimesNewRomanPSMT"/>
          <w:szCs w:val="20"/>
          <w:lang w:val="sl-SI" w:eastAsia="en-GB"/>
        </w:rPr>
        <w:t>e</w:t>
      </w:r>
      <w:r w:rsidRPr="00275FBD">
        <w:rPr>
          <w:rFonts w:cs="TimesNewRomanPSMT"/>
          <w:szCs w:val="20"/>
          <w:lang w:val="sl-SI" w:eastAsia="en-GB"/>
        </w:rPr>
        <w:t xml:space="preserve"> </w:t>
      </w:r>
      <w:r w:rsidR="00F857B7" w:rsidRPr="00275FBD">
        <w:rPr>
          <w:rFonts w:cs="TimesNewRomanPSMT"/>
          <w:szCs w:val="20"/>
          <w:lang w:val="sl-SI" w:eastAsia="en-GB"/>
        </w:rPr>
        <w:t xml:space="preserve">najdbe </w:t>
      </w:r>
      <w:r w:rsidRPr="00275FBD">
        <w:rPr>
          <w:rFonts w:cs="TimesNewRomanPSMT"/>
          <w:szCs w:val="20"/>
          <w:lang w:val="sl-SI" w:eastAsia="en-GB"/>
        </w:rPr>
        <w:t>velja, da nimajo pomembnega vpliva (</w:t>
      </w:r>
      <w:r w:rsidR="00EC320D" w:rsidRPr="00275FBD">
        <w:rPr>
          <w:rFonts w:cs="TimesNewRomanPSMT"/>
          <w:szCs w:val="20"/>
          <w:lang w:val="sl-SI" w:eastAsia="en-GB"/>
        </w:rPr>
        <w:t>rang</w:t>
      </w:r>
      <w:r w:rsidRPr="00275FBD">
        <w:rPr>
          <w:rFonts w:cs="TimesNewRomanPSMT"/>
          <w:szCs w:val="20"/>
          <w:lang w:val="sl-SI" w:eastAsia="en-GB"/>
        </w:rPr>
        <w:t xml:space="preserve"> &lt; 4) na skladnost s sodobnimi standardi. Kljub temu </w:t>
      </w:r>
      <w:r w:rsidR="00EC320D" w:rsidRPr="00275FBD">
        <w:rPr>
          <w:rFonts w:cs="TimesNewRomanPSMT"/>
          <w:szCs w:val="20"/>
          <w:lang w:val="sl-SI" w:eastAsia="en-GB"/>
        </w:rPr>
        <w:t>so številn</w:t>
      </w:r>
      <w:r w:rsidR="007158D5">
        <w:rPr>
          <w:rFonts w:cs="TimesNewRomanPSMT"/>
          <w:szCs w:val="20"/>
          <w:lang w:val="sl-SI" w:eastAsia="en-GB"/>
        </w:rPr>
        <w:t>e</w:t>
      </w:r>
      <w:r w:rsidRPr="00275FBD">
        <w:rPr>
          <w:rFonts w:cs="TimesNewRomanPSMT"/>
          <w:szCs w:val="20"/>
          <w:lang w:val="sl-SI" w:eastAsia="en-GB"/>
        </w:rPr>
        <w:t xml:space="preserve"> med nji</w:t>
      </w:r>
      <w:r w:rsidR="00EC320D" w:rsidRPr="00275FBD">
        <w:rPr>
          <w:rFonts w:cs="TimesNewRomanPSMT"/>
          <w:szCs w:val="20"/>
          <w:lang w:val="sl-SI" w:eastAsia="en-GB"/>
        </w:rPr>
        <w:t>mi</w:t>
      </w:r>
      <w:r w:rsidRPr="00275FBD">
        <w:rPr>
          <w:rFonts w:cs="TimesNewRomanPSMT"/>
          <w:szCs w:val="20"/>
          <w:lang w:val="sl-SI" w:eastAsia="en-GB"/>
        </w:rPr>
        <w:t xml:space="preserve"> vključen</w:t>
      </w:r>
      <w:r w:rsidR="007158D5">
        <w:rPr>
          <w:rFonts w:cs="TimesNewRomanPSMT"/>
          <w:szCs w:val="20"/>
          <w:lang w:val="sl-SI" w:eastAsia="en-GB"/>
        </w:rPr>
        <w:t>e</w:t>
      </w:r>
      <w:r w:rsidRPr="00275FBD">
        <w:rPr>
          <w:rFonts w:cs="TimesNewRomanPSMT"/>
          <w:szCs w:val="20"/>
          <w:lang w:val="sl-SI" w:eastAsia="en-GB"/>
        </w:rPr>
        <w:t xml:space="preserve"> v IAP na podlagi argumentov izvedljivosti</w:t>
      </w:r>
      <w:r w:rsidR="00EC320D" w:rsidRPr="00275FBD">
        <w:rPr>
          <w:rFonts w:cs="TimesNewRomanPSMT"/>
          <w:szCs w:val="20"/>
          <w:lang w:val="sl-SI" w:eastAsia="en-GB"/>
        </w:rPr>
        <w:t xml:space="preserve"> oziroma praktičnosti</w:t>
      </w:r>
      <w:r w:rsidRPr="00275FBD">
        <w:rPr>
          <w:rFonts w:cs="TimesNewRomanPSMT"/>
          <w:szCs w:val="20"/>
          <w:lang w:val="sl-SI" w:eastAsia="en-GB"/>
        </w:rPr>
        <w:t xml:space="preserve">. Konkretno: 51 jih je vključenih v IAP </w:t>
      </w:r>
      <w:r w:rsidRPr="000C4C8B">
        <w:rPr>
          <w:rFonts w:cs="TimesNewRomanPSMT"/>
          <w:szCs w:val="20"/>
          <w:lang w:val="sl-SI" w:eastAsia="en-GB"/>
        </w:rPr>
        <w:t xml:space="preserve">/ CAP na podlagi </w:t>
      </w:r>
      <w:r w:rsidR="000C4C8B" w:rsidRPr="000C4C8B">
        <w:rPr>
          <w:rFonts w:cs="TimesNewRomanPSMT"/>
          <w:szCs w:val="20"/>
          <w:lang w:val="sl-SI" w:eastAsia="en-GB"/>
        </w:rPr>
        <w:t xml:space="preserve">zahteve </w:t>
      </w:r>
      <w:r w:rsidRPr="000C4C8B">
        <w:rPr>
          <w:rFonts w:cs="TimesNewRomanPSMT"/>
          <w:szCs w:val="20"/>
          <w:lang w:val="sl-SI" w:eastAsia="en-GB"/>
        </w:rPr>
        <w:t>URSJV (</w:t>
      </w:r>
      <w:r w:rsidR="00EC320D" w:rsidRPr="000C4C8B">
        <w:rPr>
          <w:rFonts w:cs="TimesNewRomanPSMT"/>
          <w:szCs w:val="20"/>
          <w:lang w:val="sl-SI" w:eastAsia="en-GB"/>
        </w:rPr>
        <w:t>Dodatek 1</w:t>
      </w:r>
      <w:r w:rsidRPr="000C4C8B">
        <w:rPr>
          <w:rFonts w:cs="TimesNewRomanPSMT"/>
          <w:szCs w:val="20"/>
          <w:lang w:val="sl-SI" w:eastAsia="en-GB"/>
        </w:rPr>
        <w:t xml:space="preserve">, </w:t>
      </w:r>
      <w:r w:rsidR="0014523E" w:rsidRPr="000C4C8B">
        <w:rPr>
          <w:rFonts w:cs="TimesNewRomanPSMT"/>
          <w:szCs w:val="20"/>
          <w:lang w:val="sl-SI" w:eastAsia="en-GB"/>
        </w:rPr>
        <w:t xml:space="preserve">Tabela </w:t>
      </w:r>
      <w:r w:rsidRPr="000C4C8B">
        <w:rPr>
          <w:rFonts w:cs="TimesNewRomanPSMT"/>
          <w:szCs w:val="20"/>
          <w:lang w:val="sl-SI" w:eastAsia="en-GB"/>
        </w:rPr>
        <w:t>A-4). Dodatn</w:t>
      </w:r>
      <w:r w:rsidR="00FD4D06" w:rsidRPr="000C4C8B">
        <w:rPr>
          <w:rFonts w:cs="TimesNewRomanPSMT"/>
          <w:szCs w:val="20"/>
          <w:lang w:val="sl-SI" w:eastAsia="en-GB"/>
        </w:rPr>
        <w:t>i</w:t>
      </w:r>
      <w:r w:rsidRPr="000C4C8B">
        <w:rPr>
          <w:rFonts w:cs="TimesNewRomanPSMT"/>
          <w:szCs w:val="20"/>
          <w:lang w:val="sl-SI" w:eastAsia="en-GB"/>
        </w:rPr>
        <w:t xml:space="preserve"> dv</w:t>
      </w:r>
      <w:r w:rsidR="00FD4D06" w:rsidRPr="000C4C8B">
        <w:rPr>
          <w:rFonts w:cs="TimesNewRomanPSMT"/>
          <w:szCs w:val="20"/>
          <w:lang w:val="sl-SI" w:eastAsia="en-GB"/>
        </w:rPr>
        <w:t>e</w:t>
      </w:r>
      <w:r w:rsidRPr="000C4C8B">
        <w:rPr>
          <w:rFonts w:cs="TimesNewRomanPSMT"/>
          <w:szCs w:val="20"/>
          <w:lang w:val="sl-SI" w:eastAsia="en-GB"/>
        </w:rPr>
        <w:t xml:space="preserve"> sta vključen</w:t>
      </w:r>
      <w:r w:rsidR="00FD4D06" w:rsidRPr="000C4C8B">
        <w:rPr>
          <w:rFonts w:cs="TimesNewRomanPSMT"/>
          <w:szCs w:val="20"/>
          <w:lang w:val="sl-SI" w:eastAsia="en-GB"/>
        </w:rPr>
        <w:t>i</w:t>
      </w:r>
      <w:r w:rsidRPr="00275FBD">
        <w:rPr>
          <w:rFonts w:cs="TimesNewRomanPSMT"/>
          <w:szCs w:val="20"/>
          <w:lang w:val="sl-SI" w:eastAsia="en-GB"/>
        </w:rPr>
        <w:t xml:space="preserve"> v IAP / CAP na podlagi </w:t>
      </w:r>
      <w:r w:rsidR="000C4C8B">
        <w:rPr>
          <w:rFonts w:cs="TimesNewRomanPSMT"/>
          <w:szCs w:val="20"/>
          <w:lang w:val="sl-SI" w:eastAsia="en-GB"/>
        </w:rPr>
        <w:t>priporočila</w:t>
      </w:r>
      <w:r w:rsidR="000C4C8B" w:rsidRPr="00275FBD">
        <w:rPr>
          <w:rFonts w:cs="TimesNewRomanPSMT"/>
          <w:szCs w:val="20"/>
          <w:lang w:val="sl-SI" w:eastAsia="en-GB"/>
        </w:rPr>
        <w:t xml:space="preserve"> </w:t>
      </w:r>
      <w:r w:rsidR="00EC320D" w:rsidRPr="00275FBD">
        <w:rPr>
          <w:rFonts w:cs="TimesNewRomanPSMT"/>
          <w:szCs w:val="20"/>
          <w:lang w:val="sl-SI" w:eastAsia="en-GB"/>
        </w:rPr>
        <w:t>AI</w:t>
      </w:r>
      <w:r w:rsidRPr="00275FBD">
        <w:rPr>
          <w:rFonts w:cs="TimesNewRomanPSMT"/>
          <w:szCs w:val="20"/>
          <w:lang w:val="sl-SI" w:eastAsia="en-GB"/>
        </w:rPr>
        <w:t xml:space="preserve"> (</w:t>
      </w:r>
      <w:r w:rsidR="00EC320D" w:rsidRPr="00275FBD">
        <w:rPr>
          <w:rFonts w:cs="TimesNewRomanPSMT"/>
          <w:szCs w:val="20"/>
          <w:lang w:val="sl-SI" w:eastAsia="en-GB"/>
        </w:rPr>
        <w:t>Dodatek 1</w:t>
      </w:r>
      <w:r w:rsidRPr="00275FBD">
        <w:rPr>
          <w:rFonts w:cs="TimesNewRomanPSMT"/>
          <w:szCs w:val="20"/>
          <w:lang w:val="sl-SI" w:eastAsia="en-GB"/>
        </w:rPr>
        <w:t xml:space="preserve">, </w:t>
      </w:r>
      <w:r w:rsidR="0014523E">
        <w:rPr>
          <w:rFonts w:cs="TimesNewRomanPSMT"/>
          <w:szCs w:val="20"/>
          <w:lang w:val="sl-SI" w:eastAsia="en-GB"/>
        </w:rPr>
        <w:t>T</w:t>
      </w:r>
      <w:r w:rsidR="0014523E" w:rsidRPr="00275FBD">
        <w:rPr>
          <w:rFonts w:cs="TimesNewRomanPSMT"/>
          <w:szCs w:val="20"/>
          <w:lang w:val="sl-SI" w:eastAsia="en-GB"/>
        </w:rPr>
        <w:t xml:space="preserve">abela </w:t>
      </w:r>
      <w:r w:rsidRPr="00275FBD">
        <w:rPr>
          <w:rFonts w:cs="TimesNewRomanPSMT"/>
          <w:szCs w:val="20"/>
          <w:lang w:val="sl-SI" w:eastAsia="en-GB"/>
        </w:rPr>
        <w:t xml:space="preserve">A-5). Reševanje teh dodatnih 51+2 </w:t>
      </w:r>
      <w:r w:rsidR="00BD5705" w:rsidRPr="00275FBD">
        <w:rPr>
          <w:rFonts w:cs="TimesNewRomanPSMT"/>
          <w:szCs w:val="20"/>
          <w:lang w:val="sl-SI" w:eastAsia="en-GB"/>
        </w:rPr>
        <w:t xml:space="preserve">najdb </w:t>
      </w:r>
      <w:r w:rsidRPr="00275FBD">
        <w:rPr>
          <w:rFonts w:cs="TimesNewRomanPSMT"/>
          <w:szCs w:val="20"/>
          <w:lang w:val="sl-SI" w:eastAsia="en-GB"/>
        </w:rPr>
        <w:t>se bo spremljalo na enak način kot</w:t>
      </w:r>
      <w:r w:rsidR="00BF20E6" w:rsidRPr="00275FBD">
        <w:rPr>
          <w:rFonts w:cs="TimesNewRomanPSMT"/>
          <w:szCs w:val="20"/>
          <w:lang w:val="sl-SI" w:eastAsia="en-GB"/>
        </w:rPr>
        <w:t xml:space="preserve"> za ostal</w:t>
      </w:r>
      <w:r w:rsidR="00FD4D06">
        <w:rPr>
          <w:rFonts w:cs="TimesNewRomanPSMT"/>
          <w:szCs w:val="20"/>
          <w:lang w:val="sl-SI" w:eastAsia="en-GB"/>
        </w:rPr>
        <w:t>e</w:t>
      </w:r>
      <w:r w:rsidRPr="00275FBD">
        <w:rPr>
          <w:rFonts w:cs="TimesNewRomanPSMT"/>
          <w:szCs w:val="20"/>
          <w:lang w:val="sl-SI" w:eastAsia="en-GB"/>
        </w:rPr>
        <w:t>.</w:t>
      </w:r>
    </w:p>
    <w:p w14:paraId="6ACE3500" w14:textId="1A950633" w:rsidR="00ED1A59" w:rsidRPr="00275FBD" w:rsidRDefault="003A476B" w:rsidP="00C82D8E">
      <w:pPr>
        <w:rPr>
          <w:rFonts w:cs="TimesNewRomanPSMT"/>
          <w:szCs w:val="20"/>
          <w:lang w:val="sl-SI" w:eastAsia="en-GB"/>
        </w:rPr>
      </w:pPr>
      <w:r w:rsidRPr="00275FBD">
        <w:rPr>
          <w:rFonts w:cs="TimesNewRomanPSMT"/>
          <w:szCs w:val="20"/>
          <w:lang w:val="sl-SI" w:eastAsia="en-GB"/>
        </w:rPr>
        <w:t>Najdbe</w:t>
      </w:r>
      <w:r w:rsidR="00C82D8E" w:rsidRPr="00275FBD">
        <w:rPr>
          <w:rFonts w:cs="TimesNewRomanPSMT"/>
          <w:szCs w:val="20"/>
          <w:lang w:val="sl-SI" w:eastAsia="en-GB"/>
        </w:rPr>
        <w:t>, ki niso vključen</w:t>
      </w:r>
      <w:r w:rsidR="00FD4D06">
        <w:rPr>
          <w:rFonts w:cs="TimesNewRomanPSMT"/>
          <w:szCs w:val="20"/>
          <w:lang w:val="sl-SI" w:eastAsia="en-GB"/>
        </w:rPr>
        <w:t>e</w:t>
      </w:r>
      <w:r w:rsidR="00C82D8E" w:rsidRPr="00275FBD">
        <w:rPr>
          <w:rFonts w:cs="TimesNewRomanPSMT"/>
          <w:szCs w:val="20"/>
          <w:lang w:val="sl-SI" w:eastAsia="en-GB"/>
        </w:rPr>
        <w:t xml:space="preserve"> v ta IAP, bodo ponovno obravnavan</w:t>
      </w:r>
      <w:r w:rsidRPr="00275FBD">
        <w:rPr>
          <w:rFonts w:cs="TimesNewRomanPSMT"/>
          <w:szCs w:val="20"/>
          <w:lang w:val="sl-SI" w:eastAsia="en-GB"/>
        </w:rPr>
        <w:t>e</w:t>
      </w:r>
      <w:r w:rsidR="00C82D8E" w:rsidRPr="00275FBD">
        <w:rPr>
          <w:rFonts w:cs="TimesNewRomanPSMT"/>
          <w:szCs w:val="20"/>
          <w:lang w:val="sl-SI" w:eastAsia="en-GB"/>
        </w:rPr>
        <w:t xml:space="preserve"> na naslednjem PSR.</w:t>
      </w:r>
    </w:p>
    <w:p w14:paraId="03D43CEF" w14:textId="621B985C" w:rsidR="00ED1A59" w:rsidRPr="00275FBD" w:rsidRDefault="00264932" w:rsidP="00ED1A59">
      <w:pPr>
        <w:pStyle w:val="Naslov2"/>
        <w:rPr>
          <w:lang w:val="sl-SI" w:eastAsia="en-GB"/>
        </w:rPr>
      </w:pPr>
      <w:bookmarkStart w:id="109" w:name="_Toc371786480"/>
      <w:bookmarkStart w:id="110" w:name="_Ref132729805"/>
      <w:bookmarkStart w:id="111" w:name="_Toc133264119"/>
      <w:bookmarkStart w:id="112" w:name="_Ref135842836"/>
      <w:bookmarkStart w:id="113" w:name="_Ref138335283"/>
      <w:bookmarkStart w:id="114" w:name="_Toc163197432"/>
      <w:r w:rsidRPr="00275FBD">
        <w:rPr>
          <w:lang w:val="sl-SI" w:eastAsia="en-GB"/>
        </w:rPr>
        <w:t xml:space="preserve">Zaključki glede </w:t>
      </w:r>
      <w:r w:rsidR="007C67D8">
        <w:rPr>
          <w:lang w:val="sl-SI" w:eastAsia="en-GB"/>
        </w:rPr>
        <w:t>varnosti</w:t>
      </w:r>
      <w:r w:rsidR="007C67D8" w:rsidRPr="00275FBD">
        <w:rPr>
          <w:lang w:val="sl-SI" w:eastAsia="en-GB"/>
        </w:rPr>
        <w:t xml:space="preserve"> </w:t>
      </w:r>
      <w:r w:rsidRPr="00275FBD">
        <w:rPr>
          <w:lang w:val="sl-SI" w:eastAsia="en-GB"/>
        </w:rPr>
        <w:t>elektrarne in nadaljevanja obratovanja</w:t>
      </w:r>
      <w:bookmarkEnd w:id="109"/>
      <w:bookmarkEnd w:id="110"/>
      <w:bookmarkEnd w:id="111"/>
      <w:bookmarkEnd w:id="112"/>
      <w:bookmarkEnd w:id="113"/>
      <w:bookmarkEnd w:id="114"/>
    </w:p>
    <w:p w14:paraId="109E760B" w14:textId="3B2B8A22" w:rsidR="00264932" w:rsidRPr="00275FBD" w:rsidRDefault="00671CB5" w:rsidP="00264932">
      <w:pPr>
        <w:rPr>
          <w:lang w:val="sl-SI"/>
        </w:rPr>
      </w:pPr>
      <w:r w:rsidRPr="00275FBD">
        <w:rPr>
          <w:lang w:val="sl-SI"/>
        </w:rPr>
        <w:t>Iz</w:t>
      </w:r>
      <w:r>
        <w:rPr>
          <w:lang w:val="sl-SI"/>
        </w:rPr>
        <w:t>dela</w:t>
      </w:r>
      <w:r w:rsidRPr="00275FBD">
        <w:rPr>
          <w:lang w:val="sl-SI"/>
        </w:rPr>
        <w:t xml:space="preserve">na </w:t>
      </w:r>
      <w:r w:rsidR="00264932" w:rsidRPr="00275FBD">
        <w:rPr>
          <w:lang w:val="sl-SI"/>
        </w:rPr>
        <w:t xml:space="preserve">je bila celovita ocena referenčnega ali nominalnega statusa elektrarne pri PSR3 </w:t>
      </w:r>
      <w:r>
        <w:rPr>
          <w:lang w:val="sl-SI"/>
        </w:rPr>
        <w:t>glede</w:t>
      </w:r>
      <w:r w:rsidRPr="00275FBD">
        <w:rPr>
          <w:lang w:val="sl-SI"/>
        </w:rPr>
        <w:t xml:space="preserve"> </w:t>
      </w:r>
      <w:r w:rsidR="00264932" w:rsidRPr="00275FBD">
        <w:rPr>
          <w:lang w:val="sl-SI"/>
        </w:rPr>
        <w:t xml:space="preserve">stanja obrambe </w:t>
      </w:r>
      <w:r w:rsidR="009A45D8" w:rsidRPr="00275FBD">
        <w:rPr>
          <w:lang w:val="sl-SI"/>
        </w:rPr>
        <w:t xml:space="preserve">v globino </w:t>
      </w:r>
      <w:r w:rsidR="00264932" w:rsidRPr="00275FBD">
        <w:rPr>
          <w:lang w:val="sl-SI"/>
        </w:rPr>
        <w:t xml:space="preserve">in ocene tveganja, ki ji je sledila </w:t>
      </w:r>
      <w:r w:rsidR="00FD4D06">
        <w:rPr>
          <w:lang w:val="sl-SI"/>
        </w:rPr>
        <w:t>ponovna ocena</w:t>
      </w:r>
      <w:r w:rsidR="00FD4D06" w:rsidRPr="00275FBD">
        <w:rPr>
          <w:lang w:val="sl-SI"/>
        </w:rPr>
        <w:t xml:space="preserve"> </w:t>
      </w:r>
      <w:r w:rsidR="00264932" w:rsidRPr="00275FBD">
        <w:rPr>
          <w:lang w:val="sl-SI"/>
        </w:rPr>
        <w:t>glede potencialn</w:t>
      </w:r>
      <w:r w:rsidR="000C4C8B">
        <w:rPr>
          <w:lang w:val="sl-SI"/>
        </w:rPr>
        <w:t>ega</w:t>
      </w:r>
      <w:r w:rsidR="00264932" w:rsidRPr="00275FBD">
        <w:rPr>
          <w:lang w:val="sl-SI"/>
        </w:rPr>
        <w:t xml:space="preserve"> vpliv</w:t>
      </w:r>
      <w:r w:rsidR="000C4C8B">
        <w:rPr>
          <w:lang w:val="sl-SI"/>
        </w:rPr>
        <w:t>a</w:t>
      </w:r>
      <w:r w:rsidR="00264932" w:rsidRPr="00275FBD">
        <w:rPr>
          <w:lang w:val="sl-SI"/>
        </w:rPr>
        <w:t xml:space="preserve"> </w:t>
      </w:r>
      <w:r w:rsidR="00BD5705" w:rsidRPr="00275FBD">
        <w:rPr>
          <w:lang w:val="sl-SI"/>
        </w:rPr>
        <w:t>najdb</w:t>
      </w:r>
      <w:r w:rsidR="000C4C8B">
        <w:rPr>
          <w:lang w:val="sl-SI"/>
        </w:rPr>
        <w:t xml:space="preserve"> </w:t>
      </w:r>
      <w:r w:rsidR="00264932" w:rsidRPr="00275FBD">
        <w:rPr>
          <w:lang w:val="sl-SI"/>
        </w:rPr>
        <w:t>PSR3.</w:t>
      </w:r>
    </w:p>
    <w:p w14:paraId="2A2334ED" w14:textId="74678212" w:rsidR="00264932" w:rsidRPr="00275FBD" w:rsidRDefault="00264932" w:rsidP="00264932">
      <w:pPr>
        <w:rPr>
          <w:lang w:val="sl-SI"/>
        </w:rPr>
      </w:pPr>
      <w:r w:rsidRPr="00275FBD">
        <w:rPr>
          <w:lang w:val="sl-SI"/>
        </w:rPr>
        <w:lastRenderedPageBreak/>
        <w:t>Ocena obrambe</w:t>
      </w:r>
      <w:r w:rsidR="00FD4D06" w:rsidRPr="000D7D8A">
        <w:rPr>
          <w:lang w:val="sl-SI"/>
        </w:rPr>
        <w:t xml:space="preserve"> </w:t>
      </w:r>
      <w:r w:rsidR="00FD4D06" w:rsidRPr="00FD4D06">
        <w:rPr>
          <w:lang w:val="sl-SI"/>
        </w:rPr>
        <w:t>v globino</w:t>
      </w:r>
      <w:r w:rsidRPr="00275FBD">
        <w:rPr>
          <w:lang w:val="sl-SI"/>
        </w:rPr>
        <w:t xml:space="preserve">, izvedena </w:t>
      </w:r>
      <w:r w:rsidR="000C4C8B">
        <w:rPr>
          <w:lang w:val="sl-SI"/>
        </w:rPr>
        <w:t>z metodo</w:t>
      </w:r>
      <w:r w:rsidR="000C4C8B" w:rsidRPr="00275FBD">
        <w:rPr>
          <w:lang w:val="sl-SI"/>
        </w:rPr>
        <w:t xml:space="preserve"> </w:t>
      </w:r>
      <w:r w:rsidRPr="00275FBD">
        <w:rPr>
          <w:lang w:val="sl-SI"/>
        </w:rPr>
        <w:t>štetj</w:t>
      </w:r>
      <w:r w:rsidR="00671CB5">
        <w:rPr>
          <w:lang w:val="sl-SI"/>
        </w:rPr>
        <w:t>a</w:t>
      </w:r>
      <w:r w:rsidRPr="00275FBD">
        <w:rPr>
          <w:lang w:val="sl-SI"/>
        </w:rPr>
        <w:t xml:space="preserve"> obrambnih linij pred posledicami, ki segajo od razmer projektnih dogodkov do nesreč z zgodnjimi izpusti radioaktivnosti, kaže, da je stanje elektrarne NEK pred PSR3 mogoče šteti za skladno s sodobnimi standardi (razdelek </w:t>
      </w:r>
      <w:r w:rsidRPr="00275FBD">
        <w:rPr>
          <w:lang w:val="sl-SI"/>
        </w:rPr>
        <w:fldChar w:fldCharType="begin"/>
      </w:r>
      <w:r w:rsidRPr="00275FBD">
        <w:rPr>
          <w:lang w:val="sl-SI"/>
        </w:rPr>
        <w:instrText xml:space="preserve"> REF _Ref138424277 \r \h </w:instrText>
      </w:r>
      <w:r w:rsidRPr="00275FBD">
        <w:rPr>
          <w:lang w:val="sl-SI"/>
        </w:rPr>
      </w:r>
      <w:r w:rsidRPr="00275FBD">
        <w:rPr>
          <w:lang w:val="sl-SI"/>
        </w:rPr>
        <w:fldChar w:fldCharType="separate"/>
      </w:r>
      <w:r w:rsidR="00BA25CD">
        <w:rPr>
          <w:lang w:val="sl-SI"/>
        </w:rPr>
        <w:t>5.1</w:t>
      </w:r>
      <w:r w:rsidRPr="00275FBD">
        <w:rPr>
          <w:lang w:val="sl-SI"/>
        </w:rPr>
        <w:fldChar w:fldCharType="end"/>
      </w:r>
      <w:r w:rsidRPr="00275FBD">
        <w:rPr>
          <w:lang w:val="sl-SI"/>
        </w:rPr>
        <w:t>).</w:t>
      </w:r>
    </w:p>
    <w:p w14:paraId="7F87D06F" w14:textId="108E1D89" w:rsidR="00264932" w:rsidRPr="00275FBD" w:rsidRDefault="00264932" w:rsidP="00264932">
      <w:pPr>
        <w:rPr>
          <w:lang w:val="sl-SI"/>
        </w:rPr>
      </w:pPr>
      <w:r w:rsidRPr="00275FBD">
        <w:rPr>
          <w:lang w:val="sl-SI"/>
        </w:rPr>
        <w:t>Na podlagi kvantitativne ocene tveganja in razprave (</w:t>
      </w:r>
      <w:r w:rsidR="00052E53" w:rsidRPr="00275FBD">
        <w:rPr>
          <w:lang w:val="sl-SI"/>
        </w:rPr>
        <w:t xml:space="preserve">poglavje </w:t>
      </w:r>
      <w:r w:rsidRPr="00275FBD">
        <w:rPr>
          <w:lang w:val="sl-SI"/>
        </w:rPr>
        <w:fldChar w:fldCharType="begin"/>
      </w:r>
      <w:r w:rsidRPr="00275FBD">
        <w:rPr>
          <w:lang w:val="sl-SI"/>
        </w:rPr>
        <w:instrText xml:space="preserve"> REF _Ref138424290 \r \h </w:instrText>
      </w:r>
      <w:r w:rsidRPr="00275FBD">
        <w:rPr>
          <w:lang w:val="sl-SI"/>
        </w:rPr>
      </w:r>
      <w:r w:rsidRPr="00275FBD">
        <w:rPr>
          <w:lang w:val="sl-SI"/>
        </w:rPr>
        <w:fldChar w:fldCharType="separate"/>
      </w:r>
      <w:r w:rsidR="00BA25CD">
        <w:rPr>
          <w:lang w:val="sl-SI"/>
        </w:rPr>
        <w:t>5.2</w:t>
      </w:r>
      <w:r w:rsidRPr="00275FBD">
        <w:rPr>
          <w:lang w:val="sl-SI"/>
        </w:rPr>
        <w:fldChar w:fldCharType="end"/>
      </w:r>
      <w:r w:rsidRPr="00275FBD">
        <w:rPr>
          <w:lang w:val="sl-SI"/>
        </w:rPr>
        <w:t>) lahko sklepa</w:t>
      </w:r>
      <w:r w:rsidR="00671CB5">
        <w:rPr>
          <w:lang w:val="sl-SI"/>
        </w:rPr>
        <w:t>mo</w:t>
      </w:r>
      <w:r w:rsidRPr="00275FBD">
        <w:rPr>
          <w:lang w:val="sl-SI"/>
        </w:rPr>
        <w:t xml:space="preserve">, da je tveganje zaradi poškodb sredice, vključno z vsemi kategorijami </w:t>
      </w:r>
      <w:r w:rsidR="009B3344" w:rsidRPr="00275FBD">
        <w:rPr>
          <w:iCs/>
          <w:lang w:val="sl-SI"/>
        </w:rPr>
        <w:t>začetn</w:t>
      </w:r>
      <w:r w:rsidR="009B3344">
        <w:rPr>
          <w:iCs/>
          <w:lang w:val="sl-SI"/>
        </w:rPr>
        <w:t>ih</w:t>
      </w:r>
      <w:r w:rsidR="009B3344" w:rsidRPr="00275FBD">
        <w:rPr>
          <w:iCs/>
          <w:lang w:val="sl-SI"/>
        </w:rPr>
        <w:t xml:space="preserve"> dogodk</w:t>
      </w:r>
      <w:r w:rsidR="009B3344">
        <w:rPr>
          <w:iCs/>
          <w:lang w:val="sl-SI"/>
        </w:rPr>
        <w:t>ov</w:t>
      </w:r>
      <w:r w:rsidR="009B3344" w:rsidRPr="00275FBD" w:rsidDel="009B3344">
        <w:rPr>
          <w:lang w:val="sl-SI"/>
        </w:rPr>
        <w:t xml:space="preserve"> </w:t>
      </w:r>
      <w:r w:rsidRPr="00275FBD">
        <w:rPr>
          <w:lang w:val="sl-SI"/>
        </w:rPr>
        <w:t xml:space="preserve">(notranji in zunanji) in načini delovanja (pri obratovanju na moči in zaustavitvi), precej pod vrednostjo 1E-04 dogodkov na leto. Podobno se lahko sklene, da je skupno tveganje zaradi velikih in zgodnjih izpustov precej pod vrednostjo 1E-05 dogodkov na leto. Zato velja, da tako glede CDF </w:t>
      </w:r>
      <w:r w:rsidR="007158D5">
        <w:rPr>
          <w:lang w:val="sl-SI"/>
        </w:rPr>
        <w:t>in</w:t>
      </w:r>
      <w:r w:rsidR="007158D5" w:rsidRPr="00275FBD">
        <w:rPr>
          <w:lang w:val="sl-SI"/>
        </w:rPr>
        <w:t xml:space="preserve"> </w:t>
      </w:r>
      <w:r w:rsidRPr="00275FBD">
        <w:rPr>
          <w:lang w:val="sl-SI"/>
        </w:rPr>
        <w:t xml:space="preserve">LERF kot glavnih meril tveganja in </w:t>
      </w:r>
      <w:r w:rsidR="00671CB5">
        <w:rPr>
          <w:lang w:val="sl-SI"/>
        </w:rPr>
        <w:t>kazalcev</w:t>
      </w:r>
      <w:r w:rsidR="00671CB5" w:rsidRPr="00275FBD">
        <w:rPr>
          <w:lang w:val="sl-SI"/>
        </w:rPr>
        <w:t xml:space="preserve"> </w:t>
      </w:r>
      <w:r w:rsidRPr="00275FBD">
        <w:rPr>
          <w:lang w:val="sl-SI"/>
        </w:rPr>
        <w:t>celotne jedrske varnosti, NEK izpolnjuje verjetnostne varnostne cilje, k</w:t>
      </w:r>
      <w:r w:rsidR="007158D5">
        <w:rPr>
          <w:lang w:val="sl-SI"/>
        </w:rPr>
        <w:t>i</w:t>
      </w:r>
      <w:r w:rsidRPr="00275FBD">
        <w:rPr>
          <w:lang w:val="sl-SI"/>
        </w:rPr>
        <w:t xml:space="preserve"> so mednarodno </w:t>
      </w:r>
      <w:r w:rsidR="00671CB5">
        <w:rPr>
          <w:lang w:val="sl-SI"/>
        </w:rPr>
        <w:t>določeni</w:t>
      </w:r>
      <w:r w:rsidR="00671CB5" w:rsidRPr="00275FBD">
        <w:rPr>
          <w:lang w:val="sl-SI"/>
        </w:rPr>
        <w:t xml:space="preserve"> </w:t>
      </w:r>
      <w:r w:rsidRPr="00275FBD">
        <w:rPr>
          <w:lang w:val="sl-SI"/>
        </w:rPr>
        <w:t>za generacijo elektrarn</w:t>
      </w:r>
      <w:r w:rsidR="007158D5">
        <w:rPr>
          <w:lang w:val="sl-SI"/>
        </w:rPr>
        <w:t>,</w:t>
      </w:r>
      <w:r w:rsidR="00671CB5">
        <w:rPr>
          <w:lang w:val="sl-SI"/>
        </w:rPr>
        <w:t xml:space="preserve"> kot je </w:t>
      </w:r>
      <w:r w:rsidRPr="00275FBD">
        <w:rPr>
          <w:lang w:val="sl-SI"/>
        </w:rPr>
        <w:t>NEK.</w:t>
      </w:r>
    </w:p>
    <w:p w14:paraId="182F8077" w14:textId="6F5A80BC" w:rsidR="00314E8B" w:rsidRDefault="0043680E" w:rsidP="0043680E">
      <w:pPr>
        <w:rPr>
          <w:rFonts w:cs="TimesNewRomanPSMT"/>
          <w:szCs w:val="20"/>
          <w:lang w:val="sl-SI" w:eastAsia="en-GB"/>
        </w:rPr>
      </w:pPr>
      <w:r w:rsidRPr="00275FBD">
        <w:rPr>
          <w:rFonts w:cs="TimesNewRomanPSMT"/>
          <w:szCs w:val="20"/>
          <w:lang w:val="sl-SI" w:eastAsia="en-GB"/>
        </w:rPr>
        <w:t xml:space="preserve">Vpliv </w:t>
      </w:r>
      <w:r w:rsidR="00BD5705" w:rsidRPr="00275FBD">
        <w:rPr>
          <w:rFonts w:cs="TimesNewRomanPSMT"/>
          <w:szCs w:val="20"/>
          <w:lang w:val="sl-SI" w:eastAsia="en-GB"/>
        </w:rPr>
        <w:t>najdb</w:t>
      </w:r>
      <w:r w:rsidR="00671CB5">
        <w:rPr>
          <w:rFonts w:cs="TimesNewRomanPSMT"/>
          <w:szCs w:val="20"/>
          <w:lang w:val="sl-SI" w:eastAsia="en-GB"/>
        </w:rPr>
        <w:t xml:space="preserve"> </w:t>
      </w:r>
      <w:r w:rsidRPr="00275FBD">
        <w:rPr>
          <w:rFonts w:cs="TimesNewRomanPSMT"/>
          <w:szCs w:val="20"/>
          <w:lang w:val="sl-SI" w:eastAsia="en-GB"/>
        </w:rPr>
        <w:t xml:space="preserve">PSR3 na </w:t>
      </w:r>
      <w:r w:rsidR="00314E8B">
        <w:rPr>
          <w:rFonts w:cs="TimesNewRomanPSMT"/>
          <w:szCs w:val="20"/>
          <w:lang w:val="sl-SI" w:eastAsia="en-GB"/>
        </w:rPr>
        <w:t>varnost</w:t>
      </w:r>
      <w:r w:rsidR="00314E8B" w:rsidRPr="00275FBD">
        <w:rPr>
          <w:rFonts w:cs="TimesNewRomanPSMT"/>
          <w:szCs w:val="20"/>
          <w:lang w:val="sl-SI" w:eastAsia="en-GB"/>
        </w:rPr>
        <w:t xml:space="preserve"> </w:t>
      </w:r>
      <w:r w:rsidRPr="00275FBD">
        <w:rPr>
          <w:rFonts w:cs="TimesNewRomanPSMT"/>
          <w:szCs w:val="20"/>
          <w:lang w:val="sl-SI" w:eastAsia="en-GB"/>
        </w:rPr>
        <w:t>elektrarne</w:t>
      </w:r>
      <w:r w:rsidR="00314E8B">
        <w:rPr>
          <w:rFonts w:cs="TimesNewRomanPSMT"/>
          <w:szCs w:val="20"/>
          <w:lang w:val="sl-SI" w:eastAsia="en-GB"/>
        </w:rPr>
        <w:t xml:space="preserve"> </w:t>
      </w:r>
      <w:r w:rsidRPr="00275FBD">
        <w:rPr>
          <w:rFonts w:cs="TimesNewRomanPSMT"/>
          <w:szCs w:val="20"/>
          <w:lang w:val="sl-SI" w:eastAsia="en-GB"/>
        </w:rPr>
        <w:t xml:space="preserve">je ocenjen in opisan v </w:t>
      </w:r>
      <w:r w:rsidR="00052E53" w:rsidRPr="00275FBD">
        <w:rPr>
          <w:rFonts w:cs="TimesNewRomanPSMT"/>
          <w:szCs w:val="20"/>
          <w:lang w:val="sl-SI" w:eastAsia="en-GB"/>
        </w:rPr>
        <w:t xml:space="preserve">poglavjih </w:t>
      </w:r>
      <w:r w:rsidRPr="00275FBD">
        <w:rPr>
          <w:rFonts w:cs="TimesNewRomanPSMT"/>
          <w:szCs w:val="20"/>
          <w:lang w:val="sl-SI" w:eastAsia="en-GB"/>
        </w:rPr>
        <w:fldChar w:fldCharType="begin"/>
      </w:r>
      <w:r w:rsidRPr="00275FBD">
        <w:rPr>
          <w:rFonts w:cs="TimesNewRomanPSMT"/>
          <w:szCs w:val="20"/>
          <w:lang w:val="sl-SI" w:eastAsia="en-GB"/>
        </w:rPr>
        <w:instrText xml:space="preserve"> REF _Ref138424277 \r \h </w:instrText>
      </w:r>
      <w:r w:rsidRPr="00275FBD">
        <w:rPr>
          <w:rFonts w:cs="TimesNewRomanPSMT"/>
          <w:szCs w:val="20"/>
          <w:lang w:val="sl-SI" w:eastAsia="en-GB"/>
        </w:rPr>
      </w:r>
      <w:r w:rsidRPr="00275FBD">
        <w:rPr>
          <w:rFonts w:cs="TimesNewRomanPSMT"/>
          <w:szCs w:val="20"/>
          <w:lang w:val="sl-SI" w:eastAsia="en-GB"/>
        </w:rPr>
        <w:fldChar w:fldCharType="separate"/>
      </w:r>
      <w:r w:rsidR="00BA25CD">
        <w:rPr>
          <w:rFonts w:cs="TimesNewRomanPSMT"/>
          <w:szCs w:val="20"/>
          <w:lang w:val="sl-SI" w:eastAsia="en-GB"/>
        </w:rPr>
        <w:t>5.1</w:t>
      </w:r>
      <w:r w:rsidRPr="00275FBD">
        <w:rPr>
          <w:rFonts w:cs="TimesNewRomanPSMT"/>
          <w:szCs w:val="20"/>
          <w:lang w:val="sl-SI" w:eastAsia="en-GB"/>
        </w:rPr>
        <w:fldChar w:fldCharType="end"/>
      </w:r>
      <w:r w:rsidRPr="00275FBD">
        <w:rPr>
          <w:rFonts w:cs="TimesNewRomanPSMT"/>
          <w:szCs w:val="20"/>
          <w:lang w:val="sl-SI" w:eastAsia="en-GB"/>
        </w:rPr>
        <w:t xml:space="preserve"> in </w:t>
      </w:r>
      <w:r w:rsidRPr="00275FBD">
        <w:rPr>
          <w:rFonts w:cs="TimesNewRomanPSMT"/>
          <w:szCs w:val="20"/>
          <w:lang w:val="sl-SI" w:eastAsia="en-GB"/>
        </w:rPr>
        <w:fldChar w:fldCharType="begin"/>
      </w:r>
      <w:r w:rsidRPr="00275FBD">
        <w:rPr>
          <w:rFonts w:cs="TimesNewRomanPSMT"/>
          <w:szCs w:val="20"/>
          <w:lang w:val="sl-SI" w:eastAsia="en-GB"/>
        </w:rPr>
        <w:instrText xml:space="preserve"> REF _Ref138424290 \r \h </w:instrText>
      </w:r>
      <w:r w:rsidRPr="00275FBD">
        <w:rPr>
          <w:rFonts w:cs="TimesNewRomanPSMT"/>
          <w:szCs w:val="20"/>
          <w:lang w:val="sl-SI" w:eastAsia="en-GB"/>
        </w:rPr>
      </w:r>
      <w:r w:rsidRPr="00275FBD">
        <w:rPr>
          <w:rFonts w:cs="TimesNewRomanPSMT"/>
          <w:szCs w:val="20"/>
          <w:lang w:val="sl-SI" w:eastAsia="en-GB"/>
        </w:rPr>
        <w:fldChar w:fldCharType="separate"/>
      </w:r>
      <w:r w:rsidR="00BA25CD">
        <w:rPr>
          <w:rFonts w:cs="TimesNewRomanPSMT"/>
          <w:szCs w:val="20"/>
          <w:lang w:val="sl-SI" w:eastAsia="en-GB"/>
        </w:rPr>
        <w:t>5.2</w:t>
      </w:r>
      <w:r w:rsidRPr="00275FBD">
        <w:rPr>
          <w:rFonts w:cs="TimesNewRomanPSMT"/>
          <w:szCs w:val="20"/>
          <w:lang w:val="sl-SI" w:eastAsia="en-GB"/>
        </w:rPr>
        <w:fldChar w:fldCharType="end"/>
      </w:r>
      <w:r w:rsidR="00314E8B">
        <w:rPr>
          <w:rFonts w:cs="TimesNewRomanPSMT"/>
          <w:szCs w:val="20"/>
          <w:lang w:val="sl-SI" w:eastAsia="en-GB"/>
        </w:rPr>
        <w:t xml:space="preserve"> ter </w:t>
      </w:r>
      <w:r w:rsidRPr="00275FBD">
        <w:rPr>
          <w:rFonts w:cs="TimesNewRomanPSMT"/>
          <w:szCs w:val="20"/>
          <w:lang w:val="sl-SI" w:eastAsia="en-GB"/>
        </w:rPr>
        <w:t xml:space="preserve">je povzet </w:t>
      </w:r>
      <w:r w:rsidR="00314E8B">
        <w:rPr>
          <w:rFonts w:cs="TimesNewRomanPSMT"/>
          <w:szCs w:val="20"/>
          <w:lang w:val="sl-SI" w:eastAsia="en-GB"/>
        </w:rPr>
        <w:t>v nadaljevanju</w:t>
      </w:r>
      <w:r w:rsidRPr="00275FBD">
        <w:rPr>
          <w:rFonts w:cs="TimesNewRomanPSMT"/>
          <w:szCs w:val="20"/>
          <w:lang w:val="sl-SI" w:eastAsia="en-GB"/>
        </w:rPr>
        <w:t>.</w:t>
      </w:r>
      <w:r w:rsidR="00314E8B">
        <w:rPr>
          <w:rFonts w:cs="TimesNewRomanPSMT"/>
          <w:szCs w:val="20"/>
          <w:lang w:val="sl-SI" w:eastAsia="en-GB"/>
        </w:rPr>
        <w:t xml:space="preserve"> </w:t>
      </w:r>
    </w:p>
    <w:p w14:paraId="4D83AE19" w14:textId="103DB9CA" w:rsidR="0043680E" w:rsidRPr="00275FBD" w:rsidRDefault="00314E8B" w:rsidP="0043680E">
      <w:pPr>
        <w:rPr>
          <w:rFonts w:cs="TimesNewRomanPSMT"/>
          <w:szCs w:val="20"/>
          <w:lang w:val="sl-SI" w:eastAsia="en-GB"/>
        </w:rPr>
      </w:pPr>
      <w:r>
        <w:rPr>
          <w:rFonts w:cs="TimesNewRomanPSMT"/>
          <w:szCs w:val="20"/>
          <w:lang w:val="sl-SI" w:eastAsia="en-GB"/>
        </w:rPr>
        <w:t>D</w:t>
      </w:r>
      <w:r w:rsidR="0043680E" w:rsidRPr="00275FBD">
        <w:rPr>
          <w:rFonts w:cs="TimesNewRomanPSMT"/>
          <w:szCs w:val="20"/>
          <w:lang w:val="sl-SI" w:eastAsia="en-GB"/>
        </w:rPr>
        <w:t xml:space="preserve">oločenih </w:t>
      </w:r>
      <w:r w:rsidRPr="00275FBD">
        <w:rPr>
          <w:rFonts w:cs="TimesNewRomanPSMT"/>
          <w:szCs w:val="20"/>
          <w:lang w:val="sl-SI" w:eastAsia="en-GB"/>
        </w:rPr>
        <w:t xml:space="preserve">je bilo </w:t>
      </w:r>
      <w:r w:rsidR="0043680E" w:rsidRPr="00275FBD">
        <w:rPr>
          <w:rFonts w:cs="TimesNewRomanPSMT"/>
          <w:szCs w:val="20"/>
          <w:lang w:val="sl-SI" w:eastAsia="en-GB"/>
        </w:rPr>
        <w:t xml:space="preserve">15 dodatnih </w:t>
      </w:r>
      <w:r w:rsidR="00BD5705" w:rsidRPr="00275FBD">
        <w:rPr>
          <w:rFonts w:cs="TimesNewRomanPSMT"/>
          <w:szCs w:val="20"/>
          <w:lang w:val="sl-SI" w:eastAsia="en-GB"/>
        </w:rPr>
        <w:t xml:space="preserve">najdb </w:t>
      </w:r>
      <w:r w:rsidR="00997B22">
        <w:rPr>
          <w:lang w:val="sl-SI" w:eastAsia="en-GB"/>
        </w:rPr>
        <w:t>kategorije</w:t>
      </w:r>
      <w:r w:rsidR="0043680E" w:rsidRPr="00275FBD">
        <w:rPr>
          <w:rFonts w:cs="TimesNewRomanPSMT"/>
          <w:szCs w:val="20"/>
          <w:lang w:val="sl-SI" w:eastAsia="en-GB"/>
        </w:rPr>
        <w:t xml:space="preserve"> "IRR"</w:t>
      </w:r>
      <w:r>
        <w:rPr>
          <w:rFonts w:cs="TimesNewRomanPSMT"/>
          <w:szCs w:val="20"/>
          <w:lang w:val="sl-SI" w:eastAsia="en-GB"/>
        </w:rPr>
        <w:t>,</w:t>
      </w:r>
      <w:r w:rsidR="0043680E" w:rsidRPr="00275FBD">
        <w:rPr>
          <w:rFonts w:cs="TimesNewRomanPSMT"/>
          <w:szCs w:val="20"/>
          <w:lang w:val="sl-SI" w:eastAsia="en-GB"/>
        </w:rPr>
        <w:t xml:space="preserve"> </w:t>
      </w:r>
      <w:r>
        <w:rPr>
          <w:rFonts w:cs="TimesNewRomanPSMT"/>
          <w:szCs w:val="20"/>
          <w:lang w:val="sl-SI" w:eastAsia="en-GB"/>
        </w:rPr>
        <w:t>o</w:t>
      </w:r>
      <w:r w:rsidRPr="00275FBD">
        <w:rPr>
          <w:rFonts w:cs="TimesNewRomanPSMT"/>
          <w:szCs w:val="20"/>
          <w:lang w:val="sl-SI" w:eastAsia="en-GB"/>
        </w:rPr>
        <w:t xml:space="preserve">d </w:t>
      </w:r>
      <w:r>
        <w:rPr>
          <w:rFonts w:cs="TimesNewRomanPSMT"/>
          <w:szCs w:val="20"/>
          <w:lang w:val="sl-SI" w:eastAsia="en-GB"/>
        </w:rPr>
        <w:t>kateri</w:t>
      </w:r>
      <w:r w:rsidR="0043680E" w:rsidRPr="00275FBD">
        <w:rPr>
          <w:rFonts w:cs="TimesNewRomanPSMT"/>
          <w:szCs w:val="20"/>
          <w:lang w:val="sl-SI" w:eastAsia="en-GB"/>
        </w:rPr>
        <w:t xml:space="preserve">h </w:t>
      </w:r>
      <w:r>
        <w:rPr>
          <w:rFonts w:cs="TimesNewRomanPSMT"/>
          <w:szCs w:val="20"/>
          <w:lang w:val="sl-SI" w:eastAsia="en-GB"/>
        </w:rPr>
        <w:t>je</w:t>
      </w:r>
      <w:r w:rsidR="0043680E" w:rsidRPr="00275FBD">
        <w:rPr>
          <w:rFonts w:cs="TimesNewRomanPSMT"/>
          <w:szCs w:val="20"/>
          <w:lang w:val="sl-SI" w:eastAsia="en-GB"/>
        </w:rPr>
        <w:t xml:space="preserve"> 14 </w:t>
      </w:r>
      <w:r w:rsidR="00F857B7" w:rsidRPr="00275FBD">
        <w:rPr>
          <w:rFonts w:cs="TimesNewRomanPSMT"/>
          <w:szCs w:val="20"/>
          <w:lang w:val="sl-SI" w:eastAsia="en-GB"/>
        </w:rPr>
        <w:t xml:space="preserve">najdb </w:t>
      </w:r>
      <w:r w:rsidR="00F8499D">
        <w:rPr>
          <w:rFonts w:cs="TimesNewRomanPSMT"/>
          <w:szCs w:val="20"/>
          <w:lang w:val="sl-SI" w:eastAsia="en-GB"/>
        </w:rPr>
        <w:t>iz</w:t>
      </w:r>
      <w:r w:rsidR="0039531B" w:rsidRPr="00275FBD">
        <w:rPr>
          <w:rFonts w:cs="TimesNewRomanPSMT"/>
          <w:szCs w:val="20"/>
          <w:lang w:val="sl-SI" w:eastAsia="en-GB"/>
        </w:rPr>
        <w:t xml:space="preserve"> </w:t>
      </w:r>
      <w:r w:rsidR="002747F4">
        <w:rPr>
          <w:rFonts w:cs="TimesNewRomanPSMT"/>
          <w:szCs w:val="20"/>
          <w:lang w:val="sl-SI" w:eastAsia="en-GB"/>
        </w:rPr>
        <w:t xml:space="preserve">skupine </w:t>
      </w:r>
      <w:r w:rsidR="0043680E" w:rsidRPr="00275FBD">
        <w:rPr>
          <w:rFonts w:cs="TimesNewRomanPSMT"/>
          <w:szCs w:val="20"/>
          <w:lang w:val="sl-SI" w:eastAsia="en-GB"/>
        </w:rPr>
        <w:t>»pred</w:t>
      </w:r>
      <w:r w:rsidR="0039531B" w:rsidRPr="00275FBD">
        <w:rPr>
          <w:rFonts w:cs="TimesNewRomanPSMT"/>
          <w:szCs w:val="20"/>
          <w:lang w:val="sl-SI" w:eastAsia="en-GB"/>
        </w:rPr>
        <w:t>-</w:t>
      </w:r>
      <w:r w:rsidR="0043680E" w:rsidRPr="00275FBD">
        <w:rPr>
          <w:rFonts w:cs="TimesNewRomanPSMT"/>
          <w:szCs w:val="20"/>
          <w:lang w:val="sl-SI" w:eastAsia="en-GB"/>
        </w:rPr>
        <w:t>SALTO«, preostal</w:t>
      </w:r>
      <w:r w:rsidR="003A476B" w:rsidRPr="00275FBD">
        <w:rPr>
          <w:rFonts w:cs="TimesNewRomanPSMT"/>
          <w:szCs w:val="20"/>
          <w:lang w:val="sl-SI" w:eastAsia="en-GB"/>
        </w:rPr>
        <w:t>a</w:t>
      </w:r>
      <w:r w:rsidR="0043680E" w:rsidRPr="00275FBD">
        <w:rPr>
          <w:rFonts w:cs="TimesNewRomanPSMT"/>
          <w:szCs w:val="20"/>
          <w:lang w:val="sl-SI" w:eastAsia="en-GB"/>
        </w:rPr>
        <w:t xml:space="preserve"> </w:t>
      </w:r>
      <w:r w:rsidR="003A476B" w:rsidRPr="00275FBD">
        <w:rPr>
          <w:rFonts w:cs="TimesNewRomanPSMT"/>
          <w:szCs w:val="20"/>
          <w:lang w:val="sl-SI" w:eastAsia="en-GB"/>
        </w:rPr>
        <w:t>najdb</w:t>
      </w:r>
      <w:r w:rsidR="00BB3B77">
        <w:rPr>
          <w:rFonts w:cs="TimesNewRomanPSMT"/>
          <w:szCs w:val="20"/>
          <w:lang w:val="sl-SI" w:eastAsia="en-GB"/>
        </w:rPr>
        <w:t>a</w:t>
      </w:r>
      <w:r w:rsidR="0043680E" w:rsidRPr="00275FBD">
        <w:rPr>
          <w:rFonts w:cs="TimesNewRomanPSMT"/>
          <w:szCs w:val="20"/>
          <w:lang w:val="sl-SI" w:eastAsia="en-GB"/>
        </w:rPr>
        <w:t xml:space="preserve"> pa je povezan</w:t>
      </w:r>
      <w:r w:rsidR="003A476B" w:rsidRPr="00275FBD">
        <w:rPr>
          <w:rFonts w:cs="TimesNewRomanPSMT"/>
          <w:szCs w:val="20"/>
          <w:lang w:val="sl-SI" w:eastAsia="en-GB"/>
        </w:rPr>
        <w:t>a</w:t>
      </w:r>
      <w:r w:rsidR="0043680E" w:rsidRPr="00275FBD">
        <w:rPr>
          <w:rFonts w:cs="TimesNewRomanPSMT"/>
          <w:szCs w:val="20"/>
          <w:lang w:val="sl-SI" w:eastAsia="en-GB"/>
        </w:rPr>
        <w:t xml:space="preserve"> s posodobitvijo verjetnostne analize potresne nevarnosti (PSHA). </w:t>
      </w:r>
      <w:r>
        <w:rPr>
          <w:rFonts w:cs="TimesNewRomanPSMT"/>
          <w:szCs w:val="20"/>
          <w:lang w:val="sl-SI" w:eastAsia="en-GB"/>
        </w:rPr>
        <w:t>N</w:t>
      </w:r>
      <w:r w:rsidRPr="00275FBD">
        <w:rPr>
          <w:rFonts w:cs="TimesNewRomanPSMT"/>
          <w:szCs w:val="20"/>
          <w:lang w:val="sl-SI" w:eastAsia="en-GB"/>
        </w:rPr>
        <w:t xml:space="preserve">eposredni vnos v IAP brez </w:t>
      </w:r>
      <w:proofErr w:type="spellStart"/>
      <w:r w:rsidR="0043680E" w:rsidRPr="00275FBD">
        <w:rPr>
          <w:rFonts w:cs="TimesNewRomanPSMT"/>
          <w:szCs w:val="20"/>
          <w:lang w:val="sl-SI" w:eastAsia="en-GB"/>
        </w:rPr>
        <w:t>rangiranja</w:t>
      </w:r>
      <w:proofErr w:type="spellEnd"/>
      <w:r w:rsidR="0043680E" w:rsidRPr="00275FBD">
        <w:rPr>
          <w:rFonts w:cs="TimesNewRomanPSMT"/>
          <w:szCs w:val="20"/>
          <w:lang w:val="sl-SI" w:eastAsia="en-GB"/>
        </w:rPr>
        <w:t xml:space="preserve"> je dogovorjen med NEK in </w:t>
      </w:r>
      <w:r w:rsidR="003A476B" w:rsidRPr="00275FBD">
        <w:rPr>
          <w:rFonts w:cs="TimesNewRomanPSMT"/>
          <w:szCs w:val="20"/>
          <w:lang w:val="sl-SI" w:eastAsia="en-GB"/>
        </w:rPr>
        <w:t>URSJV</w:t>
      </w:r>
      <w:r w:rsidR="0043680E" w:rsidRPr="00275FBD">
        <w:rPr>
          <w:rFonts w:cs="TimesNewRomanPSMT"/>
          <w:szCs w:val="20"/>
          <w:lang w:val="sl-SI" w:eastAsia="en-GB"/>
        </w:rPr>
        <w:t>.</w:t>
      </w:r>
    </w:p>
    <w:p w14:paraId="4FBAE3FA" w14:textId="3B04C048" w:rsidR="0043680E" w:rsidRPr="00275FBD" w:rsidRDefault="00314E8B" w:rsidP="0043680E">
      <w:pPr>
        <w:rPr>
          <w:rFonts w:cs="TimesNewRomanPSMT"/>
          <w:szCs w:val="20"/>
          <w:lang w:val="sl-SI" w:eastAsia="en-GB"/>
        </w:rPr>
      </w:pPr>
      <w:r>
        <w:rPr>
          <w:rFonts w:cs="TimesNewRomanPSMT"/>
          <w:szCs w:val="20"/>
          <w:lang w:val="sl-SI" w:eastAsia="en-GB"/>
        </w:rPr>
        <w:t>Med</w:t>
      </w:r>
      <w:r w:rsidR="0043680E" w:rsidRPr="00275FBD">
        <w:rPr>
          <w:rFonts w:cs="TimesNewRomanPSMT"/>
          <w:szCs w:val="20"/>
          <w:lang w:val="sl-SI" w:eastAsia="en-GB"/>
        </w:rPr>
        <w:t xml:space="preserve"> </w:t>
      </w:r>
      <w:r w:rsidR="00BD5705" w:rsidRPr="00275FBD">
        <w:rPr>
          <w:rFonts w:cs="TimesNewRomanPSMT"/>
          <w:szCs w:val="20"/>
          <w:lang w:val="sl-SI" w:eastAsia="en-GB"/>
        </w:rPr>
        <w:t>najdb</w:t>
      </w:r>
      <w:r>
        <w:rPr>
          <w:rFonts w:cs="TimesNewRomanPSMT"/>
          <w:szCs w:val="20"/>
          <w:lang w:val="sl-SI" w:eastAsia="en-GB"/>
        </w:rPr>
        <w:t xml:space="preserve">ami </w:t>
      </w:r>
      <w:r w:rsidR="0043680E" w:rsidRPr="00275FBD">
        <w:rPr>
          <w:rFonts w:cs="TimesNewRomanPSMT"/>
          <w:szCs w:val="20"/>
          <w:lang w:val="sl-SI" w:eastAsia="en-GB"/>
        </w:rPr>
        <w:t>iz pregleda PSR3 ni bil</w:t>
      </w:r>
      <w:r w:rsidR="003A476B" w:rsidRPr="00275FBD">
        <w:rPr>
          <w:rFonts w:cs="TimesNewRomanPSMT"/>
          <w:szCs w:val="20"/>
          <w:lang w:val="sl-SI" w:eastAsia="en-GB"/>
        </w:rPr>
        <w:t>a</w:t>
      </w:r>
      <w:r w:rsidR="0043680E" w:rsidRPr="00275FBD">
        <w:rPr>
          <w:rFonts w:cs="TimesNewRomanPSMT"/>
          <w:szCs w:val="20"/>
          <w:lang w:val="sl-SI" w:eastAsia="en-GB"/>
        </w:rPr>
        <w:t xml:space="preserve"> noben</w:t>
      </w:r>
      <w:r w:rsidR="003A476B" w:rsidRPr="00275FBD">
        <w:rPr>
          <w:rFonts w:cs="TimesNewRomanPSMT"/>
          <w:szCs w:val="20"/>
          <w:lang w:val="sl-SI" w:eastAsia="en-GB"/>
        </w:rPr>
        <w:t>a</w:t>
      </w:r>
      <w:r w:rsidR="0043680E" w:rsidRPr="00275FBD">
        <w:rPr>
          <w:rFonts w:cs="TimesNewRomanPSMT"/>
          <w:szCs w:val="20"/>
          <w:lang w:val="sl-SI" w:eastAsia="en-GB"/>
        </w:rPr>
        <w:t xml:space="preserve"> z </w:t>
      </w:r>
      <w:r w:rsidR="0039531B" w:rsidRPr="00275FBD">
        <w:rPr>
          <w:rFonts w:cs="TimesNewRomanPSMT"/>
          <w:szCs w:val="20"/>
          <w:lang w:val="sl-SI" w:eastAsia="en-GB"/>
        </w:rPr>
        <w:t>rangom</w:t>
      </w:r>
      <w:r w:rsidR="0043680E" w:rsidRPr="00275FBD">
        <w:rPr>
          <w:rFonts w:cs="TimesNewRomanPSMT"/>
          <w:szCs w:val="20"/>
          <w:lang w:val="sl-SI" w:eastAsia="en-GB"/>
        </w:rPr>
        <w:t xml:space="preserve"> </w:t>
      </w:r>
      <w:r w:rsidR="00DA1066" w:rsidRPr="00275FBD">
        <w:rPr>
          <w:rFonts w:cs="TimesNewRomanPSMT"/>
          <w:szCs w:val="20"/>
          <w:lang w:val="sl-SI" w:eastAsia="en-GB"/>
        </w:rPr>
        <w:t>»6«</w:t>
      </w:r>
      <w:r w:rsidR="0043680E" w:rsidRPr="00275FBD">
        <w:rPr>
          <w:rFonts w:cs="TimesNewRomanPSMT"/>
          <w:szCs w:val="20"/>
          <w:lang w:val="sl-SI" w:eastAsia="en-GB"/>
        </w:rPr>
        <w:t>. (To bi bil</w:t>
      </w:r>
      <w:r w:rsidR="00F857B7" w:rsidRPr="00275FBD">
        <w:rPr>
          <w:rFonts w:cs="TimesNewRomanPSMT"/>
          <w:szCs w:val="20"/>
          <w:lang w:val="sl-SI" w:eastAsia="en-GB"/>
        </w:rPr>
        <w:t>e</w:t>
      </w:r>
      <w:r w:rsidR="0043680E" w:rsidRPr="00275FBD">
        <w:rPr>
          <w:rFonts w:cs="TimesNewRomanPSMT"/>
          <w:szCs w:val="20"/>
          <w:lang w:val="sl-SI" w:eastAsia="en-GB"/>
        </w:rPr>
        <w:t xml:space="preserve"> </w:t>
      </w:r>
      <w:r w:rsidR="00F857B7" w:rsidRPr="00275FBD">
        <w:rPr>
          <w:rFonts w:cs="TimesNewRomanPSMT"/>
          <w:szCs w:val="20"/>
          <w:lang w:val="sl-SI" w:eastAsia="en-GB"/>
        </w:rPr>
        <w:t xml:space="preserve">najdbe </w:t>
      </w:r>
      <w:r w:rsidR="0043680E" w:rsidRPr="00275FBD">
        <w:rPr>
          <w:rFonts w:cs="TimesNewRomanPSMT"/>
          <w:szCs w:val="20"/>
          <w:lang w:val="sl-SI" w:eastAsia="en-GB"/>
        </w:rPr>
        <w:t>z zelo visokim tveganjem, potrjenim s PSA ali nedopustno degradacijo obrambe</w:t>
      </w:r>
      <w:r w:rsidR="00BB3B77" w:rsidRPr="000D7D8A">
        <w:rPr>
          <w:lang w:val="sl-SI"/>
        </w:rPr>
        <w:t xml:space="preserve"> </w:t>
      </w:r>
      <w:r w:rsidR="00BB3B77" w:rsidRPr="00BB3B77">
        <w:rPr>
          <w:rFonts w:cs="TimesNewRomanPSMT"/>
          <w:szCs w:val="20"/>
          <w:lang w:val="sl-SI" w:eastAsia="en-GB"/>
        </w:rPr>
        <w:t>v globino</w:t>
      </w:r>
      <w:r w:rsidR="0043680E" w:rsidRPr="00275FBD">
        <w:rPr>
          <w:rFonts w:cs="TimesNewRomanPSMT"/>
          <w:szCs w:val="20"/>
          <w:lang w:val="sl-SI" w:eastAsia="en-GB"/>
        </w:rPr>
        <w:t>.)</w:t>
      </w:r>
    </w:p>
    <w:p w14:paraId="100579F3" w14:textId="2691568C" w:rsidR="0043680E" w:rsidRPr="00275FBD" w:rsidRDefault="0043680E" w:rsidP="0043680E">
      <w:pPr>
        <w:rPr>
          <w:rFonts w:cs="TimesNewRomanPSMT"/>
          <w:szCs w:val="20"/>
          <w:lang w:val="sl-SI" w:eastAsia="en-GB"/>
        </w:rPr>
      </w:pPr>
      <w:r w:rsidRPr="00275FBD">
        <w:rPr>
          <w:rFonts w:cs="TimesNewRomanPSMT"/>
          <w:szCs w:val="20"/>
          <w:lang w:val="sl-SI" w:eastAsia="en-GB"/>
        </w:rPr>
        <w:t xml:space="preserve">Z </w:t>
      </w:r>
      <w:r w:rsidR="0039531B" w:rsidRPr="00275FBD">
        <w:rPr>
          <w:rFonts w:cs="TimesNewRomanPSMT"/>
          <w:szCs w:val="20"/>
          <w:lang w:val="sl-SI" w:eastAsia="en-GB"/>
        </w:rPr>
        <w:t>rangom</w:t>
      </w:r>
      <w:r w:rsidRPr="00275FBD">
        <w:rPr>
          <w:rFonts w:cs="TimesNewRomanPSMT"/>
          <w:szCs w:val="20"/>
          <w:lang w:val="sl-SI" w:eastAsia="en-GB"/>
        </w:rPr>
        <w:t xml:space="preserve"> »5« so bil</w:t>
      </w:r>
      <w:r w:rsidR="00BB3B77">
        <w:rPr>
          <w:rFonts w:cs="TimesNewRomanPSMT"/>
          <w:szCs w:val="20"/>
          <w:lang w:val="sl-SI" w:eastAsia="en-GB"/>
        </w:rPr>
        <w:t>e</w:t>
      </w:r>
      <w:r w:rsidRPr="00275FBD">
        <w:rPr>
          <w:rFonts w:cs="TimesNewRomanPSMT"/>
          <w:szCs w:val="20"/>
          <w:lang w:val="sl-SI" w:eastAsia="en-GB"/>
        </w:rPr>
        <w:t xml:space="preserve"> </w:t>
      </w:r>
      <w:r w:rsidR="00B20813">
        <w:rPr>
          <w:rFonts w:cs="TimesNewRomanPSMT"/>
          <w:szCs w:val="20"/>
          <w:lang w:val="sl-SI" w:eastAsia="en-GB"/>
        </w:rPr>
        <w:t>določ</w:t>
      </w:r>
      <w:r w:rsidR="00B20813" w:rsidRPr="00275FBD">
        <w:rPr>
          <w:rFonts w:cs="TimesNewRomanPSMT"/>
          <w:szCs w:val="20"/>
          <w:lang w:val="sl-SI" w:eastAsia="en-GB"/>
        </w:rPr>
        <w:t xml:space="preserve">ene </w:t>
      </w:r>
      <w:r w:rsidRPr="00275FBD">
        <w:rPr>
          <w:rFonts w:cs="TimesNewRomanPSMT"/>
          <w:szCs w:val="20"/>
          <w:lang w:val="sl-SI" w:eastAsia="en-GB"/>
        </w:rPr>
        <w:t xml:space="preserve">tri </w:t>
      </w:r>
      <w:r w:rsidR="003A476B" w:rsidRPr="00275FBD">
        <w:rPr>
          <w:rFonts w:cs="TimesNewRomanPSMT"/>
          <w:szCs w:val="20"/>
          <w:lang w:val="sl-SI" w:eastAsia="en-GB"/>
        </w:rPr>
        <w:t>najdbe</w:t>
      </w:r>
      <w:r w:rsidRPr="00275FBD">
        <w:rPr>
          <w:rFonts w:cs="TimesNewRomanPSMT"/>
          <w:szCs w:val="20"/>
          <w:lang w:val="sl-SI" w:eastAsia="en-GB"/>
        </w:rPr>
        <w:t xml:space="preserve"> iz kategorije »DL« (neposredna povezava z jedrsko varnostjo).</w:t>
      </w:r>
      <w:r w:rsidR="00237606">
        <w:rPr>
          <w:rFonts w:cs="TimesNewRomanPSMT"/>
          <w:szCs w:val="20"/>
          <w:lang w:val="sl-SI" w:eastAsia="en-GB"/>
        </w:rPr>
        <w:t xml:space="preserve">To so </w:t>
      </w:r>
      <w:r w:rsidR="00F857B7" w:rsidRPr="00275FBD">
        <w:rPr>
          <w:rFonts w:cs="TimesNewRomanPSMT"/>
          <w:szCs w:val="20"/>
          <w:lang w:val="sl-SI" w:eastAsia="en-GB"/>
        </w:rPr>
        <w:t xml:space="preserve">najdbe </w:t>
      </w:r>
      <w:r w:rsidRPr="00275FBD">
        <w:rPr>
          <w:rFonts w:cs="TimesNewRomanPSMT"/>
          <w:szCs w:val="20"/>
          <w:lang w:val="sl-SI" w:eastAsia="en-GB"/>
        </w:rPr>
        <w:t>z zmernim do visokim tveganjem, potrjenim s PSA, ali z degradacijo DOD, ki je sprejemljiva le za omejen čas. En</w:t>
      </w:r>
      <w:r w:rsidR="00BB3B77">
        <w:rPr>
          <w:rFonts w:cs="TimesNewRomanPSMT"/>
          <w:szCs w:val="20"/>
          <w:lang w:val="sl-SI" w:eastAsia="en-GB"/>
        </w:rPr>
        <w:t>a</w:t>
      </w:r>
      <w:r w:rsidRPr="00275FBD">
        <w:rPr>
          <w:rFonts w:cs="TimesNewRomanPSMT"/>
          <w:szCs w:val="20"/>
          <w:lang w:val="sl-SI" w:eastAsia="en-GB"/>
        </w:rPr>
        <w:t xml:space="preserve"> od treh je povezan</w:t>
      </w:r>
      <w:r w:rsidR="00BB3B77">
        <w:rPr>
          <w:rFonts w:cs="TimesNewRomanPSMT"/>
          <w:szCs w:val="20"/>
          <w:lang w:val="sl-SI" w:eastAsia="en-GB"/>
        </w:rPr>
        <w:t>a</w:t>
      </w:r>
      <w:r w:rsidRPr="00275FBD">
        <w:rPr>
          <w:rFonts w:cs="TimesNewRomanPSMT"/>
          <w:szCs w:val="20"/>
          <w:lang w:val="sl-SI" w:eastAsia="en-GB"/>
        </w:rPr>
        <w:t xml:space="preserve"> z </w:t>
      </w:r>
      <w:r w:rsidR="00237606">
        <w:rPr>
          <w:rFonts w:cs="TimesNewRomanPSMT"/>
          <w:szCs w:val="20"/>
          <w:lang w:val="sl-SI" w:eastAsia="en-GB"/>
        </w:rPr>
        <w:t xml:space="preserve">zagotovitvijo </w:t>
      </w:r>
      <w:r w:rsidRPr="00275FBD">
        <w:rPr>
          <w:rFonts w:cs="TimesNewRomanPSMT"/>
          <w:szCs w:val="20"/>
          <w:lang w:val="sl-SI" w:eastAsia="en-GB"/>
        </w:rPr>
        <w:t>bivaln</w:t>
      </w:r>
      <w:r w:rsidR="00237606">
        <w:rPr>
          <w:rFonts w:cs="TimesNewRomanPSMT"/>
          <w:szCs w:val="20"/>
          <w:lang w:val="sl-SI" w:eastAsia="en-GB"/>
        </w:rPr>
        <w:t>ih pogojev v</w:t>
      </w:r>
      <w:r w:rsidR="0039531B" w:rsidRPr="00275FBD">
        <w:rPr>
          <w:rFonts w:cs="TimesNewRomanPSMT"/>
          <w:szCs w:val="20"/>
          <w:lang w:val="sl-SI" w:eastAsia="en-GB"/>
        </w:rPr>
        <w:t xml:space="preserve"> </w:t>
      </w:r>
      <w:r w:rsidRPr="00275FBD">
        <w:rPr>
          <w:rFonts w:cs="TimesNewRomanPSMT"/>
          <w:szCs w:val="20"/>
          <w:lang w:val="sl-SI" w:eastAsia="en-GB"/>
        </w:rPr>
        <w:t>MCR (indikacije v zvezi z izgubo tlačn</w:t>
      </w:r>
      <w:r w:rsidR="0039531B" w:rsidRPr="00275FBD">
        <w:rPr>
          <w:rFonts w:cs="TimesNewRomanPSMT"/>
          <w:szCs w:val="20"/>
          <w:lang w:val="sl-SI" w:eastAsia="en-GB"/>
        </w:rPr>
        <w:t>e</w:t>
      </w:r>
      <w:r w:rsidRPr="00275FBD">
        <w:rPr>
          <w:rFonts w:cs="TimesNewRomanPSMT"/>
          <w:szCs w:val="20"/>
          <w:lang w:val="sl-SI" w:eastAsia="en-GB"/>
        </w:rPr>
        <w:t xml:space="preserve"> tesnost</w:t>
      </w:r>
      <w:r w:rsidR="0039531B" w:rsidRPr="00275FBD">
        <w:rPr>
          <w:rFonts w:cs="TimesNewRomanPSMT"/>
          <w:szCs w:val="20"/>
          <w:lang w:val="sl-SI" w:eastAsia="en-GB"/>
        </w:rPr>
        <w:t>i</w:t>
      </w:r>
      <w:r w:rsidRPr="00275FBD">
        <w:rPr>
          <w:rFonts w:cs="TimesNewRomanPSMT"/>
          <w:szCs w:val="20"/>
          <w:lang w:val="sl-SI" w:eastAsia="en-GB"/>
        </w:rPr>
        <w:t xml:space="preserve"> / morebitno puščanje</w:t>
      </w:r>
      <w:r w:rsidR="0039531B" w:rsidRPr="00275FBD">
        <w:rPr>
          <w:rFonts w:cs="TimesNewRomanPSMT"/>
          <w:szCs w:val="20"/>
          <w:lang w:val="sl-SI" w:eastAsia="en-GB"/>
        </w:rPr>
        <w:t xml:space="preserve"> MCR</w:t>
      </w:r>
      <w:r w:rsidRPr="00275FBD">
        <w:rPr>
          <w:rFonts w:cs="TimesNewRomanPSMT"/>
          <w:szCs w:val="20"/>
          <w:lang w:val="sl-SI" w:eastAsia="en-GB"/>
        </w:rPr>
        <w:t xml:space="preserve">), preostali dve pa z </w:t>
      </w:r>
      <w:r w:rsidR="00D202DF">
        <w:rPr>
          <w:rFonts w:cs="TimesNewRomanPSMT"/>
          <w:szCs w:val="20"/>
          <w:lang w:val="sl-SI" w:eastAsia="en-GB"/>
        </w:rPr>
        <w:t>nadzorom</w:t>
      </w:r>
      <w:r w:rsidR="00D202DF" w:rsidRPr="00275FBD">
        <w:rPr>
          <w:rFonts w:cs="TimesNewRomanPSMT"/>
          <w:szCs w:val="20"/>
          <w:lang w:val="sl-SI" w:eastAsia="en-GB"/>
        </w:rPr>
        <w:t xml:space="preserve"> </w:t>
      </w:r>
      <w:r w:rsidRPr="00275FBD">
        <w:rPr>
          <w:rFonts w:cs="TimesNewRomanPSMT"/>
          <w:szCs w:val="20"/>
          <w:lang w:val="sl-SI" w:eastAsia="en-GB"/>
        </w:rPr>
        <w:t>staranj</w:t>
      </w:r>
      <w:r w:rsidR="00BB3B77">
        <w:rPr>
          <w:rFonts w:cs="TimesNewRomanPSMT"/>
          <w:szCs w:val="20"/>
          <w:lang w:val="sl-SI" w:eastAsia="en-GB"/>
        </w:rPr>
        <w:t>a</w:t>
      </w:r>
      <w:r w:rsidRPr="00275FBD">
        <w:rPr>
          <w:rFonts w:cs="TimesNewRomanPSMT"/>
          <w:szCs w:val="20"/>
          <w:lang w:val="sl-SI" w:eastAsia="en-GB"/>
        </w:rPr>
        <w:t xml:space="preserve"> v okviru </w:t>
      </w:r>
      <w:r w:rsidR="0039531B" w:rsidRPr="00275FBD">
        <w:rPr>
          <w:rFonts w:cs="TimesNewRomanPSMT"/>
          <w:szCs w:val="20"/>
          <w:lang w:val="sl-SI" w:eastAsia="en-GB"/>
        </w:rPr>
        <w:t xml:space="preserve">programa </w:t>
      </w:r>
      <w:r w:rsidRPr="00275FBD">
        <w:rPr>
          <w:rFonts w:cs="TimesNewRomanPSMT"/>
          <w:szCs w:val="20"/>
          <w:lang w:val="sl-SI" w:eastAsia="en-GB"/>
        </w:rPr>
        <w:t>SALTO.</w:t>
      </w:r>
    </w:p>
    <w:p w14:paraId="4BBA3891" w14:textId="4CBC0C6D" w:rsidR="0039531B" w:rsidRPr="00275FBD" w:rsidRDefault="0039531B" w:rsidP="00ED1A59">
      <w:pPr>
        <w:rPr>
          <w:rFonts w:cs="TimesNewRomanPSMT"/>
          <w:szCs w:val="20"/>
          <w:lang w:val="sl-SI" w:eastAsia="en-GB"/>
        </w:rPr>
      </w:pPr>
      <w:r w:rsidRPr="0074145F">
        <w:rPr>
          <w:rFonts w:cs="TimesNewRomanPSMT"/>
          <w:szCs w:val="20"/>
          <w:lang w:val="sl-SI" w:eastAsia="en-GB"/>
        </w:rPr>
        <w:t xml:space="preserve">Z rangom »4« je bilo </w:t>
      </w:r>
      <w:r w:rsidR="0074145F" w:rsidRPr="0074145F">
        <w:rPr>
          <w:rFonts w:cs="TimesNewRomanPSMT"/>
          <w:szCs w:val="20"/>
          <w:lang w:val="sl-SI" w:eastAsia="en-GB"/>
        </w:rPr>
        <w:t xml:space="preserve">določenih </w:t>
      </w:r>
      <w:r w:rsidRPr="0074145F">
        <w:rPr>
          <w:rFonts w:cs="TimesNewRomanPSMT"/>
          <w:szCs w:val="20"/>
          <w:lang w:val="sl-SI" w:eastAsia="en-GB"/>
        </w:rPr>
        <w:t xml:space="preserve">30 </w:t>
      </w:r>
      <w:r w:rsidR="00BD5705" w:rsidRPr="0074145F">
        <w:rPr>
          <w:rFonts w:cs="TimesNewRomanPSMT"/>
          <w:szCs w:val="20"/>
          <w:lang w:val="sl-SI" w:eastAsia="en-GB"/>
        </w:rPr>
        <w:t xml:space="preserve">najdb </w:t>
      </w:r>
      <w:r w:rsidRPr="0074145F">
        <w:rPr>
          <w:rFonts w:cs="TimesNewRomanPSMT"/>
          <w:szCs w:val="20"/>
          <w:lang w:val="sl-SI" w:eastAsia="en-GB"/>
        </w:rPr>
        <w:t>iz kategorije »RE« (ponovna ocena osnove jedrske</w:t>
      </w:r>
      <w:r w:rsidRPr="00275FBD">
        <w:rPr>
          <w:rFonts w:cs="TimesNewRomanPSMT"/>
          <w:szCs w:val="20"/>
          <w:lang w:val="sl-SI" w:eastAsia="en-GB"/>
        </w:rPr>
        <w:t xml:space="preserve"> varnosti). </w:t>
      </w:r>
      <w:r w:rsidR="00237606">
        <w:rPr>
          <w:rFonts w:cs="TimesNewRomanPSMT"/>
          <w:szCs w:val="20"/>
          <w:lang w:val="sl-SI" w:eastAsia="en-GB"/>
        </w:rPr>
        <w:t>To</w:t>
      </w:r>
      <w:r w:rsidR="00F857B7" w:rsidRPr="00275FBD">
        <w:rPr>
          <w:rFonts w:cs="TimesNewRomanPSMT"/>
          <w:szCs w:val="20"/>
          <w:lang w:val="sl-SI" w:eastAsia="en-GB"/>
        </w:rPr>
        <w:t xml:space="preserve"> </w:t>
      </w:r>
      <w:r w:rsidR="00237606">
        <w:rPr>
          <w:rFonts w:cs="TimesNewRomanPSMT"/>
          <w:szCs w:val="20"/>
          <w:lang w:val="sl-SI" w:eastAsia="en-GB"/>
        </w:rPr>
        <w:t>so</w:t>
      </w:r>
      <w:r w:rsidRPr="00275FBD">
        <w:rPr>
          <w:rFonts w:cs="TimesNewRomanPSMT"/>
          <w:szCs w:val="20"/>
          <w:lang w:val="sl-SI" w:eastAsia="en-GB"/>
        </w:rPr>
        <w:t xml:space="preserve"> </w:t>
      </w:r>
      <w:r w:rsidR="00F857B7" w:rsidRPr="00275FBD">
        <w:rPr>
          <w:rFonts w:cs="TimesNewRomanPSMT"/>
          <w:szCs w:val="20"/>
          <w:lang w:val="sl-SI" w:eastAsia="en-GB"/>
        </w:rPr>
        <w:t xml:space="preserve">najdbe </w:t>
      </w:r>
      <w:r w:rsidRPr="00275FBD">
        <w:rPr>
          <w:rFonts w:cs="TimesNewRomanPSMT"/>
          <w:szCs w:val="20"/>
          <w:lang w:val="sl-SI" w:eastAsia="en-GB"/>
        </w:rPr>
        <w:t xml:space="preserve">zmernega tveganja ali degradacije DOD </w:t>
      </w:r>
      <w:r w:rsidR="00BB3B77">
        <w:rPr>
          <w:rFonts w:cs="TimesNewRomanPSMT"/>
          <w:szCs w:val="20"/>
          <w:lang w:val="sl-SI" w:eastAsia="en-GB"/>
        </w:rPr>
        <w:t>s</w:t>
      </w:r>
      <w:r w:rsidRPr="00275FBD">
        <w:rPr>
          <w:rFonts w:cs="TimesNewRomanPSMT"/>
          <w:szCs w:val="20"/>
          <w:lang w:val="sl-SI" w:eastAsia="en-GB"/>
        </w:rPr>
        <w:t xml:space="preserve"> časovno omejeno sprejemljivostjo, ki jo je mogoče potrditi s ponovno oceno varnosti; ali </w:t>
      </w:r>
      <w:r w:rsidR="00F857B7" w:rsidRPr="00275FBD">
        <w:rPr>
          <w:rFonts w:cs="TimesNewRomanPSMT"/>
          <w:szCs w:val="20"/>
          <w:lang w:val="sl-SI" w:eastAsia="en-GB"/>
        </w:rPr>
        <w:t xml:space="preserve">najdbe </w:t>
      </w:r>
      <w:r w:rsidRPr="00275FBD">
        <w:rPr>
          <w:rFonts w:cs="TimesNewRomanPSMT"/>
          <w:szCs w:val="20"/>
          <w:lang w:val="sl-SI" w:eastAsia="en-GB"/>
        </w:rPr>
        <w:t xml:space="preserve">z velikim neskladjem glede mednarodnih standardov jedrske varnosti. </w:t>
      </w:r>
      <w:r w:rsidR="00237606">
        <w:rPr>
          <w:rFonts w:cs="TimesNewRomanPSMT"/>
          <w:szCs w:val="20"/>
          <w:lang w:val="sl-SI" w:eastAsia="en-GB"/>
        </w:rPr>
        <w:t>Določe</w:t>
      </w:r>
      <w:r w:rsidR="00237606" w:rsidRPr="00275FBD">
        <w:rPr>
          <w:rFonts w:cs="TimesNewRomanPSMT"/>
          <w:szCs w:val="20"/>
          <w:lang w:val="sl-SI" w:eastAsia="en-GB"/>
        </w:rPr>
        <w:t xml:space="preserve">ne </w:t>
      </w:r>
      <w:r w:rsidR="00F857B7" w:rsidRPr="00275FBD">
        <w:rPr>
          <w:rFonts w:cs="TimesNewRomanPSMT"/>
          <w:szCs w:val="20"/>
          <w:lang w:val="sl-SI" w:eastAsia="en-GB"/>
        </w:rPr>
        <w:t xml:space="preserve">najdbe </w:t>
      </w:r>
      <w:r w:rsidRPr="00275FBD">
        <w:rPr>
          <w:rFonts w:cs="TimesNewRomanPSMT"/>
          <w:szCs w:val="20"/>
          <w:lang w:val="sl-SI" w:eastAsia="en-GB"/>
        </w:rPr>
        <w:t xml:space="preserve">se nanašajo na vsebine, ki vključujejo: ocene dejanskega stanja stavb in </w:t>
      </w:r>
      <w:r w:rsidR="002747F4">
        <w:rPr>
          <w:rFonts w:cs="TimesNewRomanPSMT"/>
          <w:szCs w:val="20"/>
          <w:lang w:val="sl-SI" w:eastAsia="en-GB"/>
        </w:rPr>
        <w:t>struktur</w:t>
      </w:r>
      <w:r w:rsidR="002747F4" w:rsidRPr="00275FBD">
        <w:rPr>
          <w:rFonts w:cs="TimesNewRomanPSMT"/>
          <w:szCs w:val="20"/>
          <w:lang w:val="sl-SI" w:eastAsia="en-GB"/>
        </w:rPr>
        <w:t xml:space="preserve"> </w:t>
      </w:r>
      <w:r w:rsidRPr="00275FBD">
        <w:rPr>
          <w:rFonts w:cs="TimesNewRomanPSMT"/>
          <w:szCs w:val="20"/>
          <w:lang w:val="sl-SI" w:eastAsia="en-GB"/>
        </w:rPr>
        <w:t xml:space="preserve">elektrarne; ocene okoljskih kvalifikacijskih zahtev kot tudi seizmičnih kvalifikacijskih zahtev; vrednotenja / analize DEC-sistemov in pogojev; ponovne ocene sistema delovnih nalogov; ponovne ocene radiološke varnosti glede na procese v elektrarni in okolje; ponovne ocene projektnih osnov ali funkcij in zaporedij DEC, vključno s funkcijo izolacije zadrževalnega hrama in scenarijem </w:t>
      </w:r>
      <w:r w:rsidR="002747F4">
        <w:rPr>
          <w:rFonts w:cs="TimesNewRomanPSMT"/>
          <w:szCs w:val="20"/>
          <w:lang w:val="sl-SI" w:eastAsia="en-GB"/>
        </w:rPr>
        <w:t>evakuacije</w:t>
      </w:r>
      <w:r w:rsidR="002747F4" w:rsidRPr="00275FBD">
        <w:rPr>
          <w:rFonts w:cs="TimesNewRomanPSMT"/>
          <w:szCs w:val="20"/>
          <w:lang w:val="sl-SI" w:eastAsia="en-GB"/>
        </w:rPr>
        <w:t xml:space="preserve"> </w:t>
      </w:r>
      <w:r w:rsidRPr="00275FBD">
        <w:rPr>
          <w:rFonts w:cs="TimesNewRomanPSMT"/>
          <w:szCs w:val="20"/>
          <w:lang w:val="sl-SI" w:eastAsia="en-GB"/>
        </w:rPr>
        <w:t>MCR; ponovna ocena požarnega tveganja; in izvajanje integriranega procesa odločanja z uporabo informacij o tveganjih.</w:t>
      </w:r>
    </w:p>
    <w:p w14:paraId="0B6DB416" w14:textId="5CB294A2" w:rsidR="0097044D" w:rsidRPr="00275FBD" w:rsidRDefault="0097044D" w:rsidP="00ED1A59">
      <w:pPr>
        <w:rPr>
          <w:rFonts w:cs="TimesNewRomanPSMT"/>
          <w:szCs w:val="20"/>
          <w:lang w:val="sl-SI" w:eastAsia="en-GB"/>
        </w:rPr>
      </w:pPr>
      <w:r w:rsidRPr="00275FBD">
        <w:rPr>
          <w:rFonts w:cs="TimesNewRomanPSMT"/>
          <w:szCs w:val="20"/>
          <w:lang w:val="sl-SI" w:eastAsia="en-GB"/>
        </w:rPr>
        <w:t xml:space="preserve">Z rangom </w:t>
      </w:r>
      <w:r w:rsidR="00DA1066" w:rsidRPr="00275FBD">
        <w:rPr>
          <w:rFonts w:cs="TimesNewRomanPSMT"/>
          <w:szCs w:val="20"/>
          <w:lang w:val="sl-SI" w:eastAsia="en-GB"/>
        </w:rPr>
        <w:t>»4«</w:t>
      </w:r>
      <w:r w:rsidRPr="00275FBD">
        <w:rPr>
          <w:rFonts w:cs="TimesNewRomanPSMT"/>
          <w:szCs w:val="20"/>
          <w:lang w:val="sl-SI" w:eastAsia="en-GB"/>
        </w:rPr>
        <w:t xml:space="preserve"> je bilo </w:t>
      </w:r>
      <w:r w:rsidR="002747F4">
        <w:rPr>
          <w:rFonts w:cs="TimesNewRomanPSMT"/>
          <w:szCs w:val="20"/>
          <w:lang w:val="sl-SI" w:eastAsia="en-GB"/>
        </w:rPr>
        <w:t xml:space="preserve">v IAP </w:t>
      </w:r>
      <w:r w:rsidRPr="00275FBD">
        <w:rPr>
          <w:rFonts w:cs="TimesNewRomanPSMT"/>
          <w:szCs w:val="20"/>
          <w:lang w:val="sl-SI" w:eastAsia="en-GB"/>
        </w:rPr>
        <w:t xml:space="preserve">uvrščenih tudi 16 </w:t>
      </w:r>
      <w:r w:rsidR="00BD5705" w:rsidRPr="00275FBD">
        <w:rPr>
          <w:rFonts w:cs="TimesNewRomanPSMT"/>
          <w:szCs w:val="20"/>
          <w:lang w:val="sl-SI" w:eastAsia="en-GB"/>
        </w:rPr>
        <w:t xml:space="preserve">najdb </w:t>
      </w:r>
      <w:r w:rsidRPr="00275FBD">
        <w:rPr>
          <w:rFonts w:cs="TimesNewRomanPSMT"/>
          <w:szCs w:val="20"/>
          <w:lang w:val="sl-SI" w:eastAsia="en-GB"/>
        </w:rPr>
        <w:t>iz kategorije "SF". (</w:t>
      </w:r>
      <w:r w:rsidR="00237606">
        <w:rPr>
          <w:rFonts w:cs="TimesNewRomanPSMT"/>
          <w:szCs w:val="20"/>
          <w:lang w:val="sl-SI" w:eastAsia="en-GB"/>
        </w:rPr>
        <w:t>To so</w:t>
      </w:r>
      <w:r w:rsidRPr="00275FBD">
        <w:rPr>
          <w:rFonts w:cs="TimesNewRomanPSMT"/>
          <w:szCs w:val="20"/>
          <w:lang w:val="sl-SI" w:eastAsia="en-GB"/>
        </w:rPr>
        <w:t xml:space="preserve"> </w:t>
      </w:r>
      <w:r w:rsidR="00F857B7" w:rsidRPr="00275FBD">
        <w:rPr>
          <w:rFonts w:cs="TimesNewRomanPSMT"/>
          <w:szCs w:val="20"/>
          <w:lang w:val="sl-SI" w:eastAsia="en-GB"/>
        </w:rPr>
        <w:t xml:space="preserve">najdbe </w:t>
      </w:r>
      <w:r w:rsidRPr="00275FBD">
        <w:rPr>
          <w:rFonts w:cs="TimesNewRomanPSMT"/>
          <w:szCs w:val="20"/>
          <w:lang w:val="sl-SI" w:eastAsia="en-GB"/>
        </w:rPr>
        <w:t xml:space="preserve">z nekaterimi </w:t>
      </w:r>
      <w:r w:rsidR="00237606">
        <w:rPr>
          <w:rFonts w:cs="TimesNewRomanPSMT"/>
          <w:szCs w:val="20"/>
          <w:lang w:val="sl-SI" w:eastAsia="en-GB"/>
        </w:rPr>
        <w:t>pomanjkljivostmi</w:t>
      </w:r>
      <w:r w:rsidR="00237606" w:rsidRPr="00275FBD">
        <w:rPr>
          <w:rFonts w:cs="TimesNewRomanPSMT"/>
          <w:szCs w:val="20"/>
          <w:lang w:val="sl-SI" w:eastAsia="en-GB"/>
        </w:rPr>
        <w:t xml:space="preserve"> </w:t>
      </w:r>
      <w:r w:rsidRPr="00275FBD">
        <w:rPr>
          <w:rFonts w:cs="TimesNewRomanPSMT"/>
          <w:szCs w:val="20"/>
          <w:lang w:val="sl-SI" w:eastAsia="en-GB"/>
        </w:rPr>
        <w:t xml:space="preserve">v operativnih varnostnih značilnostih ali pogostimi neuspehi pri izpolnjevanju operativnih varnostnih značilnosti.) </w:t>
      </w:r>
      <w:r w:rsidR="002747F4">
        <w:rPr>
          <w:rFonts w:cs="TimesNewRomanPSMT"/>
          <w:szCs w:val="20"/>
          <w:lang w:val="sl-SI" w:eastAsia="en-GB"/>
        </w:rPr>
        <w:t>Določene</w:t>
      </w:r>
      <w:r w:rsidR="002747F4" w:rsidRPr="00275FBD">
        <w:rPr>
          <w:rFonts w:cs="TimesNewRomanPSMT"/>
          <w:szCs w:val="20"/>
          <w:lang w:val="sl-SI" w:eastAsia="en-GB"/>
        </w:rPr>
        <w:t xml:space="preserve"> </w:t>
      </w:r>
      <w:r w:rsidR="00F857B7" w:rsidRPr="00275FBD">
        <w:rPr>
          <w:rFonts w:cs="TimesNewRomanPSMT"/>
          <w:szCs w:val="20"/>
          <w:lang w:val="sl-SI" w:eastAsia="en-GB"/>
        </w:rPr>
        <w:t xml:space="preserve">najdbe </w:t>
      </w:r>
      <w:r w:rsidRPr="00275FBD">
        <w:rPr>
          <w:rFonts w:cs="TimesNewRomanPSMT"/>
          <w:szCs w:val="20"/>
          <w:lang w:val="sl-SI" w:eastAsia="en-GB"/>
        </w:rPr>
        <w:t xml:space="preserve">se nanašajo na elemente OSF, ki vključujejo: postopek pregleda sprememb; postopke v elektrarni, vključno z zaščito pred sevanjem in drugimi poklicnimi nevarnostmi; varnostno kulturo; proces samoocenjevanja; ukrepi za pravočasno odkrivanje in vrednotenje dogodkov, ki bi lahko bili pomembni za varnost; in </w:t>
      </w:r>
      <w:r w:rsidR="002747F4">
        <w:rPr>
          <w:rFonts w:cs="TimesNewRomanPSMT"/>
          <w:szCs w:val="20"/>
          <w:lang w:val="sl-SI" w:eastAsia="en-GB"/>
        </w:rPr>
        <w:t>robust</w:t>
      </w:r>
      <w:r w:rsidR="002747F4" w:rsidRPr="00275FBD">
        <w:rPr>
          <w:rFonts w:cs="TimesNewRomanPSMT"/>
          <w:szCs w:val="20"/>
          <w:lang w:val="sl-SI" w:eastAsia="en-GB"/>
        </w:rPr>
        <w:t xml:space="preserve">nost </w:t>
      </w:r>
      <w:r w:rsidRPr="00275FBD">
        <w:rPr>
          <w:rFonts w:cs="TimesNewRomanPSMT"/>
          <w:szCs w:val="20"/>
          <w:lang w:val="sl-SI" w:eastAsia="en-GB"/>
        </w:rPr>
        <w:t>organizacijske strukture glede odgovornosti za varno delovanje.</w:t>
      </w:r>
    </w:p>
    <w:p w14:paraId="2298A20B" w14:textId="74D6F412" w:rsidR="00DA1066" w:rsidRPr="00275FBD" w:rsidRDefault="00DA1066" w:rsidP="00ED1A59">
      <w:pPr>
        <w:rPr>
          <w:rFonts w:cs="TimesNewRomanPSMT"/>
          <w:szCs w:val="20"/>
          <w:lang w:val="sl-SI" w:eastAsia="en-GB"/>
        </w:rPr>
      </w:pPr>
      <w:r w:rsidRPr="00275FBD">
        <w:rPr>
          <w:rFonts w:cs="TimesNewRomanPSMT"/>
          <w:szCs w:val="20"/>
          <w:lang w:val="sl-SI" w:eastAsia="en-GB"/>
        </w:rPr>
        <w:t>Za preostal</w:t>
      </w:r>
      <w:r w:rsidR="00F857B7" w:rsidRPr="00275FBD">
        <w:rPr>
          <w:rFonts w:cs="TimesNewRomanPSMT"/>
          <w:szCs w:val="20"/>
          <w:lang w:val="sl-SI" w:eastAsia="en-GB"/>
        </w:rPr>
        <w:t>e</w:t>
      </w:r>
      <w:r w:rsidRPr="00275FBD">
        <w:rPr>
          <w:rFonts w:cs="TimesNewRomanPSMT"/>
          <w:szCs w:val="20"/>
          <w:lang w:val="sl-SI" w:eastAsia="en-GB"/>
        </w:rPr>
        <w:t xml:space="preserve"> </w:t>
      </w:r>
      <w:r w:rsidR="00F857B7" w:rsidRPr="00275FBD">
        <w:rPr>
          <w:rFonts w:cs="TimesNewRomanPSMT"/>
          <w:szCs w:val="20"/>
          <w:lang w:val="sl-SI" w:eastAsia="en-GB"/>
        </w:rPr>
        <w:t xml:space="preserve">najdbe </w:t>
      </w:r>
      <w:r w:rsidRPr="00275FBD">
        <w:rPr>
          <w:rFonts w:cs="TimesNewRomanPSMT"/>
          <w:szCs w:val="20"/>
          <w:lang w:val="sl-SI" w:eastAsia="en-GB"/>
        </w:rPr>
        <w:t xml:space="preserve">je bilo ugotovljeno, da imajo primarni rang »3« ali </w:t>
      </w:r>
      <w:r w:rsidR="002747F4" w:rsidRPr="00275FBD">
        <w:rPr>
          <w:rFonts w:cs="TimesNewRomanPSMT"/>
          <w:szCs w:val="20"/>
          <w:lang w:val="sl-SI" w:eastAsia="en-GB"/>
        </w:rPr>
        <w:t>nižj</w:t>
      </w:r>
      <w:r w:rsidR="002747F4">
        <w:rPr>
          <w:rFonts w:cs="TimesNewRomanPSMT"/>
          <w:szCs w:val="20"/>
          <w:lang w:val="sl-SI" w:eastAsia="en-GB"/>
        </w:rPr>
        <w:t>i</w:t>
      </w:r>
      <w:r w:rsidRPr="00275FBD">
        <w:rPr>
          <w:rFonts w:cs="TimesNewRomanPSMT"/>
          <w:szCs w:val="20"/>
          <w:lang w:val="sl-SI" w:eastAsia="en-GB"/>
        </w:rPr>
        <w:t xml:space="preserve">. </w:t>
      </w:r>
      <w:r w:rsidR="00F857B7" w:rsidRPr="00275FBD">
        <w:rPr>
          <w:rFonts w:cs="TimesNewRomanPSMT"/>
          <w:szCs w:val="20"/>
          <w:lang w:val="sl-SI" w:eastAsia="en-GB"/>
        </w:rPr>
        <w:t>Najdbe</w:t>
      </w:r>
      <w:r w:rsidRPr="00275FBD">
        <w:rPr>
          <w:rFonts w:cs="TimesNewRomanPSMT"/>
          <w:szCs w:val="20"/>
          <w:lang w:val="sl-SI" w:eastAsia="en-GB"/>
        </w:rPr>
        <w:t xml:space="preserve"> ranga »3« z neposredno povezavo z jedrsko varnostjo (vrsta »DL«) veljajo za </w:t>
      </w:r>
      <w:r w:rsidR="003A476B" w:rsidRPr="00275FBD">
        <w:rPr>
          <w:rFonts w:cs="TimesNewRomanPSMT"/>
          <w:szCs w:val="20"/>
          <w:lang w:val="sl-SI" w:eastAsia="en-GB"/>
        </w:rPr>
        <w:t>najdbe</w:t>
      </w:r>
      <w:r w:rsidRPr="00275FBD">
        <w:rPr>
          <w:rFonts w:cs="TimesNewRomanPSMT"/>
          <w:szCs w:val="20"/>
          <w:lang w:val="sl-SI" w:eastAsia="en-GB"/>
        </w:rPr>
        <w:t>, omejen</w:t>
      </w:r>
      <w:r w:rsidR="003A476B" w:rsidRPr="00275FBD">
        <w:rPr>
          <w:rFonts w:cs="TimesNewRomanPSMT"/>
          <w:szCs w:val="20"/>
          <w:lang w:val="sl-SI" w:eastAsia="en-GB"/>
        </w:rPr>
        <w:t>e</w:t>
      </w:r>
      <w:r w:rsidRPr="00275FBD">
        <w:rPr>
          <w:rFonts w:cs="TimesNewRomanPSMT"/>
          <w:szCs w:val="20"/>
          <w:lang w:val="sl-SI" w:eastAsia="en-GB"/>
        </w:rPr>
        <w:t xml:space="preserve"> na raven sistema ali funkcije, s sprejemljivim tveganjem na ravni elektrarne in statusom </w:t>
      </w:r>
      <w:r w:rsidR="003A476B" w:rsidRPr="00275FBD">
        <w:rPr>
          <w:rFonts w:cs="TimesNewRomanPSMT"/>
          <w:szCs w:val="20"/>
          <w:lang w:val="sl-SI" w:eastAsia="en-GB"/>
        </w:rPr>
        <w:t xml:space="preserve">obrambe v </w:t>
      </w:r>
      <w:r w:rsidRPr="00275FBD">
        <w:rPr>
          <w:rFonts w:cs="TimesNewRomanPSMT"/>
          <w:szCs w:val="20"/>
          <w:lang w:val="sl-SI" w:eastAsia="en-GB"/>
        </w:rPr>
        <w:t>globin</w:t>
      </w:r>
      <w:r w:rsidR="003A476B" w:rsidRPr="00275FBD">
        <w:rPr>
          <w:rFonts w:cs="TimesNewRomanPSMT"/>
          <w:szCs w:val="20"/>
          <w:lang w:val="sl-SI" w:eastAsia="en-GB"/>
        </w:rPr>
        <w:t>o</w:t>
      </w:r>
      <w:r w:rsidRPr="00275FBD">
        <w:rPr>
          <w:rFonts w:cs="TimesNewRomanPSMT"/>
          <w:szCs w:val="20"/>
          <w:lang w:val="sl-SI" w:eastAsia="en-GB"/>
        </w:rPr>
        <w:t>. Določen</w:t>
      </w:r>
      <w:r w:rsidR="003A476B" w:rsidRPr="00275FBD">
        <w:rPr>
          <w:rFonts w:cs="TimesNewRomanPSMT"/>
          <w:szCs w:val="20"/>
          <w:lang w:val="sl-SI" w:eastAsia="en-GB"/>
        </w:rPr>
        <w:t>a</w:t>
      </w:r>
      <w:r w:rsidRPr="00275FBD">
        <w:rPr>
          <w:rFonts w:cs="TimesNewRomanPSMT"/>
          <w:szCs w:val="20"/>
          <w:lang w:val="sl-SI" w:eastAsia="en-GB"/>
        </w:rPr>
        <w:t xml:space="preserve"> </w:t>
      </w:r>
      <w:r w:rsidR="003A476B" w:rsidRPr="00275FBD">
        <w:rPr>
          <w:rFonts w:cs="TimesNewRomanPSMT"/>
          <w:szCs w:val="20"/>
          <w:lang w:val="sl-SI" w:eastAsia="en-GB"/>
        </w:rPr>
        <w:t>najdba</w:t>
      </w:r>
      <w:r w:rsidRPr="00275FBD">
        <w:rPr>
          <w:rFonts w:cs="TimesNewRomanPSMT"/>
          <w:szCs w:val="20"/>
          <w:lang w:val="sl-SI" w:eastAsia="en-GB"/>
        </w:rPr>
        <w:t xml:space="preserve"> ranga »3« lahko vpliva na posamezen varnostni sistem ali funkcijo, ki je vključena v zaporedje projektne nesreče (DB), vendar ne more vplivati ali poslabšati katere koli funkcije DB kot celote ali odziva elektrarne na </w:t>
      </w:r>
      <w:r w:rsidR="009B3344" w:rsidRPr="00275FBD">
        <w:rPr>
          <w:iCs/>
          <w:lang w:val="sl-SI"/>
        </w:rPr>
        <w:t>začetn</w:t>
      </w:r>
      <w:r w:rsidR="009B3344">
        <w:rPr>
          <w:iCs/>
          <w:lang w:val="sl-SI"/>
        </w:rPr>
        <w:t>i</w:t>
      </w:r>
      <w:r w:rsidR="009B3344" w:rsidRPr="00275FBD">
        <w:rPr>
          <w:iCs/>
          <w:lang w:val="sl-SI"/>
        </w:rPr>
        <w:t xml:space="preserve"> dogod</w:t>
      </w:r>
      <w:r w:rsidR="009B3344">
        <w:rPr>
          <w:iCs/>
          <w:lang w:val="sl-SI"/>
        </w:rPr>
        <w:t>e</w:t>
      </w:r>
      <w:r w:rsidR="009B3344" w:rsidRPr="00275FBD">
        <w:rPr>
          <w:iCs/>
          <w:lang w:val="sl-SI"/>
        </w:rPr>
        <w:t>k</w:t>
      </w:r>
      <w:r w:rsidR="00237606">
        <w:rPr>
          <w:iCs/>
          <w:lang w:val="sl-SI"/>
        </w:rPr>
        <w:t xml:space="preserve"> </w:t>
      </w:r>
      <w:r w:rsidRPr="00275FBD">
        <w:rPr>
          <w:rFonts w:cs="TimesNewRomanPSMT"/>
          <w:szCs w:val="20"/>
          <w:lang w:val="sl-SI" w:eastAsia="en-GB"/>
        </w:rPr>
        <w:t xml:space="preserve">znotraj DB. </w:t>
      </w:r>
      <w:r w:rsidR="00F857B7" w:rsidRPr="00275FBD">
        <w:rPr>
          <w:rFonts w:cs="TimesNewRomanPSMT"/>
          <w:szCs w:val="20"/>
          <w:lang w:val="sl-SI" w:eastAsia="en-GB"/>
        </w:rPr>
        <w:t>Najdbe</w:t>
      </w:r>
      <w:r w:rsidRPr="00275FBD">
        <w:rPr>
          <w:rFonts w:cs="TimesNewRomanPSMT"/>
          <w:szCs w:val="20"/>
          <w:lang w:val="sl-SI" w:eastAsia="en-GB"/>
        </w:rPr>
        <w:t xml:space="preserve"> </w:t>
      </w:r>
      <w:r w:rsidR="00997B22">
        <w:rPr>
          <w:lang w:val="sl-SI" w:eastAsia="en-GB"/>
        </w:rPr>
        <w:t>kategorije</w:t>
      </w:r>
      <w:r w:rsidRPr="00275FBD">
        <w:rPr>
          <w:rFonts w:cs="TimesNewRomanPSMT"/>
          <w:szCs w:val="20"/>
          <w:lang w:val="sl-SI" w:eastAsia="en-GB"/>
        </w:rPr>
        <w:t xml:space="preserve"> »RE« z rangom »3« se štejejo za </w:t>
      </w:r>
      <w:r w:rsidR="00F857B7" w:rsidRPr="00275FBD">
        <w:rPr>
          <w:rFonts w:cs="TimesNewRomanPSMT"/>
          <w:szCs w:val="20"/>
          <w:lang w:val="sl-SI" w:eastAsia="en-GB"/>
        </w:rPr>
        <w:t xml:space="preserve">najdbe </w:t>
      </w:r>
      <w:r w:rsidRPr="00275FBD">
        <w:rPr>
          <w:rFonts w:cs="TimesNewRomanPSMT"/>
          <w:szCs w:val="20"/>
          <w:lang w:val="sl-SI" w:eastAsia="en-GB"/>
        </w:rPr>
        <w:t xml:space="preserve">z verodostojno indikacijo nizkega tveganja ali </w:t>
      </w:r>
      <w:r w:rsidR="00A7693C">
        <w:rPr>
          <w:rFonts w:cs="TimesNewRomanPSMT"/>
          <w:szCs w:val="20"/>
          <w:lang w:val="sl-SI" w:eastAsia="en-GB"/>
        </w:rPr>
        <w:t>majhn</w:t>
      </w:r>
      <w:r w:rsidR="00A7693C" w:rsidRPr="00275FBD">
        <w:rPr>
          <w:rFonts w:cs="TimesNewRomanPSMT"/>
          <w:szCs w:val="20"/>
          <w:lang w:val="sl-SI" w:eastAsia="en-GB"/>
        </w:rPr>
        <w:t xml:space="preserve">e </w:t>
      </w:r>
      <w:r w:rsidRPr="00275FBD">
        <w:rPr>
          <w:rFonts w:cs="TimesNewRomanPSMT"/>
          <w:szCs w:val="20"/>
          <w:lang w:val="sl-SI" w:eastAsia="en-GB"/>
        </w:rPr>
        <w:t xml:space="preserve">degradacije DOD (z daljšo časovno </w:t>
      </w:r>
      <w:r w:rsidRPr="00275FBD">
        <w:rPr>
          <w:rFonts w:cs="TimesNewRomanPSMT"/>
          <w:szCs w:val="20"/>
          <w:lang w:val="sl-SI" w:eastAsia="en-GB"/>
        </w:rPr>
        <w:lastRenderedPageBreak/>
        <w:t xml:space="preserve">sprejemljivostjo), kar je mogoče potrditi s ponovno oceno varnosti; ali </w:t>
      </w:r>
      <w:r w:rsidR="00F857B7" w:rsidRPr="00275FBD">
        <w:rPr>
          <w:rFonts w:cs="TimesNewRomanPSMT"/>
          <w:szCs w:val="20"/>
          <w:lang w:val="sl-SI" w:eastAsia="en-GB"/>
        </w:rPr>
        <w:t xml:space="preserve">najdbe </w:t>
      </w:r>
      <w:r w:rsidRPr="00275FBD">
        <w:rPr>
          <w:rFonts w:cs="TimesNewRomanPSMT"/>
          <w:szCs w:val="20"/>
          <w:lang w:val="sl-SI" w:eastAsia="en-GB"/>
        </w:rPr>
        <w:t xml:space="preserve">z določenim neskladjem glede mednarodnih standardov za oceno jedrske varnosti. V primeru </w:t>
      </w:r>
      <w:r w:rsidR="00997B22">
        <w:rPr>
          <w:lang w:val="sl-SI" w:eastAsia="en-GB"/>
        </w:rPr>
        <w:t>kategorije</w:t>
      </w:r>
      <w:r w:rsidRPr="00275FBD">
        <w:rPr>
          <w:rFonts w:cs="TimesNewRomanPSMT"/>
          <w:szCs w:val="20"/>
          <w:lang w:val="sl-SI" w:eastAsia="en-GB"/>
        </w:rPr>
        <w:t xml:space="preserve"> »SF« je rang »3« dodeljen </w:t>
      </w:r>
      <w:r w:rsidR="003A476B" w:rsidRPr="00275FBD">
        <w:rPr>
          <w:rFonts w:cs="TimesNewRomanPSMT"/>
          <w:szCs w:val="20"/>
          <w:lang w:val="sl-SI" w:eastAsia="en-GB"/>
        </w:rPr>
        <w:t>najdbam</w:t>
      </w:r>
      <w:r w:rsidRPr="00275FBD">
        <w:rPr>
          <w:rFonts w:cs="TimesNewRomanPSMT"/>
          <w:szCs w:val="20"/>
          <w:lang w:val="sl-SI" w:eastAsia="en-GB"/>
        </w:rPr>
        <w:t xml:space="preserve"> z majhnimi pomanjkljivostmi / možnostmi izboljšav v funkcijah varnosti obratovanja ali </w:t>
      </w:r>
      <w:r w:rsidR="007240A7">
        <w:rPr>
          <w:rFonts w:cs="TimesNewRomanPSMT"/>
          <w:szCs w:val="20"/>
          <w:lang w:val="sl-SI" w:eastAsia="en-GB"/>
        </w:rPr>
        <w:t>neskladij v</w:t>
      </w:r>
      <w:r w:rsidRPr="00275FBD">
        <w:rPr>
          <w:rFonts w:cs="TimesNewRomanPSMT"/>
          <w:szCs w:val="20"/>
          <w:lang w:val="sl-SI" w:eastAsia="en-GB"/>
        </w:rPr>
        <w:t xml:space="preserve"> postopki.</w:t>
      </w:r>
    </w:p>
    <w:p w14:paraId="76252C75" w14:textId="7B158A97" w:rsidR="006960EC" w:rsidRPr="00275FBD" w:rsidRDefault="006960EC" w:rsidP="006960EC">
      <w:pPr>
        <w:rPr>
          <w:rFonts w:cs="TimesNewRomanPSMT"/>
          <w:szCs w:val="20"/>
          <w:lang w:val="sl-SI" w:eastAsia="en-GB"/>
        </w:rPr>
      </w:pPr>
      <w:r w:rsidRPr="00275FBD">
        <w:rPr>
          <w:rFonts w:cs="TimesNewRomanPSMT"/>
          <w:szCs w:val="20"/>
          <w:lang w:val="sl-SI" w:eastAsia="en-GB"/>
        </w:rPr>
        <w:t>Vs</w:t>
      </w:r>
      <w:r w:rsidR="003A476B" w:rsidRPr="00275FBD">
        <w:rPr>
          <w:rFonts w:cs="TimesNewRomanPSMT"/>
          <w:szCs w:val="20"/>
          <w:lang w:val="sl-SI" w:eastAsia="en-GB"/>
        </w:rPr>
        <w:t>e</w:t>
      </w:r>
      <w:r w:rsidRPr="00275FBD">
        <w:rPr>
          <w:rFonts w:cs="TimesNewRomanPSMT"/>
          <w:szCs w:val="20"/>
          <w:lang w:val="sl-SI" w:eastAsia="en-GB"/>
        </w:rPr>
        <w:t xml:space="preserve"> </w:t>
      </w:r>
      <w:r w:rsidR="003A476B" w:rsidRPr="00275FBD">
        <w:rPr>
          <w:rFonts w:cs="TimesNewRomanPSMT"/>
          <w:szCs w:val="20"/>
          <w:lang w:val="sl-SI" w:eastAsia="en-GB"/>
        </w:rPr>
        <w:t>najdbe</w:t>
      </w:r>
      <w:r w:rsidR="007158D5">
        <w:rPr>
          <w:rFonts w:cs="TimesNewRomanPSMT"/>
          <w:szCs w:val="20"/>
          <w:lang w:val="sl-SI" w:eastAsia="en-GB"/>
        </w:rPr>
        <w:t>,</w:t>
      </w:r>
      <w:r w:rsidR="003E5E6A">
        <w:rPr>
          <w:rFonts w:cs="TimesNewRomanPSMT"/>
          <w:szCs w:val="20"/>
          <w:lang w:val="sl-SI" w:eastAsia="en-GB"/>
        </w:rPr>
        <w:t xml:space="preserve"> </w:t>
      </w:r>
      <w:proofErr w:type="spellStart"/>
      <w:r w:rsidR="003E5E6A">
        <w:rPr>
          <w:rFonts w:cs="TimesNewRomanPSMT"/>
          <w:szCs w:val="20"/>
          <w:lang w:val="sl-SI" w:eastAsia="en-GB"/>
        </w:rPr>
        <w:t>rangirane</w:t>
      </w:r>
      <w:proofErr w:type="spellEnd"/>
      <w:r w:rsidRPr="00275FBD">
        <w:rPr>
          <w:rFonts w:cs="TimesNewRomanPSMT"/>
          <w:szCs w:val="20"/>
          <w:lang w:val="sl-SI" w:eastAsia="en-GB"/>
        </w:rPr>
        <w:t xml:space="preserve"> »4« ali </w:t>
      </w:r>
      <w:r w:rsidR="003E5E6A">
        <w:rPr>
          <w:rFonts w:cs="TimesNewRomanPSMT"/>
          <w:szCs w:val="20"/>
          <w:lang w:val="sl-SI" w:eastAsia="en-GB"/>
        </w:rPr>
        <w:t>več</w:t>
      </w:r>
      <w:r w:rsidR="007158D5">
        <w:rPr>
          <w:rFonts w:cs="TimesNewRomanPSMT"/>
          <w:szCs w:val="20"/>
          <w:lang w:val="sl-SI" w:eastAsia="en-GB"/>
        </w:rPr>
        <w:t>,</w:t>
      </w:r>
      <w:r w:rsidRPr="00275FBD">
        <w:rPr>
          <w:rFonts w:cs="TimesNewRomanPSMT"/>
          <w:szCs w:val="20"/>
          <w:lang w:val="sl-SI" w:eastAsia="en-GB"/>
        </w:rPr>
        <w:t xml:space="preserve"> ali </w:t>
      </w:r>
      <w:r w:rsidR="003E5E6A">
        <w:rPr>
          <w:rFonts w:cs="TimesNewRomanPSMT"/>
          <w:szCs w:val="20"/>
          <w:lang w:val="sl-SI" w:eastAsia="en-GB"/>
        </w:rPr>
        <w:t xml:space="preserve">tiste iz kategorije </w:t>
      </w:r>
      <w:r w:rsidRPr="00275FBD">
        <w:rPr>
          <w:rFonts w:cs="TimesNewRomanPSMT"/>
          <w:szCs w:val="20"/>
          <w:lang w:val="sl-SI" w:eastAsia="en-GB"/>
        </w:rPr>
        <w:t>"IRR"</w:t>
      </w:r>
      <w:r w:rsidR="003E5E6A">
        <w:rPr>
          <w:rFonts w:cs="TimesNewRomanPSMT"/>
          <w:szCs w:val="20"/>
          <w:lang w:val="sl-SI" w:eastAsia="en-GB"/>
        </w:rPr>
        <w:t xml:space="preserve"> so uvrščene</w:t>
      </w:r>
      <w:r w:rsidRPr="00275FBD">
        <w:rPr>
          <w:rFonts w:cs="TimesNewRomanPSMT"/>
          <w:szCs w:val="20"/>
          <w:lang w:val="sl-SI" w:eastAsia="en-GB"/>
        </w:rPr>
        <w:t xml:space="preserve"> neposredno v IAP. Za vse </w:t>
      </w:r>
      <w:r w:rsidR="003E5E6A">
        <w:rPr>
          <w:rFonts w:cs="TimesNewRomanPSMT"/>
          <w:szCs w:val="20"/>
          <w:lang w:val="sl-SI" w:eastAsia="en-GB"/>
        </w:rPr>
        <w:t>se določijo</w:t>
      </w:r>
      <w:r w:rsidRPr="00275FBD">
        <w:rPr>
          <w:rFonts w:cs="TimesNewRomanPSMT"/>
          <w:szCs w:val="20"/>
          <w:lang w:val="sl-SI" w:eastAsia="en-GB"/>
        </w:rPr>
        <w:t xml:space="preserve"> ustrezni korektivni ukrepi. (</w:t>
      </w:r>
      <w:r w:rsidR="003A476B" w:rsidRPr="00275FBD">
        <w:rPr>
          <w:rFonts w:cs="TimesNewRomanPSMT"/>
          <w:szCs w:val="20"/>
          <w:lang w:val="sl-SI" w:eastAsia="en-GB"/>
        </w:rPr>
        <w:t>Najdbe</w:t>
      </w:r>
      <w:r w:rsidR="003E5E6A">
        <w:rPr>
          <w:rFonts w:cs="TimesNewRomanPSMT"/>
          <w:szCs w:val="20"/>
          <w:lang w:val="sl-SI" w:eastAsia="en-GB"/>
        </w:rPr>
        <w:t xml:space="preserve"> iz</w:t>
      </w:r>
      <w:r w:rsidRPr="00275FBD">
        <w:rPr>
          <w:rFonts w:cs="TimesNewRomanPSMT"/>
          <w:szCs w:val="20"/>
          <w:lang w:val="sl-SI" w:eastAsia="en-GB"/>
        </w:rPr>
        <w:t xml:space="preserve"> »pred-SALTO« </w:t>
      </w:r>
      <w:r w:rsidR="003A476B" w:rsidRPr="00275FBD">
        <w:rPr>
          <w:rFonts w:cs="TimesNewRomanPSMT"/>
          <w:szCs w:val="20"/>
          <w:lang w:val="sl-SI" w:eastAsia="en-GB"/>
        </w:rPr>
        <w:t>s</w:t>
      </w:r>
      <w:r w:rsidR="003E5E6A">
        <w:rPr>
          <w:rFonts w:cs="TimesNewRomanPSMT"/>
          <w:szCs w:val="20"/>
          <w:lang w:val="sl-SI" w:eastAsia="en-GB"/>
        </w:rPr>
        <w:t>e</w:t>
      </w:r>
      <w:r w:rsidRPr="00275FBD">
        <w:rPr>
          <w:rFonts w:cs="TimesNewRomanPSMT"/>
          <w:szCs w:val="20"/>
          <w:lang w:val="sl-SI" w:eastAsia="en-GB"/>
        </w:rPr>
        <w:t xml:space="preserve"> </w:t>
      </w:r>
      <w:r w:rsidR="003E5E6A">
        <w:rPr>
          <w:rFonts w:cs="TimesNewRomanPSMT"/>
          <w:szCs w:val="20"/>
          <w:lang w:val="sl-SI" w:eastAsia="en-GB"/>
        </w:rPr>
        <w:t>izvajajo</w:t>
      </w:r>
      <w:r w:rsidRPr="00275FBD">
        <w:rPr>
          <w:rFonts w:cs="TimesNewRomanPSMT"/>
          <w:szCs w:val="20"/>
          <w:lang w:val="sl-SI" w:eastAsia="en-GB"/>
        </w:rPr>
        <w:t xml:space="preserve"> z ločenim akcijskim načrtom.) Poleg tega gredo vs</w:t>
      </w:r>
      <w:r w:rsidR="003A476B" w:rsidRPr="00275FBD">
        <w:rPr>
          <w:rFonts w:cs="TimesNewRomanPSMT"/>
          <w:szCs w:val="20"/>
          <w:lang w:val="sl-SI" w:eastAsia="en-GB"/>
        </w:rPr>
        <w:t>e</w:t>
      </w:r>
      <w:r w:rsidRPr="00275FBD">
        <w:rPr>
          <w:rFonts w:cs="TimesNewRomanPSMT"/>
          <w:szCs w:val="20"/>
          <w:lang w:val="sl-SI" w:eastAsia="en-GB"/>
        </w:rPr>
        <w:t xml:space="preserve"> </w:t>
      </w:r>
      <w:r w:rsidR="003A476B" w:rsidRPr="00275FBD">
        <w:rPr>
          <w:rFonts w:cs="TimesNewRomanPSMT"/>
          <w:szCs w:val="20"/>
          <w:lang w:val="sl-SI" w:eastAsia="en-GB"/>
        </w:rPr>
        <w:t>najdbe</w:t>
      </w:r>
      <w:r w:rsidRPr="00275FBD">
        <w:rPr>
          <w:rFonts w:cs="TimesNewRomanPSMT"/>
          <w:szCs w:val="20"/>
          <w:lang w:val="sl-SI" w:eastAsia="en-GB"/>
        </w:rPr>
        <w:t>, razvrščen</w:t>
      </w:r>
      <w:r w:rsidR="003A476B" w:rsidRPr="00275FBD">
        <w:rPr>
          <w:rFonts w:cs="TimesNewRomanPSMT"/>
          <w:szCs w:val="20"/>
          <w:lang w:val="sl-SI" w:eastAsia="en-GB"/>
        </w:rPr>
        <w:t>e</w:t>
      </w:r>
      <w:r w:rsidRPr="00275FBD">
        <w:rPr>
          <w:rFonts w:cs="TimesNewRomanPSMT"/>
          <w:szCs w:val="20"/>
          <w:lang w:val="sl-SI" w:eastAsia="en-GB"/>
        </w:rPr>
        <w:t xml:space="preserve"> kot »LE« (</w:t>
      </w:r>
      <w:r w:rsidR="00A7693C">
        <w:rPr>
          <w:rFonts w:cs="TimesNewRomanPSMT"/>
          <w:szCs w:val="20"/>
          <w:lang w:val="sl-SI" w:eastAsia="en-GB"/>
        </w:rPr>
        <w:t xml:space="preserve">izvedljive z </w:t>
      </w:r>
      <w:r w:rsidRPr="00275FBD">
        <w:rPr>
          <w:rFonts w:cs="TimesNewRomanPSMT"/>
          <w:szCs w:val="20"/>
          <w:lang w:val="sl-SI" w:eastAsia="en-GB"/>
        </w:rPr>
        <w:t>»majh</w:t>
      </w:r>
      <w:r w:rsidR="00A7693C">
        <w:rPr>
          <w:rFonts w:cs="TimesNewRomanPSMT"/>
          <w:szCs w:val="20"/>
          <w:lang w:val="sl-SI" w:eastAsia="en-GB"/>
        </w:rPr>
        <w:t>nim</w:t>
      </w:r>
      <w:r w:rsidRPr="00275FBD">
        <w:rPr>
          <w:rFonts w:cs="TimesNewRomanPSMT"/>
          <w:szCs w:val="20"/>
          <w:lang w:val="sl-SI" w:eastAsia="en-GB"/>
        </w:rPr>
        <w:t xml:space="preserve"> napor</w:t>
      </w:r>
      <w:r w:rsidR="00A7693C">
        <w:rPr>
          <w:rFonts w:cs="TimesNewRomanPSMT"/>
          <w:szCs w:val="20"/>
          <w:lang w:val="sl-SI" w:eastAsia="en-GB"/>
        </w:rPr>
        <w:t>om</w:t>
      </w:r>
      <w:r w:rsidRPr="00275FBD">
        <w:rPr>
          <w:rFonts w:cs="TimesNewRomanPSMT"/>
          <w:szCs w:val="20"/>
          <w:lang w:val="sl-SI" w:eastAsia="en-GB"/>
        </w:rPr>
        <w:t>«), neposredno v IAP</w:t>
      </w:r>
      <w:r w:rsidR="003E5E6A">
        <w:rPr>
          <w:rFonts w:cs="TimesNewRomanPSMT"/>
          <w:szCs w:val="20"/>
          <w:lang w:val="sl-SI" w:eastAsia="en-GB"/>
        </w:rPr>
        <w:t>.</w:t>
      </w:r>
    </w:p>
    <w:p w14:paraId="2B6B6B33" w14:textId="2ECDE927" w:rsidR="004D162E" w:rsidRPr="00275FBD" w:rsidRDefault="006960EC" w:rsidP="006960EC">
      <w:pPr>
        <w:rPr>
          <w:rFonts w:cs="TimesNewRomanPSMT"/>
          <w:szCs w:val="20"/>
          <w:lang w:val="sl-SI" w:eastAsia="en-GB"/>
        </w:rPr>
      </w:pPr>
      <w:r w:rsidRPr="00275FBD">
        <w:rPr>
          <w:rFonts w:cs="TimesNewRomanPSMT"/>
          <w:szCs w:val="20"/>
          <w:lang w:val="sl-SI" w:eastAsia="en-GB"/>
        </w:rPr>
        <w:t>Zaključke v zvezi s statusom elektrarne po pregledu in oceni PSR je mogoče povzeti, kot sledi:</w:t>
      </w:r>
    </w:p>
    <w:p w14:paraId="7F2E0C17" w14:textId="4F79A17D" w:rsidR="006960EC" w:rsidRPr="00275FBD" w:rsidRDefault="006960EC" w:rsidP="008724FF">
      <w:pPr>
        <w:pStyle w:val="Odstavekseznama"/>
        <w:numPr>
          <w:ilvl w:val="0"/>
          <w:numId w:val="40"/>
        </w:numPr>
        <w:ind w:left="714" w:hanging="357"/>
        <w:contextualSpacing w:val="0"/>
        <w:rPr>
          <w:rFonts w:cs="TimesNewRomanPSMT"/>
          <w:szCs w:val="20"/>
          <w:lang w:val="sl-SI" w:eastAsia="en-GB"/>
        </w:rPr>
      </w:pPr>
      <w:r w:rsidRPr="00275FBD">
        <w:rPr>
          <w:rFonts w:cs="TimesNewRomanPSMT"/>
          <w:szCs w:val="20"/>
          <w:lang w:val="sl-SI" w:eastAsia="en-GB"/>
        </w:rPr>
        <w:t>Stanje varnosti elektrarne v času PSR3 je bilo ocenjeno tako glede obrambe</w:t>
      </w:r>
      <w:r w:rsidR="009A45D8" w:rsidRPr="00275FBD">
        <w:rPr>
          <w:rFonts w:cs="TimesNewRomanPSMT"/>
          <w:szCs w:val="20"/>
          <w:lang w:val="sl-SI" w:eastAsia="en-GB"/>
        </w:rPr>
        <w:t xml:space="preserve"> v </w:t>
      </w:r>
      <w:r w:rsidR="009A45D8" w:rsidRPr="003E5E6A">
        <w:rPr>
          <w:rFonts w:cs="TimesNewRomanPSMT"/>
          <w:szCs w:val="20"/>
          <w:lang w:val="sl-SI" w:eastAsia="en-GB"/>
        </w:rPr>
        <w:t xml:space="preserve">globino </w:t>
      </w:r>
      <w:r w:rsidRPr="003E5E6A">
        <w:rPr>
          <w:rFonts w:cs="TimesNewRomanPSMT"/>
          <w:szCs w:val="20"/>
          <w:lang w:val="sl-SI" w:eastAsia="en-GB"/>
        </w:rPr>
        <w:t xml:space="preserve">kot tudi glede tveganja. Pri obeh je bilo ugotovljeno, da je </w:t>
      </w:r>
      <w:r w:rsidR="003E5E6A" w:rsidRPr="003E5E6A">
        <w:rPr>
          <w:rFonts w:cs="TimesNewRomanPSMT"/>
          <w:szCs w:val="20"/>
          <w:lang w:val="sl-SI" w:eastAsia="en-GB"/>
        </w:rPr>
        <w:t xml:space="preserve">elektrarna </w:t>
      </w:r>
      <w:r w:rsidRPr="003E5E6A">
        <w:rPr>
          <w:rFonts w:cs="TimesNewRomanPSMT"/>
          <w:szCs w:val="20"/>
          <w:lang w:val="sl-SI" w:eastAsia="en-GB"/>
        </w:rPr>
        <w:t>na</w:t>
      </w:r>
      <w:r w:rsidRPr="00275FBD">
        <w:rPr>
          <w:rFonts w:cs="TimesNewRomanPSMT"/>
          <w:szCs w:val="20"/>
          <w:lang w:val="sl-SI" w:eastAsia="en-GB"/>
        </w:rPr>
        <w:t xml:space="preserve"> splošno v skladu s sodobnimi standardi, kot so opredeljeni za namen ocene PSR. Glede na rezultate PSR2 je mogoče opaziti precejšnje izboljšave v obeh vidikih na račun </w:t>
      </w:r>
      <w:r w:rsidR="003E5E6A">
        <w:rPr>
          <w:rFonts w:cs="TimesNewRomanPSMT"/>
          <w:szCs w:val="20"/>
          <w:lang w:val="sl-SI" w:eastAsia="en-GB"/>
        </w:rPr>
        <w:t xml:space="preserve">izvedenih </w:t>
      </w:r>
      <w:r w:rsidRPr="00275FBD">
        <w:rPr>
          <w:rFonts w:cs="TimesNewRomanPSMT"/>
          <w:szCs w:val="20"/>
          <w:lang w:val="sl-SI" w:eastAsia="en-GB"/>
        </w:rPr>
        <w:t>varnostnih nadgradenj in izboljšav elektrarne.</w:t>
      </w:r>
    </w:p>
    <w:p w14:paraId="2492C378" w14:textId="08351D58" w:rsidR="006960EC" w:rsidRPr="00275FBD" w:rsidRDefault="006960EC" w:rsidP="008724FF">
      <w:pPr>
        <w:pStyle w:val="Odstavekseznama"/>
        <w:numPr>
          <w:ilvl w:val="0"/>
          <w:numId w:val="40"/>
        </w:numPr>
        <w:ind w:left="714" w:hanging="357"/>
        <w:contextualSpacing w:val="0"/>
        <w:rPr>
          <w:rFonts w:cs="TimesNewRomanPSMT"/>
          <w:szCs w:val="20"/>
          <w:lang w:val="sl-SI" w:eastAsia="en-GB"/>
        </w:rPr>
      </w:pPr>
      <w:r w:rsidRPr="00275FBD">
        <w:rPr>
          <w:rFonts w:cs="TimesNewRomanPSMT"/>
          <w:szCs w:val="20"/>
          <w:lang w:val="sl-SI" w:eastAsia="en-GB"/>
        </w:rPr>
        <w:t xml:space="preserve">Faza pregleda PSR3 ni odkrila nobene </w:t>
      </w:r>
      <w:r w:rsidR="00F857B7" w:rsidRPr="00275FBD">
        <w:rPr>
          <w:rFonts w:cs="TimesNewRomanPSMT"/>
          <w:szCs w:val="20"/>
          <w:lang w:val="sl-SI" w:eastAsia="en-GB"/>
        </w:rPr>
        <w:t xml:space="preserve">najdbe </w:t>
      </w:r>
      <w:r w:rsidRPr="00275FBD">
        <w:rPr>
          <w:rFonts w:cs="TimesNewRomanPSMT"/>
          <w:szCs w:val="20"/>
          <w:lang w:val="sl-SI" w:eastAsia="en-GB"/>
        </w:rPr>
        <w:t>z visokim tveganjem ali z nesprejemljivim poslabšanjem obrambe</w:t>
      </w:r>
      <w:r w:rsidR="00986E72" w:rsidRPr="000D7D8A">
        <w:rPr>
          <w:lang w:val="sl-SI"/>
        </w:rPr>
        <w:t xml:space="preserve"> </w:t>
      </w:r>
      <w:r w:rsidR="00986E72" w:rsidRPr="00986E72">
        <w:rPr>
          <w:rFonts w:cs="TimesNewRomanPSMT"/>
          <w:szCs w:val="20"/>
          <w:lang w:val="sl-SI" w:eastAsia="en-GB"/>
        </w:rPr>
        <w:t>v globino</w:t>
      </w:r>
      <w:r w:rsidRPr="00275FBD">
        <w:rPr>
          <w:rFonts w:cs="TimesNewRomanPSMT"/>
          <w:szCs w:val="20"/>
          <w:lang w:val="sl-SI" w:eastAsia="en-GB"/>
        </w:rPr>
        <w:t>.</w:t>
      </w:r>
    </w:p>
    <w:p w14:paraId="3A2913A3" w14:textId="2C1A804A" w:rsidR="006960EC" w:rsidRPr="00275FBD" w:rsidRDefault="006960EC" w:rsidP="008724FF">
      <w:pPr>
        <w:pStyle w:val="Odstavekseznama"/>
        <w:numPr>
          <w:ilvl w:val="0"/>
          <w:numId w:val="40"/>
        </w:numPr>
        <w:ind w:left="714" w:hanging="357"/>
        <w:contextualSpacing w:val="0"/>
        <w:rPr>
          <w:rFonts w:cs="TimesNewRomanPSMT"/>
          <w:szCs w:val="20"/>
          <w:lang w:val="sl-SI" w:eastAsia="en-GB"/>
        </w:rPr>
      </w:pPr>
      <w:r w:rsidRPr="00275FBD">
        <w:rPr>
          <w:rFonts w:cs="TimesNewRomanPSMT"/>
          <w:szCs w:val="20"/>
          <w:lang w:val="sl-SI" w:eastAsia="en-GB"/>
        </w:rPr>
        <w:t>Ugotovljen</w:t>
      </w:r>
      <w:r w:rsidR="00F857B7" w:rsidRPr="00275FBD">
        <w:rPr>
          <w:rFonts w:cs="TimesNewRomanPSMT"/>
          <w:szCs w:val="20"/>
          <w:lang w:val="sl-SI" w:eastAsia="en-GB"/>
        </w:rPr>
        <w:t>e</w:t>
      </w:r>
      <w:r w:rsidRPr="00275FBD">
        <w:rPr>
          <w:rFonts w:cs="TimesNewRomanPSMT"/>
          <w:szCs w:val="20"/>
          <w:lang w:val="sl-SI" w:eastAsia="en-GB"/>
        </w:rPr>
        <w:t xml:space="preserve"> so bil</w:t>
      </w:r>
      <w:r w:rsidR="00F857B7" w:rsidRPr="00275FBD">
        <w:rPr>
          <w:rFonts w:cs="TimesNewRomanPSMT"/>
          <w:szCs w:val="20"/>
          <w:lang w:val="sl-SI" w:eastAsia="en-GB"/>
        </w:rPr>
        <w:t>e</w:t>
      </w:r>
      <w:r w:rsidRPr="00275FBD">
        <w:rPr>
          <w:rFonts w:cs="TimesNewRomanPSMT"/>
          <w:szCs w:val="20"/>
          <w:lang w:val="sl-SI" w:eastAsia="en-GB"/>
        </w:rPr>
        <w:t xml:space="preserve"> tri </w:t>
      </w:r>
      <w:r w:rsidR="00F857B7" w:rsidRPr="00275FBD">
        <w:rPr>
          <w:rFonts w:cs="TimesNewRomanPSMT"/>
          <w:szCs w:val="20"/>
          <w:lang w:val="sl-SI" w:eastAsia="en-GB"/>
        </w:rPr>
        <w:t xml:space="preserve">najdbe </w:t>
      </w:r>
      <w:r w:rsidRPr="00275FBD">
        <w:rPr>
          <w:rFonts w:cs="TimesNewRomanPSMT"/>
          <w:szCs w:val="20"/>
          <w:lang w:val="sl-SI" w:eastAsia="en-GB"/>
        </w:rPr>
        <w:t xml:space="preserve">s potencialnim vplivom na varnost, ki jih je mogoče tolerirati omejen čas. </w:t>
      </w:r>
      <w:r w:rsidR="003E5E6A">
        <w:rPr>
          <w:rFonts w:cs="TimesNewRomanPSMT"/>
          <w:szCs w:val="20"/>
          <w:lang w:val="sl-SI" w:eastAsia="en-GB"/>
        </w:rPr>
        <w:t>Določe</w:t>
      </w:r>
      <w:r w:rsidR="003E5E6A" w:rsidRPr="00275FBD">
        <w:rPr>
          <w:rFonts w:cs="TimesNewRomanPSMT"/>
          <w:szCs w:val="20"/>
          <w:lang w:val="sl-SI" w:eastAsia="en-GB"/>
        </w:rPr>
        <w:t xml:space="preserve">nih </w:t>
      </w:r>
      <w:r w:rsidRPr="00275FBD">
        <w:rPr>
          <w:rFonts w:cs="TimesNewRomanPSMT"/>
          <w:szCs w:val="20"/>
          <w:lang w:val="sl-SI" w:eastAsia="en-GB"/>
        </w:rPr>
        <w:t xml:space="preserve">je bilo 30 </w:t>
      </w:r>
      <w:r w:rsidR="00BD5705" w:rsidRPr="00275FBD">
        <w:rPr>
          <w:rFonts w:cs="TimesNewRomanPSMT"/>
          <w:szCs w:val="20"/>
          <w:lang w:val="sl-SI" w:eastAsia="en-GB"/>
        </w:rPr>
        <w:t>najdb</w:t>
      </w:r>
      <w:r w:rsidR="003E5E6A">
        <w:rPr>
          <w:rFonts w:cs="TimesNewRomanPSMT"/>
          <w:szCs w:val="20"/>
          <w:lang w:val="sl-SI" w:eastAsia="en-GB"/>
        </w:rPr>
        <w:t xml:space="preserve"> za</w:t>
      </w:r>
      <w:r w:rsidRPr="00275FBD">
        <w:rPr>
          <w:rFonts w:cs="TimesNewRomanPSMT"/>
          <w:szCs w:val="20"/>
          <w:lang w:val="sl-SI" w:eastAsia="en-GB"/>
        </w:rPr>
        <w:t xml:space="preserve"> </w:t>
      </w:r>
      <w:r w:rsidR="003E5E6A" w:rsidRPr="00275FBD">
        <w:rPr>
          <w:rFonts w:cs="TimesNewRomanPSMT"/>
          <w:szCs w:val="20"/>
          <w:lang w:val="sl-SI" w:eastAsia="en-GB"/>
        </w:rPr>
        <w:t>ponovn</w:t>
      </w:r>
      <w:r w:rsidR="003E5E6A">
        <w:rPr>
          <w:rFonts w:cs="TimesNewRomanPSMT"/>
          <w:szCs w:val="20"/>
          <w:lang w:val="sl-SI" w:eastAsia="en-GB"/>
        </w:rPr>
        <w:t>o</w:t>
      </w:r>
      <w:r w:rsidR="003E5E6A" w:rsidRPr="00275FBD">
        <w:rPr>
          <w:rFonts w:cs="TimesNewRomanPSMT"/>
          <w:szCs w:val="20"/>
          <w:lang w:val="sl-SI" w:eastAsia="en-GB"/>
        </w:rPr>
        <w:t xml:space="preserve"> ovrednotenj</w:t>
      </w:r>
      <w:r w:rsidR="003E5E6A">
        <w:rPr>
          <w:rFonts w:cs="TimesNewRomanPSMT"/>
          <w:szCs w:val="20"/>
          <w:lang w:val="sl-SI" w:eastAsia="en-GB"/>
        </w:rPr>
        <w:t>e</w:t>
      </w:r>
      <w:r w:rsidR="003E5E6A" w:rsidRPr="00275FBD">
        <w:rPr>
          <w:rFonts w:cs="TimesNewRomanPSMT"/>
          <w:szCs w:val="20"/>
          <w:lang w:val="sl-SI" w:eastAsia="en-GB"/>
        </w:rPr>
        <w:t xml:space="preserve"> </w:t>
      </w:r>
      <w:r w:rsidRPr="00275FBD">
        <w:rPr>
          <w:rFonts w:cs="TimesNewRomanPSMT"/>
          <w:szCs w:val="20"/>
          <w:lang w:val="sl-SI" w:eastAsia="en-GB"/>
        </w:rPr>
        <w:t xml:space="preserve">ali </w:t>
      </w:r>
      <w:r w:rsidR="003E5E6A" w:rsidRPr="00275FBD">
        <w:rPr>
          <w:rFonts w:cs="TimesNewRomanPSMT"/>
          <w:szCs w:val="20"/>
          <w:lang w:val="sl-SI" w:eastAsia="en-GB"/>
        </w:rPr>
        <w:t>ponovn</w:t>
      </w:r>
      <w:r w:rsidR="003E5E6A">
        <w:rPr>
          <w:rFonts w:cs="TimesNewRomanPSMT"/>
          <w:szCs w:val="20"/>
          <w:lang w:val="sl-SI" w:eastAsia="en-GB"/>
        </w:rPr>
        <w:t>o</w:t>
      </w:r>
      <w:r w:rsidR="003E5E6A" w:rsidRPr="00275FBD">
        <w:rPr>
          <w:rFonts w:cs="TimesNewRomanPSMT"/>
          <w:szCs w:val="20"/>
          <w:lang w:val="sl-SI" w:eastAsia="en-GB"/>
        </w:rPr>
        <w:t xml:space="preserve"> ocen</w:t>
      </w:r>
      <w:r w:rsidR="003E5E6A">
        <w:rPr>
          <w:rFonts w:cs="TimesNewRomanPSMT"/>
          <w:szCs w:val="20"/>
          <w:lang w:val="sl-SI" w:eastAsia="en-GB"/>
        </w:rPr>
        <w:t>o</w:t>
      </w:r>
      <w:r w:rsidR="003E5E6A" w:rsidRPr="00275FBD">
        <w:rPr>
          <w:rFonts w:cs="TimesNewRomanPSMT"/>
          <w:szCs w:val="20"/>
          <w:lang w:val="sl-SI" w:eastAsia="en-GB"/>
        </w:rPr>
        <w:t xml:space="preserve"> </w:t>
      </w:r>
      <w:r w:rsidRPr="00275FBD">
        <w:rPr>
          <w:rFonts w:cs="TimesNewRomanPSMT"/>
          <w:szCs w:val="20"/>
          <w:lang w:val="sl-SI" w:eastAsia="en-GB"/>
        </w:rPr>
        <w:t xml:space="preserve">jedrske varnosti s časovno omejeno sprejemljivostjo. Ugotovljenih je bilo 16 </w:t>
      </w:r>
      <w:r w:rsidR="00BD5705" w:rsidRPr="00275FBD">
        <w:rPr>
          <w:rFonts w:cs="TimesNewRomanPSMT"/>
          <w:szCs w:val="20"/>
          <w:lang w:val="sl-SI" w:eastAsia="en-GB"/>
        </w:rPr>
        <w:t>najdb,</w:t>
      </w:r>
      <w:r w:rsidRPr="00275FBD">
        <w:rPr>
          <w:rFonts w:cs="TimesNewRomanPSMT"/>
          <w:szCs w:val="20"/>
          <w:lang w:val="sl-SI" w:eastAsia="en-GB"/>
        </w:rPr>
        <w:t xml:space="preserve"> ki se nanašajo na </w:t>
      </w:r>
      <w:r w:rsidR="003E5E6A">
        <w:rPr>
          <w:rFonts w:cs="TimesNewRomanPSMT"/>
          <w:szCs w:val="20"/>
          <w:lang w:val="sl-SI" w:eastAsia="en-GB"/>
        </w:rPr>
        <w:t>pomanjkljivosti</w:t>
      </w:r>
      <w:r w:rsidR="003E5E6A" w:rsidRPr="00275FBD">
        <w:rPr>
          <w:rFonts w:cs="TimesNewRomanPSMT"/>
          <w:szCs w:val="20"/>
          <w:lang w:val="sl-SI" w:eastAsia="en-GB"/>
        </w:rPr>
        <w:t xml:space="preserve"> </w:t>
      </w:r>
      <w:r w:rsidRPr="00275FBD">
        <w:rPr>
          <w:rFonts w:cs="TimesNewRomanPSMT"/>
          <w:szCs w:val="20"/>
          <w:lang w:val="sl-SI" w:eastAsia="en-GB"/>
        </w:rPr>
        <w:t>v zagotavljanju obratovalne varnosti, ki jih je potrebno pravočasno odpraviti.</w:t>
      </w:r>
    </w:p>
    <w:p w14:paraId="5CE35C91" w14:textId="0FB86244" w:rsidR="009D4464" w:rsidRPr="00275FBD" w:rsidRDefault="009D4464" w:rsidP="008724FF">
      <w:pPr>
        <w:pStyle w:val="Odstavekseznama"/>
        <w:numPr>
          <w:ilvl w:val="0"/>
          <w:numId w:val="40"/>
        </w:numPr>
        <w:ind w:left="714" w:hanging="357"/>
        <w:contextualSpacing w:val="0"/>
        <w:rPr>
          <w:rFonts w:cs="TimesNewRomanPSMT"/>
          <w:szCs w:val="20"/>
          <w:lang w:val="sl-SI" w:eastAsia="en-GB"/>
        </w:rPr>
      </w:pPr>
      <w:r w:rsidRPr="00275FBD">
        <w:rPr>
          <w:rFonts w:cs="TimesNewRomanPSMT"/>
          <w:szCs w:val="20"/>
          <w:lang w:val="sl-SI" w:eastAsia="en-GB"/>
        </w:rPr>
        <w:t xml:space="preserve">Dodatno je bilo na podlagi dogovora med NEK in URSJV </w:t>
      </w:r>
      <w:r w:rsidR="00B20813">
        <w:rPr>
          <w:rFonts w:cs="TimesNewRomanPSMT"/>
          <w:szCs w:val="20"/>
          <w:lang w:val="sl-SI" w:eastAsia="en-GB"/>
        </w:rPr>
        <w:t>določ</w:t>
      </w:r>
      <w:r w:rsidR="00B20813" w:rsidRPr="00275FBD">
        <w:rPr>
          <w:rFonts w:cs="TimesNewRomanPSMT"/>
          <w:szCs w:val="20"/>
          <w:lang w:val="sl-SI" w:eastAsia="en-GB"/>
        </w:rPr>
        <w:t xml:space="preserve">enih </w:t>
      </w:r>
      <w:r w:rsidRPr="00275FBD">
        <w:rPr>
          <w:rFonts w:cs="TimesNewRomanPSMT"/>
          <w:szCs w:val="20"/>
          <w:lang w:val="sl-SI" w:eastAsia="en-GB"/>
        </w:rPr>
        <w:t xml:space="preserve">15 </w:t>
      </w:r>
      <w:r w:rsidR="00BD5705" w:rsidRPr="00275FBD">
        <w:rPr>
          <w:rFonts w:cs="TimesNewRomanPSMT"/>
          <w:szCs w:val="20"/>
          <w:lang w:val="sl-SI" w:eastAsia="en-GB"/>
        </w:rPr>
        <w:t xml:space="preserve">najdb </w:t>
      </w:r>
      <w:r w:rsidRPr="00275FBD">
        <w:rPr>
          <w:rFonts w:cs="TimesNewRomanPSMT"/>
          <w:szCs w:val="20"/>
          <w:lang w:val="sl-SI" w:eastAsia="en-GB"/>
        </w:rPr>
        <w:t xml:space="preserve">za neposreden vnos v IAP, večina od njih je tako imenovanih »pred-SALTO« </w:t>
      </w:r>
      <w:r w:rsidR="00BD5705" w:rsidRPr="00275FBD">
        <w:rPr>
          <w:rFonts w:cs="TimesNewRomanPSMT"/>
          <w:szCs w:val="20"/>
          <w:lang w:val="sl-SI" w:eastAsia="en-GB"/>
        </w:rPr>
        <w:t>najdb.</w:t>
      </w:r>
    </w:p>
    <w:p w14:paraId="19630A55" w14:textId="302AE68B" w:rsidR="009D4464" w:rsidRPr="00275FBD" w:rsidRDefault="009D4464" w:rsidP="008724FF">
      <w:pPr>
        <w:pStyle w:val="Odstavekseznama"/>
        <w:numPr>
          <w:ilvl w:val="0"/>
          <w:numId w:val="40"/>
        </w:numPr>
        <w:ind w:left="714" w:hanging="357"/>
        <w:contextualSpacing w:val="0"/>
        <w:rPr>
          <w:rFonts w:cs="TimesNewRomanPSMT"/>
          <w:szCs w:val="20"/>
          <w:lang w:val="sl-SI" w:eastAsia="en-GB"/>
        </w:rPr>
      </w:pPr>
      <w:r w:rsidRPr="00275FBD">
        <w:rPr>
          <w:rFonts w:cs="TimesNewRomanPSMT"/>
          <w:szCs w:val="20"/>
          <w:lang w:val="sl-SI" w:eastAsia="en-GB"/>
        </w:rPr>
        <w:t>Vs</w:t>
      </w:r>
      <w:r w:rsidR="00F857B7" w:rsidRPr="00275FBD">
        <w:rPr>
          <w:rFonts w:cs="TimesNewRomanPSMT"/>
          <w:szCs w:val="20"/>
          <w:lang w:val="sl-SI" w:eastAsia="en-GB"/>
        </w:rPr>
        <w:t>e</w:t>
      </w:r>
      <w:r w:rsidRPr="00275FBD">
        <w:rPr>
          <w:rFonts w:cs="TimesNewRomanPSMT"/>
          <w:szCs w:val="20"/>
          <w:lang w:val="sl-SI" w:eastAsia="en-GB"/>
        </w:rPr>
        <w:t xml:space="preserve"> t</w:t>
      </w:r>
      <w:r w:rsidR="00F857B7" w:rsidRPr="00275FBD">
        <w:rPr>
          <w:rFonts w:cs="TimesNewRomanPSMT"/>
          <w:szCs w:val="20"/>
          <w:lang w:val="sl-SI" w:eastAsia="en-GB"/>
        </w:rPr>
        <w:t>e</w:t>
      </w:r>
      <w:r w:rsidRPr="00275FBD">
        <w:rPr>
          <w:rFonts w:cs="TimesNewRomanPSMT"/>
          <w:szCs w:val="20"/>
          <w:lang w:val="sl-SI" w:eastAsia="en-GB"/>
        </w:rPr>
        <w:t xml:space="preserve"> </w:t>
      </w:r>
      <w:r w:rsidR="00F857B7" w:rsidRPr="00275FBD">
        <w:rPr>
          <w:rFonts w:cs="TimesNewRomanPSMT"/>
          <w:szCs w:val="20"/>
          <w:lang w:val="sl-SI" w:eastAsia="en-GB"/>
        </w:rPr>
        <w:t xml:space="preserve">najdbe </w:t>
      </w:r>
      <w:r w:rsidRPr="00275FBD">
        <w:rPr>
          <w:rFonts w:cs="TimesNewRomanPSMT"/>
          <w:szCs w:val="20"/>
          <w:lang w:val="sl-SI" w:eastAsia="en-GB"/>
        </w:rPr>
        <w:t>so bil</w:t>
      </w:r>
      <w:r w:rsidR="00986E72">
        <w:rPr>
          <w:rFonts w:cs="TimesNewRomanPSMT"/>
          <w:szCs w:val="20"/>
          <w:lang w:val="sl-SI" w:eastAsia="en-GB"/>
        </w:rPr>
        <w:t>e</w:t>
      </w:r>
      <w:r w:rsidRPr="00275FBD">
        <w:rPr>
          <w:rFonts w:cs="TimesNewRomanPSMT"/>
          <w:szCs w:val="20"/>
          <w:lang w:val="sl-SI" w:eastAsia="en-GB"/>
        </w:rPr>
        <w:t xml:space="preserve"> vključen</w:t>
      </w:r>
      <w:r w:rsidR="00986E72">
        <w:rPr>
          <w:rFonts w:cs="TimesNewRomanPSMT"/>
          <w:szCs w:val="20"/>
          <w:lang w:val="sl-SI" w:eastAsia="en-GB"/>
        </w:rPr>
        <w:t>e</w:t>
      </w:r>
      <w:r w:rsidRPr="00275FBD">
        <w:rPr>
          <w:rFonts w:cs="TimesNewRomanPSMT"/>
          <w:szCs w:val="20"/>
          <w:lang w:val="sl-SI" w:eastAsia="en-GB"/>
        </w:rPr>
        <w:t xml:space="preserve"> v IAP. Vpisan</w:t>
      </w:r>
      <w:r w:rsidR="00986E72">
        <w:rPr>
          <w:rFonts w:cs="TimesNewRomanPSMT"/>
          <w:szCs w:val="20"/>
          <w:lang w:val="sl-SI" w:eastAsia="en-GB"/>
        </w:rPr>
        <w:t>e</w:t>
      </w:r>
      <w:r w:rsidRPr="00275FBD">
        <w:rPr>
          <w:rFonts w:cs="TimesNewRomanPSMT"/>
          <w:szCs w:val="20"/>
          <w:lang w:val="sl-SI" w:eastAsia="en-GB"/>
        </w:rPr>
        <w:t xml:space="preserve"> bodo v NEK CAP in spremljano </w:t>
      </w:r>
      <w:r w:rsidR="003E5E6A">
        <w:rPr>
          <w:rFonts w:cs="TimesNewRomanPSMT"/>
          <w:szCs w:val="20"/>
          <w:lang w:val="sl-SI" w:eastAsia="en-GB"/>
        </w:rPr>
        <w:t xml:space="preserve">bo </w:t>
      </w:r>
      <w:r w:rsidRPr="00275FBD">
        <w:rPr>
          <w:rFonts w:cs="TimesNewRomanPSMT"/>
          <w:szCs w:val="20"/>
          <w:lang w:val="sl-SI" w:eastAsia="en-GB"/>
        </w:rPr>
        <w:t xml:space="preserve">njihovo pravočasno reševanje. Rešitev večine </w:t>
      </w:r>
      <w:r w:rsidR="00BD5705" w:rsidRPr="00275FBD">
        <w:rPr>
          <w:rFonts w:cs="TimesNewRomanPSMT"/>
          <w:szCs w:val="20"/>
          <w:lang w:val="sl-SI" w:eastAsia="en-GB"/>
        </w:rPr>
        <w:t xml:space="preserve">najdb </w:t>
      </w:r>
      <w:r w:rsidRPr="00275FBD">
        <w:rPr>
          <w:rFonts w:cs="TimesNewRomanPSMT"/>
          <w:szCs w:val="20"/>
          <w:lang w:val="sl-SI" w:eastAsia="en-GB"/>
        </w:rPr>
        <w:t xml:space="preserve">je predvidena v roku treh let. Za več </w:t>
      </w:r>
      <w:r w:rsidR="00BD5705" w:rsidRPr="00275FBD">
        <w:rPr>
          <w:rFonts w:cs="TimesNewRomanPSMT"/>
          <w:szCs w:val="20"/>
          <w:lang w:val="sl-SI" w:eastAsia="en-GB"/>
        </w:rPr>
        <w:t>najdb,</w:t>
      </w:r>
      <w:r w:rsidRPr="00275FBD">
        <w:rPr>
          <w:rFonts w:cs="TimesNewRomanPSMT"/>
          <w:szCs w:val="20"/>
          <w:lang w:val="sl-SI" w:eastAsia="en-GB"/>
        </w:rPr>
        <w:t xml:space="preserve"> ki nimajo neposrednega vpliva na jedrsko varnost, je predvideno reševanje v roku petih let. </w:t>
      </w:r>
      <w:r w:rsidR="00F857B7" w:rsidRPr="00275FBD">
        <w:rPr>
          <w:rFonts w:cs="TimesNewRomanPSMT"/>
          <w:szCs w:val="20"/>
          <w:lang w:val="sl-SI" w:eastAsia="en-GB"/>
        </w:rPr>
        <w:t>Najdbe</w:t>
      </w:r>
      <w:r w:rsidRPr="00275FBD">
        <w:rPr>
          <w:rFonts w:cs="TimesNewRomanPSMT"/>
          <w:szCs w:val="20"/>
          <w:lang w:val="sl-SI" w:eastAsia="en-GB"/>
        </w:rPr>
        <w:t xml:space="preserve"> </w:t>
      </w:r>
      <w:r w:rsidR="003E5E6A">
        <w:rPr>
          <w:rFonts w:cs="TimesNewRomanPSMT"/>
          <w:szCs w:val="20"/>
          <w:lang w:val="sl-SI" w:eastAsia="en-GB"/>
        </w:rPr>
        <w:t>iz skupine</w:t>
      </w:r>
      <w:r w:rsidRPr="00275FBD">
        <w:rPr>
          <w:rFonts w:cs="TimesNewRomanPSMT"/>
          <w:szCs w:val="20"/>
          <w:lang w:val="sl-SI" w:eastAsia="en-GB"/>
        </w:rPr>
        <w:t xml:space="preserve"> </w:t>
      </w:r>
      <w:r w:rsidR="003E5E6A">
        <w:rPr>
          <w:rFonts w:cs="TimesNewRomanPSMT"/>
          <w:szCs w:val="20"/>
          <w:lang w:val="sl-SI" w:eastAsia="en-GB"/>
        </w:rPr>
        <w:t>»pred-</w:t>
      </w:r>
      <w:r w:rsidRPr="00275FBD">
        <w:rPr>
          <w:rFonts w:cs="TimesNewRomanPSMT"/>
          <w:szCs w:val="20"/>
          <w:lang w:val="sl-SI" w:eastAsia="en-GB"/>
        </w:rPr>
        <w:t>SALTO</w:t>
      </w:r>
      <w:r w:rsidR="003E5E6A">
        <w:rPr>
          <w:rFonts w:cs="TimesNewRomanPSMT"/>
          <w:szCs w:val="20"/>
          <w:lang w:val="sl-SI" w:eastAsia="en-GB"/>
        </w:rPr>
        <w:t>«</w:t>
      </w:r>
      <w:r w:rsidRPr="00275FBD">
        <w:rPr>
          <w:rFonts w:cs="TimesNewRomanPSMT"/>
          <w:szCs w:val="20"/>
          <w:lang w:val="sl-SI" w:eastAsia="en-GB"/>
        </w:rPr>
        <w:t xml:space="preserve"> bodo obravnavan</w:t>
      </w:r>
      <w:r w:rsidR="00986E72">
        <w:rPr>
          <w:rFonts w:cs="TimesNewRomanPSMT"/>
          <w:szCs w:val="20"/>
          <w:lang w:val="sl-SI" w:eastAsia="en-GB"/>
        </w:rPr>
        <w:t>e</w:t>
      </w:r>
      <w:r w:rsidRPr="00275FBD">
        <w:rPr>
          <w:rFonts w:cs="TimesNewRomanPSMT"/>
          <w:szCs w:val="20"/>
          <w:lang w:val="sl-SI" w:eastAsia="en-GB"/>
        </w:rPr>
        <w:t xml:space="preserve"> v skladu z akcijskim načrtom »pred-SALTO«.</w:t>
      </w:r>
    </w:p>
    <w:p w14:paraId="079028B0" w14:textId="4C2F577B" w:rsidR="009D4464" w:rsidRPr="00275FBD" w:rsidRDefault="009D4464" w:rsidP="008724FF">
      <w:pPr>
        <w:pStyle w:val="Odstavekseznama"/>
        <w:numPr>
          <w:ilvl w:val="0"/>
          <w:numId w:val="40"/>
        </w:numPr>
        <w:ind w:left="714" w:hanging="357"/>
        <w:contextualSpacing w:val="0"/>
        <w:rPr>
          <w:rFonts w:cs="TimesNewRomanPSMT"/>
          <w:szCs w:val="20"/>
          <w:lang w:val="sl-SI" w:eastAsia="en-GB"/>
        </w:rPr>
      </w:pPr>
      <w:r w:rsidRPr="00275FBD">
        <w:rPr>
          <w:rFonts w:cs="TimesNewRomanPSMT"/>
          <w:szCs w:val="20"/>
          <w:lang w:val="sl-SI" w:eastAsia="en-GB"/>
        </w:rPr>
        <w:t>Poleg tega so bil</w:t>
      </w:r>
      <w:r w:rsidR="00F857B7" w:rsidRPr="00275FBD">
        <w:rPr>
          <w:rFonts w:cs="TimesNewRomanPSMT"/>
          <w:szCs w:val="20"/>
          <w:lang w:val="sl-SI" w:eastAsia="en-GB"/>
        </w:rPr>
        <w:t>e</w:t>
      </w:r>
      <w:r w:rsidRPr="00275FBD">
        <w:rPr>
          <w:rFonts w:cs="TimesNewRomanPSMT"/>
          <w:szCs w:val="20"/>
          <w:lang w:val="sl-SI" w:eastAsia="en-GB"/>
        </w:rPr>
        <w:t xml:space="preserve"> ugotovljen</w:t>
      </w:r>
      <w:r w:rsidR="00F857B7" w:rsidRPr="00275FBD">
        <w:rPr>
          <w:rFonts w:cs="TimesNewRomanPSMT"/>
          <w:szCs w:val="20"/>
          <w:lang w:val="sl-SI" w:eastAsia="en-GB"/>
        </w:rPr>
        <w:t>e</w:t>
      </w:r>
      <w:r w:rsidRPr="00275FBD">
        <w:rPr>
          <w:rFonts w:cs="TimesNewRomanPSMT"/>
          <w:szCs w:val="20"/>
          <w:lang w:val="sl-SI" w:eastAsia="en-GB"/>
        </w:rPr>
        <w:t xml:space="preserve"> številn</w:t>
      </w:r>
      <w:r w:rsidR="00F857B7" w:rsidRPr="00275FBD">
        <w:rPr>
          <w:rFonts w:cs="TimesNewRomanPSMT"/>
          <w:szCs w:val="20"/>
          <w:lang w:val="sl-SI" w:eastAsia="en-GB"/>
        </w:rPr>
        <w:t>e</w:t>
      </w:r>
      <w:r w:rsidRPr="00275FBD">
        <w:rPr>
          <w:rFonts w:cs="TimesNewRomanPSMT"/>
          <w:szCs w:val="20"/>
          <w:lang w:val="sl-SI" w:eastAsia="en-GB"/>
        </w:rPr>
        <w:t xml:space="preserve"> </w:t>
      </w:r>
      <w:r w:rsidR="00F857B7" w:rsidRPr="00275FBD">
        <w:rPr>
          <w:rFonts w:cs="TimesNewRomanPSMT"/>
          <w:szCs w:val="20"/>
          <w:lang w:val="sl-SI" w:eastAsia="en-GB"/>
        </w:rPr>
        <w:t xml:space="preserve">najdbe </w:t>
      </w:r>
      <w:r w:rsidRPr="00275FBD">
        <w:rPr>
          <w:rFonts w:cs="TimesNewRomanPSMT"/>
          <w:szCs w:val="20"/>
          <w:lang w:val="sl-SI" w:eastAsia="en-GB"/>
        </w:rPr>
        <w:t xml:space="preserve">za katere je rešitev dosegljiva »z </w:t>
      </w:r>
      <w:r w:rsidR="00477FBC" w:rsidRPr="00275FBD">
        <w:rPr>
          <w:rFonts w:cs="TimesNewRomanPSMT"/>
          <w:szCs w:val="20"/>
          <w:lang w:val="sl-SI" w:eastAsia="en-GB"/>
        </w:rPr>
        <w:t>ma</w:t>
      </w:r>
      <w:r w:rsidR="00477FBC">
        <w:rPr>
          <w:rFonts w:cs="TimesNewRomanPSMT"/>
          <w:szCs w:val="20"/>
          <w:lang w:val="sl-SI" w:eastAsia="en-GB"/>
        </w:rPr>
        <w:t>jhnim</w:t>
      </w:r>
      <w:r w:rsidR="00477FBC" w:rsidRPr="00275FBD">
        <w:rPr>
          <w:rFonts w:cs="TimesNewRomanPSMT"/>
          <w:szCs w:val="20"/>
          <w:lang w:val="sl-SI" w:eastAsia="en-GB"/>
        </w:rPr>
        <w:t xml:space="preserve"> </w:t>
      </w:r>
      <w:r w:rsidR="00986E72">
        <w:rPr>
          <w:rFonts w:cs="TimesNewRomanPSMT"/>
          <w:szCs w:val="20"/>
          <w:lang w:val="sl-SI" w:eastAsia="en-GB"/>
        </w:rPr>
        <w:t>napor</w:t>
      </w:r>
      <w:r w:rsidR="00477FBC">
        <w:rPr>
          <w:rFonts w:cs="TimesNewRomanPSMT"/>
          <w:szCs w:val="20"/>
          <w:lang w:val="sl-SI" w:eastAsia="en-GB"/>
        </w:rPr>
        <w:t>om</w:t>
      </w:r>
      <w:r w:rsidRPr="00275FBD">
        <w:rPr>
          <w:rFonts w:cs="TimesNewRomanPSMT"/>
          <w:szCs w:val="20"/>
          <w:lang w:val="sl-SI" w:eastAsia="en-GB"/>
        </w:rPr>
        <w:t>«, ki so bil</w:t>
      </w:r>
      <w:r w:rsidR="00986E72">
        <w:rPr>
          <w:rFonts w:cs="TimesNewRomanPSMT"/>
          <w:szCs w:val="20"/>
          <w:lang w:val="sl-SI" w:eastAsia="en-GB"/>
        </w:rPr>
        <w:t>e</w:t>
      </w:r>
      <w:r w:rsidRPr="00275FBD">
        <w:rPr>
          <w:rFonts w:cs="TimesNewRomanPSMT"/>
          <w:szCs w:val="20"/>
          <w:lang w:val="sl-SI" w:eastAsia="en-GB"/>
        </w:rPr>
        <w:t xml:space="preserve"> poslan</w:t>
      </w:r>
      <w:r w:rsidR="00986E72">
        <w:rPr>
          <w:rFonts w:cs="TimesNewRomanPSMT"/>
          <w:szCs w:val="20"/>
          <w:lang w:val="sl-SI" w:eastAsia="en-GB"/>
        </w:rPr>
        <w:t>e</w:t>
      </w:r>
      <w:r w:rsidRPr="00275FBD">
        <w:rPr>
          <w:rFonts w:cs="TimesNewRomanPSMT"/>
          <w:szCs w:val="20"/>
          <w:lang w:val="sl-SI" w:eastAsia="en-GB"/>
        </w:rPr>
        <w:t xml:space="preserve"> v postopek izvajanja brez nadaljnjega vrednotenja.</w:t>
      </w:r>
    </w:p>
    <w:p w14:paraId="05AF7642" w14:textId="2A1C117F" w:rsidR="009D4464" w:rsidRPr="00275FBD" w:rsidRDefault="009D4464" w:rsidP="008724FF">
      <w:pPr>
        <w:pStyle w:val="Odstavekseznama"/>
        <w:numPr>
          <w:ilvl w:val="0"/>
          <w:numId w:val="40"/>
        </w:numPr>
        <w:ind w:left="714" w:hanging="357"/>
        <w:contextualSpacing w:val="0"/>
        <w:rPr>
          <w:rFonts w:cs="TimesNewRomanPSMT"/>
          <w:szCs w:val="20"/>
          <w:lang w:val="sl-SI" w:eastAsia="en-GB"/>
        </w:rPr>
      </w:pPr>
      <w:r w:rsidRPr="00275FBD">
        <w:rPr>
          <w:rFonts w:cs="TimesNewRomanPSMT"/>
          <w:szCs w:val="20"/>
          <w:lang w:val="sl-SI" w:eastAsia="en-GB"/>
        </w:rPr>
        <w:t>Za vs</w:t>
      </w:r>
      <w:r w:rsidR="00F857B7" w:rsidRPr="00275FBD">
        <w:rPr>
          <w:rFonts w:cs="TimesNewRomanPSMT"/>
          <w:szCs w:val="20"/>
          <w:lang w:val="sl-SI" w:eastAsia="en-GB"/>
        </w:rPr>
        <w:t>e</w:t>
      </w:r>
      <w:r w:rsidRPr="00275FBD">
        <w:rPr>
          <w:rFonts w:cs="TimesNewRomanPSMT"/>
          <w:szCs w:val="20"/>
          <w:lang w:val="sl-SI" w:eastAsia="en-GB"/>
        </w:rPr>
        <w:t xml:space="preserve"> ostal</w:t>
      </w:r>
      <w:r w:rsidR="00F857B7" w:rsidRPr="00275FBD">
        <w:rPr>
          <w:rFonts w:cs="TimesNewRomanPSMT"/>
          <w:szCs w:val="20"/>
          <w:lang w:val="sl-SI" w:eastAsia="en-GB"/>
        </w:rPr>
        <w:t>e</w:t>
      </w:r>
      <w:r w:rsidRPr="00275FBD">
        <w:rPr>
          <w:rFonts w:cs="TimesNewRomanPSMT"/>
          <w:szCs w:val="20"/>
          <w:lang w:val="sl-SI" w:eastAsia="en-GB"/>
        </w:rPr>
        <w:t xml:space="preserve"> </w:t>
      </w:r>
      <w:r w:rsidR="00F857B7" w:rsidRPr="00275FBD">
        <w:rPr>
          <w:rFonts w:cs="TimesNewRomanPSMT"/>
          <w:szCs w:val="20"/>
          <w:lang w:val="sl-SI" w:eastAsia="en-GB"/>
        </w:rPr>
        <w:t xml:space="preserve">najdbe </w:t>
      </w:r>
      <w:r w:rsidRPr="00275FBD">
        <w:rPr>
          <w:rFonts w:cs="TimesNewRomanPSMT"/>
          <w:szCs w:val="20"/>
          <w:lang w:val="sl-SI" w:eastAsia="en-GB"/>
        </w:rPr>
        <w:t xml:space="preserve">je bilo ugotovljeno, da so na podlagi ocenjevalne lestvice PSR3 v območju nizke </w:t>
      </w:r>
      <w:r w:rsidR="00640A58" w:rsidRPr="00275FBD">
        <w:rPr>
          <w:lang w:val="sl-SI" w:eastAsia="en-GB"/>
        </w:rPr>
        <w:t>pome</w:t>
      </w:r>
      <w:r w:rsidR="00640A58">
        <w:rPr>
          <w:lang w:val="sl-SI" w:eastAsia="en-GB"/>
        </w:rPr>
        <w:t xml:space="preserve">mbnosti </w:t>
      </w:r>
      <w:r w:rsidRPr="00275FBD">
        <w:rPr>
          <w:rFonts w:cs="TimesNewRomanPSMT"/>
          <w:szCs w:val="20"/>
          <w:lang w:val="sl-SI" w:eastAsia="en-GB"/>
        </w:rPr>
        <w:t xml:space="preserve">in </w:t>
      </w:r>
      <w:r w:rsidR="003E5E6A">
        <w:rPr>
          <w:rFonts w:cs="TimesNewRomanPSMT"/>
          <w:szCs w:val="20"/>
          <w:lang w:val="sl-SI" w:eastAsia="en-GB"/>
        </w:rPr>
        <w:t>le malo</w:t>
      </w:r>
      <w:r w:rsidR="003E5E6A" w:rsidRPr="00275FBD">
        <w:rPr>
          <w:rFonts w:cs="TimesNewRomanPSMT"/>
          <w:szCs w:val="20"/>
          <w:lang w:val="sl-SI" w:eastAsia="en-GB"/>
        </w:rPr>
        <w:t xml:space="preserve"> </w:t>
      </w:r>
      <w:r w:rsidRPr="00275FBD">
        <w:rPr>
          <w:rFonts w:cs="TimesNewRomanPSMT"/>
          <w:szCs w:val="20"/>
          <w:lang w:val="sl-SI" w:eastAsia="en-GB"/>
        </w:rPr>
        <w:t>vpliva</w:t>
      </w:r>
      <w:r w:rsidR="003E5E6A">
        <w:rPr>
          <w:rFonts w:cs="TimesNewRomanPSMT"/>
          <w:szCs w:val="20"/>
          <w:lang w:val="sl-SI" w:eastAsia="en-GB"/>
        </w:rPr>
        <w:t>jo</w:t>
      </w:r>
      <w:r w:rsidRPr="00275FBD">
        <w:rPr>
          <w:rFonts w:cs="TimesNewRomanPSMT"/>
          <w:szCs w:val="20"/>
          <w:lang w:val="sl-SI" w:eastAsia="en-GB"/>
        </w:rPr>
        <w:t xml:space="preserve"> na skladnost s sodobnimi standardi. Kljub temu </w:t>
      </w:r>
      <w:r w:rsidR="00F87ACD">
        <w:rPr>
          <w:rFonts w:cs="TimesNewRomanPSMT"/>
          <w:szCs w:val="20"/>
          <w:lang w:val="sl-SI" w:eastAsia="en-GB"/>
        </w:rPr>
        <w:t>so</w:t>
      </w:r>
      <w:r w:rsidRPr="00275FBD">
        <w:rPr>
          <w:rFonts w:cs="TimesNewRomanPSMT"/>
          <w:szCs w:val="20"/>
          <w:lang w:val="sl-SI" w:eastAsia="en-GB"/>
        </w:rPr>
        <w:t xml:space="preserve"> števil</w:t>
      </w:r>
      <w:r w:rsidR="00F87ACD">
        <w:rPr>
          <w:rFonts w:cs="TimesNewRomanPSMT"/>
          <w:szCs w:val="20"/>
          <w:lang w:val="sl-SI" w:eastAsia="en-GB"/>
        </w:rPr>
        <w:t>ne</w:t>
      </w:r>
      <w:r w:rsidRPr="00275FBD">
        <w:rPr>
          <w:rFonts w:cs="TimesNewRomanPSMT"/>
          <w:szCs w:val="20"/>
          <w:lang w:val="sl-SI" w:eastAsia="en-GB"/>
        </w:rPr>
        <w:t xml:space="preserve"> vključen</w:t>
      </w:r>
      <w:r w:rsidR="00F87ACD">
        <w:rPr>
          <w:rFonts w:cs="TimesNewRomanPSMT"/>
          <w:szCs w:val="20"/>
          <w:lang w:val="sl-SI" w:eastAsia="en-GB"/>
        </w:rPr>
        <w:t>e</w:t>
      </w:r>
      <w:r w:rsidRPr="00275FBD">
        <w:rPr>
          <w:rFonts w:cs="TimesNewRomanPSMT"/>
          <w:szCs w:val="20"/>
          <w:lang w:val="sl-SI" w:eastAsia="en-GB"/>
        </w:rPr>
        <w:t xml:space="preserve"> v IAP / CAP na podlagi </w:t>
      </w:r>
      <w:r w:rsidR="003E5E6A">
        <w:rPr>
          <w:rFonts w:cs="TimesNewRomanPSMT"/>
          <w:szCs w:val="20"/>
          <w:lang w:val="sl-SI" w:eastAsia="en-GB"/>
        </w:rPr>
        <w:t>zahteve</w:t>
      </w:r>
      <w:r w:rsidRPr="00275FBD">
        <w:rPr>
          <w:rFonts w:cs="TimesNewRomanPSMT"/>
          <w:szCs w:val="20"/>
          <w:lang w:val="sl-SI" w:eastAsia="en-GB"/>
        </w:rPr>
        <w:t xml:space="preserve"> URSJV oziroma AI. Njihovo reševanje bo spremljano na enak način kot pri ostalih. </w:t>
      </w:r>
      <w:r w:rsidR="003E5E6A">
        <w:rPr>
          <w:rFonts w:cs="TimesNewRomanPSMT"/>
          <w:szCs w:val="20"/>
          <w:lang w:val="sl-SI" w:eastAsia="en-GB"/>
        </w:rPr>
        <w:t>Vse ostale n</w:t>
      </w:r>
      <w:r w:rsidR="003A476B" w:rsidRPr="00275FBD">
        <w:rPr>
          <w:rFonts w:cs="TimesNewRomanPSMT"/>
          <w:szCs w:val="20"/>
          <w:lang w:val="sl-SI" w:eastAsia="en-GB"/>
        </w:rPr>
        <w:t>ajdbe</w:t>
      </w:r>
      <w:r w:rsidRPr="00275FBD">
        <w:rPr>
          <w:rFonts w:cs="TimesNewRomanPSMT"/>
          <w:szCs w:val="20"/>
          <w:lang w:val="sl-SI" w:eastAsia="en-GB"/>
        </w:rPr>
        <w:t>, ki niso vključen</w:t>
      </w:r>
      <w:r w:rsidR="00F87ACD">
        <w:rPr>
          <w:rFonts w:cs="TimesNewRomanPSMT"/>
          <w:szCs w:val="20"/>
          <w:lang w:val="sl-SI" w:eastAsia="en-GB"/>
        </w:rPr>
        <w:t>e</w:t>
      </w:r>
      <w:r w:rsidRPr="00275FBD">
        <w:rPr>
          <w:rFonts w:cs="TimesNewRomanPSMT"/>
          <w:szCs w:val="20"/>
          <w:lang w:val="sl-SI" w:eastAsia="en-GB"/>
        </w:rPr>
        <w:t xml:space="preserve"> v ta IAP, bodo ponovno obravnavan</w:t>
      </w:r>
      <w:r w:rsidR="003A476B" w:rsidRPr="00275FBD">
        <w:rPr>
          <w:rFonts w:cs="TimesNewRomanPSMT"/>
          <w:szCs w:val="20"/>
          <w:lang w:val="sl-SI" w:eastAsia="en-GB"/>
        </w:rPr>
        <w:t>e</w:t>
      </w:r>
      <w:r w:rsidRPr="00275FBD">
        <w:rPr>
          <w:rFonts w:cs="TimesNewRomanPSMT"/>
          <w:szCs w:val="20"/>
          <w:lang w:val="sl-SI" w:eastAsia="en-GB"/>
        </w:rPr>
        <w:t xml:space="preserve"> </w:t>
      </w:r>
      <w:r w:rsidR="00F072BC" w:rsidRPr="00275FBD">
        <w:rPr>
          <w:rFonts w:cs="TimesNewRomanPSMT"/>
          <w:szCs w:val="20"/>
          <w:lang w:val="sl-SI" w:eastAsia="en-GB"/>
        </w:rPr>
        <w:t>pri</w:t>
      </w:r>
      <w:r w:rsidRPr="00275FBD">
        <w:rPr>
          <w:rFonts w:cs="TimesNewRomanPSMT"/>
          <w:szCs w:val="20"/>
          <w:lang w:val="sl-SI" w:eastAsia="en-GB"/>
        </w:rPr>
        <w:t xml:space="preserve"> naslednjem PSR.</w:t>
      </w:r>
    </w:p>
    <w:p w14:paraId="35BACCA3" w14:textId="44B2D0E1" w:rsidR="0077611D" w:rsidRPr="00275FBD" w:rsidRDefault="0077611D" w:rsidP="008724FF">
      <w:pPr>
        <w:pStyle w:val="Odstavekseznama"/>
        <w:numPr>
          <w:ilvl w:val="0"/>
          <w:numId w:val="40"/>
        </w:numPr>
        <w:ind w:left="714" w:hanging="357"/>
        <w:contextualSpacing w:val="0"/>
        <w:rPr>
          <w:rFonts w:cs="TimesNewRomanPSMT"/>
          <w:szCs w:val="20"/>
          <w:lang w:val="sl-SI" w:eastAsia="en-GB"/>
        </w:rPr>
      </w:pPr>
      <w:r w:rsidRPr="00275FBD">
        <w:rPr>
          <w:rFonts w:cs="TimesNewRomanPSMT"/>
          <w:szCs w:val="20"/>
          <w:lang w:val="sl-SI" w:eastAsia="en-GB"/>
        </w:rPr>
        <w:t xml:space="preserve">Glede na </w:t>
      </w:r>
      <w:r w:rsidR="003E5E6A">
        <w:rPr>
          <w:rFonts w:cs="TimesNewRomanPSMT"/>
          <w:szCs w:val="20"/>
          <w:lang w:val="sl-SI" w:eastAsia="en-GB"/>
        </w:rPr>
        <w:t>določe</w:t>
      </w:r>
      <w:r w:rsidR="003E5E6A" w:rsidRPr="00275FBD">
        <w:rPr>
          <w:rFonts w:cs="TimesNewRomanPSMT"/>
          <w:szCs w:val="20"/>
          <w:lang w:val="sl-SI" w:eastAsia="en-GB"/>
        </w:rPr>
        <w:t xml:space="preserve">ne </w:t>
      </w:r>
      <w:r w:rsidR="003A476B" w:rsidRPr="00275FBD">
        <w:rPr>
          <w:rFonts w:cs="TimesNewRomanPSMT"/>
          <w:szCs w:val="20"/>
          <w:lang w:val="sl-SI" w:eastAsia="en-GB"/>
        </w:rPr>
        <w:t>najdbe</w:t>
      </w:r>
      <w:r w:rsidRPr="00275FBD">
        <w:rPr>
          <w:rFonts w:cs="TimesNewRomanPSMT"/>
          <w:szCs w:val="20"/>
          <w:lang w:val="sl-SI" w:eastAsia="en-GB"/>
        </w:rPr>
        <w:t>, njihovo presojo in njihovo vključitev v izvedbeni načrt za pravočasno reševanje</w:t>
      </w:r>
      <w:r w:rsidR="00F87ACD">
        <w:rPr>
          <w:rFonts w:cs="TimesNewRomanPSMT"/>
          <w:szCs w:val="20"/>
          <w:lang w:val="sl-SI" w:eastAsia="en-GB"/>
        </w:rPr>
        <w:t>,</w:t>
      </w:r>
      <w:r w:rsidRPr="00275FBD">
        <w:rPr>
          <w:rFonts w:cs="TimesNewRomanPSMT"/>
          <w:szCs w:val="20"/>
          <w:lang w:val="sl-SI" w:eastAsia="en-GB"/>
        </w:rPr>
        <w:t xml:space="preserve"> </w:t>
      </w:r>
      <w:r w:rsidR="003A476B" w:rsidRPr="00275FBD">
        <w:rPr>
          <w:rFonts w:cs="TimesNewRomanPSMT"/>
          <w:szCs w:val="20"/>
          <w:lang w:val="sl-SI" w:eastAsia="en-GB"/>
        </w:rPr>
        <w:t>menimo</w:t>
      </w:r>
      <w:r w:rsidRPr="00275FBD">
        <w:rPr>
          <w:rFonts w:cs="TimesNewRomanPSMT"/>
          <w:szCs w:val="20"/>
          <w:lang w:val="sl-SI" w:eastAsia="en-GB"/>
        </w:rPr>
        <w:t xml:space="preserve">, da ni pomembnega posebnega ali kumulativnega vpliva na stanje varnosti </w:t>
      </w:r>
      <w:r w:rsidR="003A476B" w:rsidRPr="00275FBD">
        <w:rPr>
          <w:rFonts w:cs="TimesNewRomanPSMT"/>
          <w:szCs w:val="20"/>
          <w:lang w:val="sl-SI" w:eastAsia="en-GB"/>
        </w:rPr>
        <w:t>objekta</w:t>
      </w:r>
      <w:r w:rsidRPr="00275FBD">
        <w:rPr>
          <w:rFonts w:cs="TimesNewRomanPSMT"/>
          <w:szCs w:val="20"/>
          <w:lang w:val="sl-SI" w:eastAsia="en-GB"/>
        </w:rPr>
        <w:t xml:space="preserve">, </w:t>
      </w:r>
      <w:r w:rsidR="003E5E6A">
        <w:rPr>
          <w:rFonts w:cs="TimesNewRomanPSMT"/>
          <w:szCs w:val="20"/>
          <w:lang w:val="sl-SI" w:eastAsia="en-GB"/>
        </w:rPr>
        <w:t xml:space="preserve">kot je </w:t>
      </w:r>
      <w:r w:rsidRPr="00275FBD">
        <w:rPr>
          <w:rFonts w:cs="TimesNewRomanPSMT"/>
          <w:szCs w:val="20"/>
          <w:lang w:val="sl-SI" w:eastAsia="en-GB"/>
        </w:rPr>
        <w:t xml:space="preserve">ocenjeno z vidika </w:t>
      </w:r>
      <w:r w:rsidR="003A476B" w:rsidRPr="00275FBD">
        <w:rPr>
          <w:rFonts w:cs="TimesNewRomanPSMT"/>
          <w:szCs w:val="20"/>
          <w:lang w:val="sl-SI" w:eastAsia="en-GB"/>
        </w:rPr>
        <w:t xml:space="preserve">obrambe v </w:t>
      </w:r>
      <w:r w:rsidRPr="00275FBD">
        <w:rPr>
          <w:rFonts w:cs="TimesNewRomanPSMT"/>
          <w:szCs w:val="20"/>
          <w:lang w:val="sl-SI" w:eastAsia="en-GB"/>
        </w:rPr>
        <w:t>globin</w:t>
      </w:r>
      <w:r w:rsidR="003A476B" w:rsidRPr="00275FBD">
        <w:rPr>
          <w:rFonts w:cs="TimesNewRomanPSMT"/>
          <w:szCs w:val="20"/>
          <w:lang w:val="sl-SI" w:eastAsia="en-GB"/>
        </w:rPr>
        <w:t>o</w:t>
      </w:r>
      <w:r w:rsidRPr="00275FBD">
        <w:rPr>
          <w:rFonts w:cs="TimesNewRomanPSMT"/>
          <w:szCs w:val="20"/>
          <w:lang w:val="sl-SI" w:eastAsia="en-GB"/>
        </w:rPr>
        <w:t xml:space="preserve"> in ocene tveganja.</w:t>
      </w:r>
    </w:p>
    <w:p w14:paraId="12998244" w14:textId="6CA15E04" w:rsidR="0077611D" w:rsidRPr="00275FBD" w:rsidRDefault="0077611D" w:rsidP="008724FF">
      <w:pPr>
        <w:pStyle w:val="Odstavekseznama"/>
        <w:numPr>
          <w:ilvl w:val="0"/>
          <w:numId w:val="40"/>
        </w:numPr>
        <w:ind w:left="714" w:hanging="357"/>
        <w:contextualSpacing w:val="0"/>
        <w:rPr>
          <w:rFonts w:cs="TimesNewRomanPSMT"/>
          <w:szCs w:val="20"/>
          <w:lang w:val="sl-SI" w:eastAsia="en-GB"/>
        </w:rPr>
      </w:pPr>
      <w:r w:rsidRPr="00275FBD">
        <w:rPr>
          <w:rFonts w:cs="TimesNewRomanPSMT"/>
          <w:szCs w:val="20"/>
          <w:lang w:val="sl-SI" w:eastAsia="en-GB"/>
        </w:rPr>
        <w:t>Kot je razvidno iz tematskih poročil NEK PSR3, je bila pri pregledu posebna pozornost namenjena programom in dokumentaciji elektrarne, ki sta bistvenega pomena za nadaljnje varno in dolgoročno obratovanje. Cilj pregleda varnostnih dejavnikov v zvezi s projektom elektrarne (SF-1), dejanskim stanjem SSK, pomembnih za varnost (SF-2), kvalifikacijo opreme (SF-3) in staranjem (SF-4) je bil</w:t>
      </w:r>
      <w:r w:rsidR="00471FE1">
        <w:rPr>
          <w:rFonts w:cs="TimesNewRomanPSMT"/>
          <w:szCs w:val="20"/>
          <w:lang w:val="sl-SI" w:eastAsia="en-GB"/>
        </w:rPr>
        <w:t>o</w:t>
      </w:r>
      <w:r w:rsidRPr="00275FBD">
        <w:rPr>
          <w:rFonts w:cs="TimesNewRomanPSMT"/>
          <w:szCs w:val="20"/>
          <w:lang w:val="sl-SI" w:eastAsia="en-GB"/>
        </w:rPr>
        <w:t xml:space="preserve"> ugotoviti</w:t>
      </w:r>
      <w:r w:rsidR="007158D5">
        <w:rPr>
          <w:rFonts w:cs="TimesNewRomanPSMT"/>
          <w:szCs w:val="20"/>
          <w:lang w:val="sl-SI" w:eastAsia="en-GB"/>
        </w:rPr>
        <w:t>,</w:t>
      </w:r>
      <w:r w:rsidRPr="00275FBD">
        <w:rPr>
          <w:rFonts w:cs="TimesNewRomanPSMT"/>
          <w:szCs w:val="20"/>
          <w:lang w:val="sl-SI" w:eastAsia="en-GB"/>
        </w:rPr>
        <w:t xml:space="preserve"> ali se vidiki, ki vplivajo na SSK pomembn</w:t>
      </w:r>
      <w:r w:rsidR="006F566A">
        <w:rPr>
          <w:rFonts w:cs="TimesNewRomanPSMT"/>
          <w:szCs w:val="20"/>
          <w:lang w:val="sl-SI" w:eastAsia="en-GB"/>
        </w:rPr>
        <w:t>e</w:t>
      </w:r>
      <w:r w:rsidRPr="00275FBD">
        <w:rPr>
          <w:rFonts w:cs="TimesNewRomanPSMT"/>
          <w:szCs w:val="20"/>
          <w:lang w:val="sl-SI" w:eastAsia="en-GB"/>
        </w:rPr>
        <w:t xml:space="preserve"> za varnost, učinkovito upravljajo in ali je vzpostavljen učinkovit program upravljanja, tako da bodo zagotovljene vse zahtevane varnostne funkcije za načrtovano življenjsko dobo </w:t>
      </w:r>
      <w:r w:rsidRPr="00275FBD">
        <w:rPr>
          <w:rFonts w:cs="TimesNewRomanPSMT"/>
          <w:szCs w:val="20"/>
          <w:lang w:val="sl-SI" w:eastAsia="en-GB"/>
        </w:rPr>
        <w:lastRenderedPageBreak/>
        <w:t>elektrarne in za dolgoročno obratovanje. Glede na rezultate pregleda je zagotovljeno dolgoročno obratovanje elektrarne.</w:t>
      </w:r>
    </w:p>
    <w:p w14:paraId="3CC80390" w14:textId="55F9C8A7" w:rsidR="0077611D" w:rsidRPr="00275FBD" w:rsidRDefault="0077611D" w:rsidP="008724FF">
      <w:pPr>
        <w:pStyle w:val="Odstavekseznama"/>
        <w:numPr>
          <w:ilvl w:val="0"/>
          <w:numId w:val="40"/>
        </w:numPr>
        <w:ind w:left="714" w:hanging="357"/>
        <w:contextualSpacing w:val="0"/>
        <w:rPr>
          <w:rFonts w:cs="TimesNewRomanPSMT"/>
          <w:szCs w:val="20"/>
          <w:lang w:val="sl-SI" w:eastAsia="en-GB"/>
        </w:rPr>
      </w:pPr>
      <w:r w:rsidRPr="00275FBD">
        <w:rPr>
          <w:rFonts w:cs="TimesNewRomanPSMT"/>
          <w:szCs w:val="20"/>
          <w:lang w:val="sl-SI" w:eastAsia="en-GB"/>
        </w:rPr>
        <w:t xml:space="preserve">Posebna pozornost je bila namenjena pregledu programa </w:t>
      </w:r>
      <w:r w:rsidR="00D202DF">
        <w:rPr>
          <w:rFonts w:cs="TimesNewRomanPSMT"/>
          <w:szCs w:val="20"/>
          <w:lang w:val="sl-SI" w:eastAsia="en-GB"/>
        </w:rPr>
        <w:t>nadzora</w:t>
      </w:r>
      <w:r w:rsidR="00D202DF" w:rsidRPr="00275FBD">
        <w:rPr>
          <w:rFonts w:cs="TimesNewRomanPSMT"/>
          <w:szCs w:val="20"/>
          <w:lang w:val="sl-SI" w:eastAsia="en-GB"/>
        </w:rPr>
        <w:t xml:space="preserve"> </w:t>
      </w:r>
      <w:r w:rsidRPr="00275FBD">
        <w:rPr>
          <w:rFonts w:cs="TimesNewRomanPSMT"/>
          <w:szCs w:val="20"/>
          <w:lang w:val="sl-SI" w:eastAsia="en-GB"/>
        </w:rPr>
        <w:t>staranj</w:t>
      </w:r>
      <w:r w:rsidR="00117CF9">
        <w:rPr>
          <w:rFonts w:cs="TimesNewRomanPSMT"/>
          <w:szCs w:val="20"/>
          <w:lang w:val="sl-SI" w:eastAsia="en-GB"/>
        </w:rPr>
        <w:t>a</w:t>
      </w:r>
      <w:r w:rsidRPr="00275FBD">
        <w:rPr>
          <w:rFonts w:cs="TimesNewRomanPSMT"/>
          <w:szCs w:val="20"/>
          <w:lang w:val="sl-SI" w:eastAsia="en-GB"/>
        </w:rPr>
        <w:t xml:space="preserve">, ki se je učinkovito izvajal zadnjih 10 let v skladu z zahtevami ameriškega NRC (država </w:t>
      </w:r>
      <w:r w:rsidR="006F566A">
        <w:rPr>
          <w:rFonts w:cs="TimesNewRomanPSMT"/>
          <w:szCs w:val="20"/>
          <w:lang w:val="sl-SI" w:eastAsia="en-GB"/>
        </w:rPr>
        <w:t>dobavitelj</w:t>
      </w:r>
      <w:r w:rsidR="006F566A" w:rsidRPr="00275FBD">
        <w:rPr>
          <w:rFonts w:cs="TimesNewRomanPSMT"/>
          <w:szCs w:val="20"/>
          <w:lang w:val="sl-SI" w:eastAsia="en-GB"/>
        </w:rPr>
        <w:t xml:space="preserve">a </w:t>
      </w:r>
      <w:r w:rsidRPr="00275FBD">
        <w:rPr>
          <w:rFonts w:cs="TimesNewRomanPSMT"/>
          <w:szCs w:val="20"/>
          <w:lang w:val="sl-SI" w:eastAsia="en-GB"/>
        </w:rPr>
        <w:t xml:space="preserve">tehnologije) 10CFR54, kot je opisano v 18. poglavju USAR. Izvajanje tega programa je zagotovilo, da </w:t>
      </w:r>
      <w:r w:rsidR="006F566A" w:rsidRPr="00275FBD">
        <w:rPr>
          <w:rFonts w:cs="TimesNewRomanPSMT"/>
          <w:szCs w:val="20"/>
          <w:lang w:val="sl-SI" w:eastAsia="en-GB"/>
        </w:rPr>
        <w:t xml:space="preserve">so bile izpolnjene </w:t>
      </w:r>
      <w:r w:rsidRPr="00275FBD">
        <w:rPr>
          <w:rFonts w:cs="TimesNewRomanPSMT"/>
          <w:szCs w:val="20"/>
          <w:lang w:val="sl-SI" w:eastAsia="en-GB"/>
        </w:rPr>
        <w:t>zahtevane varnostne funkcije sistemov, struktur in komponent v obdobju med zadnjima PSR. Izvajanje priporočil misije IAEA SALTO, kot je predvideno za sprejetje PSR</w:t>
      </w:r>
      <w:r w:rsidR="00C362F2" w:rsidRPr="00275FBD">
        <w:rPr>
          <w:rFonts w:cs="TimesNewRomanPSMT"/>
          <w:szCs w:val="20"/>
          <w:lang w:val="sl-SI" w:eastAsia="en-GB"/>
        </w:rPr>
        <w:t>3</w:t>
      </w:r>
      <w:r w:rsidRPr="00275FBD">
        <w:rPr>
          <w:rFonts w:cs="TimesNewRomanPSMT"/>
          <w:szCs w:val="20"/>
          <w:lang w:val="sl-SI" w:eastAsia="en-GB"/>
        </w:rPr>
        <w:t xml:space="preserve"> IAP, bo še bolj okrepilo program </w:t>
      </w:r>
      <w:r w:rsidR="00D202DF">
        <w:rPr>
          <w:rFonts w:cs="TimesNewRomanPSMT"/>
          <w:szCs w:val="20"/>
          <w:lang w:val="sl-SI" w:eastAsia="en-GB"/>
        </w:rPr>
        <w:t>nadzora</w:t>
      </w:r>
      <w:r w:rsidR="00D202DF" w:rsidRPr="00275FBD">
        <w:rPr>
          <w:rFonts w:cs="TimesNewRomanPSMT"/>
          <w:szCs w:val="20"/>
          <w:lang w:val="sl-SI" w:eastAsia="en-GB"/>
        </w:rPr>
        <w:t xml:space="preserve"> </w:t>
      </w:r>
      <w:r w:rsidRPr="00275FBD">
        <w:rPr>
          <w:rFonts w:cs="TimesNewRomanPSMT"/>
          <w:szCs w:val="20"/>
          <w:lang w:val="sl-SI" w:eastAsia="en-GB"/>
        </w:rPr>
        <w:t>staranja elektrarne glede na mednarodno prakso in zagotovilo varnost elektrarne med dolgoročnim obratovanjem (LTO).</w:t>
      </w:r>
    </w:p>
    <w:p w14:paraId="603D830D" w14:textId="6BF33314" w:rsidR="0077611D" w:rsidRPr="00275FBD" w:rsidRDefault="0077611D" w:rsidP="008724FF">
      <w:pPr>
        <w:pStyle w:val="Odstavekseznama"/>
        <w:numPr>
          <w:ilvl w:val="0"/>
          <w:numId w:val="40"/>
        </w:numPr>
        <w:ind w:left="714" w:hanging="357"/>
        <w:contextualSpacing w:val="0"/>
        <w:rPr>
          <w:rFonts w:cs="TimesNewRomanPSMT"/>
          <w:szCs w:val="20"/>
          <w:lang w:val="sl-SI" w:eastAsia="en-GB"/>
        </w:rPr>
      </w:pPr>
      <w:r w:rsidRPr="00275FBD">
        <w:rPr>
          <w:rFonts w:cs="TimesNewRomanPSMT"/>
          <w:szCs w:val="20"/>
          <w:lang w:val="sl-SI" w:eastAsia="en-GB"/>
        </w:rPr>
        <w:t xml:space="preserve">Proaktivno spremljanje izvajanja programov </w:t>
      </w:r>
      <w:r w:rsidR="00C362F2" w:rsidRPr="00275FBD">
        <w:rPr>
          <w:rFonts w:cs="TimesNewRomanPSMT"/>
          <w:szCs w:val="20"/>
          <w:lang w:val="sl-SI" w:eastAsia="en-GB"/>
        </w:rPr>
        <w:t>elektrarne</w:t>
      </w:r>
      <w:r w:rsidRPr="00275FBD">
        <w:rPr>
          <w:rFonts w:cs="TimesNewRomanPSMT"/>
          <w:szCs w:val="20"/>
          <w:lang w:val="sl-SI" w:eastAsia="en-GB"/>
        </w:rPr>
        <w:t xml:space="preserve"> in izvajanje korektivnih ukrepov po potrebi</w:t>
      </w:r>
      <w:r w:rsidR="00C362F2" w:rsidRPr="00275FBD">
        <w:rPr>
          <w:rFonts w:cs="TimesNewRomanPSMT"/>
          <w:szCs w:val="20"/>
          <w:lang w:val="sl-SI" w:eastAsia="en-GB"/>
        </w:rPr>
        <w:t>,</w:t>
      </w:r>
      <w:r w:rsidRPr="00275FBD">
        <w:rPr>
          <w:rFonts w:cs="TimesNewRomanPSMT"/>
          <w:szCs w:val="20"/>
          <w:lang w:val="sl-SI" w:eastAsia="en-GB"/>
        </w:rPr>
        <w:t xml:space="preserve"> v skladu s sodobnimi standardi in predpisi</w:t>
      </w:r>
      <w:r w:rsidR="00C362F2" w:rsidRPr="00275FBD">
        <w:rPr>
          <w:rFonts w:cs="TimesNewRomanPSMT"/>
          <w:szCs w:val="20"/>
          <w:lang w:val="sl-SI" w:eastAsia="en-GB"/>
        </w:rPr>
        <w:t>,</w:t>
      </w:r>
      <w:r w:rsidRPr="00275FBD">
        <w:rPr>
          <w:rFonts w:cs="TimesNewRomanPSMT"/>
          <w:szCs w:val="20"/>
          <w:lang w:val="sl-SI" w:eastAsia="en-GB"/>
        </w:rPr>
        <w:t xml:space="preserve"> zagotavlja varno obratovanje v obdobju do naslednjega PSR.</w:t>
      </w:r>
    </w:p>
    <w:p w14:paraId="32D97E76" w14:textId="4D07DA39" w:rsidR="0077611D" w:rsidRPr="00275FBD" w:rsidRDefault="0077611D" w:rsidP="008724FF">
      <w:pPr>
        <w:pStyle w:val="Odstavekseznama"/>
        <w:numPr>
          <w:ilvl w:val="0"/>
          <w:numId w:val="40"/>
        </w:numPr>
        <w:ind w:left="714" w:hanging="357"/>
        <w:contextualSpacing w:val="0"/>
        <w:rPr>
          <w:rFonts w:cs="TimesNewRomanPSMT"/>
          <w:szCs w:val="20"/>
          <w:lang w:val="sl-SI" w:eastAsia="en-GB"/>
        </w:rPr>
      </w:pPr>
      <w:r w:rsidRPr="00275FBD">
        <w:rPr>
          <w:rFonts w:cs="TimesNewRomanPSMT"/>
          <w:szCs w:val="20"/>
          <w:lang w:val="sl-SI" w:eastAsia="en-GB"/>
        </w:rPr>
        <w:t xml:space="preserve">Dokazana je varnost projekta in obratovanja NEK. Izveden je bil obsežen program nadgradnje varnosti, procesi varnostnega pregleda in ocene varnosti. Varnost nadaljnjega obratovanja bo zagotovljena z načrtovanim izvajanjem ukrepov PSR3, ukrepov </w:t>
      </w:r>
      <w:r w:rsidR="00153EAC">
        <w:rPr>
          <w:rFonts w:cs="TimesNewRomanPSMT"/>
          <w:szCs w:val="20"/>
          <w:lang w:val="sl-SI" w:eastAsia="en-GB"/>
        </w:rPr>
        <w:t>»</w:t>
      </w:r>
      <w:r w:rsidRPr="00275FBD">
        <w:rPr>
          <w:rFonts w:cs="TimesNewRomanPSMT"/>
          <w:szCs w:val="20"/>
          <w:lang w:val="sl-SI" w:eastAsia="en-GB"/>
        </w:rPr>
        <w:t>pred</w:t>
      </w:r>
      <w:r w:rsidR="00153EAC">
        <w:rPr>
          <w:rFonts w:cs="TimesNewRomanPSMT"/>
          <w:szCs w:val="20"/>
          <w:lang w:val="sl-SI" w:eastAsia="en-GB"/>
        </w:rPr>
        <w:t>-</w:t>
      </w:r>
      <w:r w:rsidRPr="00275FBD">
        <w:rPr>
          <w:rFonts w:cs="TimesNewRomanPSMT"/>
          <w:szCs w:val="20"/>
          <w:lang w:val="sl-SI" w:eastAsia="en-GB"/>
        </w:rPr>
        <w:t>SALTO</w:t>
      </w:r>
      <w:r w:rsidR="00153EAC">
        <w:rPr>
          <w:rFonts w:cs="TimesNewRomanPSMT"/>
          <w:szCs w:val="20"/>
          <w:lang w:val="sl-SI" w:eastAsia="en-GB"/>
        </w:rPr>
        <w:t>«</w:t>
      </w:r>
      <w:r w:rsidRPr="00275FBD">
        <w:rPr>
          <w:rFonts w:cs="TimesNewRomanPSMT"/>
          <w:szCs w:val="20"/>
          <w:lang w:val="sl-SI" w:eastAsia="en-GB"/>
        </w:rPr>
        <w:t xml:space="preserve"> ter drugih programov </w:t>
      </w:r>
      <w:r w:rsidR="00C362F2" w:rsidRPr="00275FBD">
        <w:rPr>
          <w:rFonts w:cs="TimesNewRomanPSMT"/>
          <w:szCs w:val="20"/>
          <w:lang w:val="sl-SI" w:eastAsia="en-GB"/>
        </w:rPr>
        <w:t>elektrarne</w:t>
      </w:r>
      <w:r w:rsidRPr="00275FBD">
        <w:rPr>
          <w:rFonts w:cs="TimesNewRomanPSMT"/>
          <w:szCs w:val="20"/>
          <w:lang w:val="sl-SI" w:eastAsia="en-GB"/>
        </w:rPr>
        <w:t xml:space="preserve">, postopkov in določb za nadzor </w:t>
      </w:r>
      <w:r w:rsidR="00C362F2" w:rsidRPr="00275FBD">
        <w:rPr>
          <w:rFonts w:cs="TimesNewRomanPSMT"/>
          <w:szCs w:val="20"/>
          <w:lang w:val="sl-SI" w:eastAsia="en-GB"/>
        </w:rPr>
        <w:t>projekta elektrarne</w:t>
      </w:r>
      <w:r w:rsidRPr="00275FBD">
        <w:rPr>
          <w:rFonts w:cs="TimesNewRomanPSMT"/>
          <w:szCs w:val="20"/>
          <w:lang w:val="sl-SI" w:eastAsia="en-GB"/>
        </w:rPr>
        <w:t xml:space="preserve">, opreme in delovanja človeškega </w:t>
      </w:r>
      <w:r w:rsidR="00FE4C6E">
        <w:rPr>
          <w:rFonts w:cs="TimesNewRomanPSMT"/>
          <w:szCs w:val="20"/>
          <w:lang w:val="sl-SI" w:eastAsia="en-GB"/>
        </w:rPr>
        <w:t>dejavnika</w:t>
      </w:r>
      <w:r w:rsidR="00FE4C6E" w:rsidRPr="00275FBD">
        <w:rPr>
          <w:rFonts w:cs="TimesNewRomanPSMT"/>
          <w:szCs w:val="20"/>
          <w:lang w:val="sl-SI" w:eastAsia="en-GB"/>
        </w:rPr>
        <w:t xml:space="preserve"> </w:t>
      </w:r>
      <w:r w:rsidRPr="00275FBD">
        <w:rPr>
          <w:rFonts w:cs="TimesNewRomanPSMT"/>
          <w:szCs w:val="20"/>
          <w:lang w:val="sl-SI" w:eastAsia="en-GB"/>
        </w:rPr>
        <w:t>ter obratovalne varnosti.</w:t>
      </w:r>
    </w:p>
    <w:p w14:paraId="60AF7B10" w14:textId="0B936DC5" w:rsidR="0077611D" w:rsidRPr="00275FBD" w:rsidRDefault="0077611D" w:rsidP="008724FF">
      <w:pPr>
        <w:pStyle w:val="Odstavekseznama"/>
        <w:numPr>
          <w:ilvl w:val="0"/>
          <w:numId w:val="40"/>
        </w:numPr>
        <w:ind w:left="714" w:hanging="357"/>
        <w:contextualSpacing w:val="0"/>
        <w:rPr>
          <w:rFonts w:cs="TimesNewRomanPSMT"/>
          <w:szCs w:val="20"/>
          <w:lang w:val="sl-SI" w:eastAsia="en-GB"/>
        </w:rPr>
      </w:pPr>
      <w:r w:rsidRPr="00275FBD">
        <w:rPr>
          <w:rFonts w:cs="TimesNewRomanPSMT"/>
          <w:szCs w:val="20"/>
          <w:lang w:val="sl-SI" w:eastAsia="en-GB"/>
        </w:rPr>
        <w:t xml:space="preserve">Glede na vse navedeno </w:t>
      </w:r>
      <w:r w:rsidR="00117CF9" w:rsidRPr="00117CF9">
        <w:rPr>
          <w:rFonts w:cs="TimesNewRomanPSMT"/>
          <w:szCs w:val="20"/>
          <w:lang w:val="sl-SI" w:eastAsia="en-GB"/>
        </w:rPr>
        <w:t xml:space="preserve">se </w:t>
      </w:r>
      <w:r w:rsidRPr="00275FBD">
        <w:rPr>
          <w:rFonts w:cs="TimesNewRomanPSMT"/>
          <w:szCs w:val="20"/>
          <w:lang w:val="sl-SI" w:eastAsia="en-GB"/>
        </w:rPr>
        <w:t xml:space="preserve">lahko </w:t>
      </w:r>
      <w:r w:rsidR="00455B15">
        <w:rPr>
          <w:rFonts w:cs="TimesNewRomanPSMT"/>
          <w:szCs w:val="20"/>
          <w:lang w:val="sl-SI" w:eastAsia="en-GB"/>
        </w:rPr>
        <w:t>zaključi</w:t>
      </w:r>
      <w:r w:rsidRPr="00275FBD">
        <w:rPr>
          <w:rFonts w:cs="TimesNewRomanPSMT"/>
          <w:szCs w:val="20"/>
          <w:lang w:val="sl-SI" w:eastAsia="en-GB"/>
        </w:rPr>
        <w:t>, da je PSR3 v celoti izpolnil svoje cilje.</w:t>
      </w:r>
    </w:p>
    <w:p w14:paraId="434B43F3" w14:textId="77777777" w:rsidR="006A0E4A" w:rsidRPr="00275FBD" w:rsidRDefault="006A0E4A" w:rsidP="00ED1A59">
      <w:pPr>
        <w:rPr>
          <w:rFonts w:cs="TimesNewRomanPSMT"/>
          <w:szCs w:val="20"/>
          <w:lang w:val="sl-SI" w:eastAsia="en-GB"/>
        </w:rPr>
      </w:pPr>
    </w:p>
    <w:p w14:paraId="6F024411" w14:textId="77777777" w:rsidR="00ED1A59" w:rsidRPr="00275FBD" w:rsidRDefault="00ED1A59" w:rsidP="00ED1A59">
      <w:pPr>
        <w:rPr>
          <w:lang w:val="sl-SI"/>
        </w:rPr>
      </w:pPr>
    </w:p>
    <w:p w14:paraId="44FA37E9" w14:textId="77777777" w:rsidR="00ED1A59" w:rsidRPr="00275FBD" w:rsidRDefault="00ED1A59" w:rsidP="00ED1A59">
      <w:pPr>
        <w:spacing w:before="0" w:after="0"/>
        <w:jc w:val="left"/>
        <w:rPr>
          <w:sz w:val="2"/>
          <w:szCs w:val="2"/>
          <w:lang w:val="sl-SI"/>
        </w:rPr>
      </w:pPr>
      <w:r w:rsidRPr="00275FBD">
        <w:rPr>
          <w:lang w:val="sl-SI"/>
        </w:rPr>
        <w:br w:type="page"/>
      </w:r>
    </w:p>
    <w:p w14:paraId="4E3FC9AC" w14:textId="2C18FE05" w:rsidR="00ED1A59" w:rsidRPr="00275FBD" w:rsidRDefault="005A7768" w:rsidP="00ED1A59">
      <w:pPr>
        <w:pStyle w:val="Naslov1"/>
        <w:rPr>
          <w:lang w:val="sl-SI"/>
        </w:rPr>
      </w:pPr>
      <w:bookmarkStart w:id="115" w:name="_Ref138771918"/>
      <w:bookmarkStart w:id="116" w:name="_Toc163197433"/>
      <w:r w:rsidRPr="00275FBD">
        <w:rPr>
          <w:lang w:val="sl-SI"/>
        </w:rPr>
        <w:lastRenderedPageBreak/>
        <w:t>Zaključki</w:t>
      </w:r>
      <w:bookmarkEnd w:id="115"/>
      <w:bookmarkEnd w:id="116"/>
    </w:p>
    <w:p w14:paraId="62FCA349" w14:textId="6A6782C4" w:rsidR="007843E6" w:rsidRPr="00275FBD" w:rsidRDefault="007843E6" w:rsidP="002B2C48">
      <w:pPr>
        <w:rPr>
          <w:rFonts w:cs="TimesNewRomanPSMT"/>
          <w:szCs w:val="20"/>
          <w:lang w:val="sl-SI" w:eastAsia="en-GB"/>
        </w:rPr>
      </w:pPr>
      <w:r w:rsidRPr="00275FBD">
        <w:rPr>
          <w:rFonts w:cs="TimesNewRomanPSMT"/>
          <w:szCs w:val="20"/>
          <w:lang w:val="sl-SI" w:eastAsia="en-GB"/>
        </w:rPr>
        <w:t xml:space="preserve">Obsežen </w:t>
      </w:r>
      <w:r w:rsidR="004845C3">
        <w:rPr>
          <w:rFonts w:cs="TimesNewRomanPSMT"/>
          <w:szCs w:val="20"/>
          <w:lang w:val="sl-SI" w:eastAsia="en-GB"/>
        </w:rPr>
        <w:t>tretji občasni</w:t>
      </w:r>
      <w:r w:rsidR="004845C3" w:rsidRPr="00275FBD">
        <w:rPr>
          <w:rFonts w:cs="TimesNewRomanPSMT"/>
          <w:szCs w:val="20"/>
          <w:lang w:val="sl-SI" w:eastAsia="en-GB"/>
        </w:rPr>
        <w:t xml:space="preserve"> </w:t>
      </w:r>
      <w:r w:rsidRPr="00275FBD">
        <w:rPr>
          <w:rFonts w:cs="TimesNewRomanPSMT"/>
          <w:szCs w:val="20"/>
          <w:lang w:val="sl-SI" w:eastAsia="en-GB"/>
        </w:rPr>
        <w:t xml:space="preserve">varnostni pregled PSR3 je bil izveden v skladu </w:t>
      </w:r>
      <w:r w:rsidR="007A5E54">
        <w:rPr>
          <w:rFonts w:cs="TimesNewRomanPSMT"/>
          <w:szCs w:val="20"/>
          <w:lang w:val="sl-SI" w:eastAsia="en-GB"/>
        </w:rPr>
        <w:t>s slovensko</w:t>
      </w:r>
      <w:r w:rsidRPr="00275FBD">
        <w:rPr>
          <w:rFonts w:cs="TimesNewRomanPSMT"/>
          <w:szCs w:val="20"/>
          <w:lang w:val="sl-SI" w:eastAsia="en-GB"/>
        </w:rPr>
        <w:t xml:space="preserve"> zakonodajo in najsodobnejšo mednarodno prakso. Sestavljen je iz dveh splošnih faz, faze pregleda in faze ocenjevanja. Fazo pregleda so sestavljali obsežni pregledi vseh pomembnih varnostnih </w:t>
      </w:r>
      <w:r w:rsidR="004845C3">
        <w:rPr>
          <w:rFonts w:cs="TimesNewRomanPSMT"/>
          <w:szCs w:val="20"/>
          <w:lang w:val="sl-SI" w:eastAsia="en-GB"/>
        </w:rPr>
        <w:t>vsebin</w:t>
      </w:r>
      <w:r w:rsidRPr="00275FBD">
        <w:rPr>
          <w:rFonts w:cs="TimesNewRomanPSMT"/>
          <w:szCs w:val="20"/>
          <w:lang w:val="sl-SI" w:eastAsia="en-GB"/>
        </w:rPr>
        <w:t>. Faza presoje je bila sestavljena iz ocene rezultatov faze pregleda in ocene stanja varnosti elektrarne.</w:t>
      </w:r>
    </w:p>
    <w:p w14:paraId="3289906F" w14:textId="1873C2EC" w:rsidR="007843E6" w:rsidRPr="00275FBD" w:rsidRDefault="007843E6" w:rsidP="007843E6">
      <w:pPr>
        <w:rPr>
          <w:rFonts w:cs="TimesNewRomanPSMT"/>
          <w:szCs w:val="20"/>
          <w:lang w:val="sl-SI" w:eastAsia="en-GB"/>
        </w:rPr>
      </w:pPr>
      <w:r w:rsidRPr="00275FBD">
        <w:rPr>
          <w:rFonts w:cs="TimesNewRomanPSMT"/>
          <w:szCs w:val="20"/>
          <w:lang w:val="sl-SI" w:eastAsia="en-GB"/>
        </w:rPr>
        <w:t xml:space="preserve">Stanje varnosti elektrarne v času PSR3 je bilo ocenjeno tako glede obrambe </w:t>
      </w:r>
      <w:bookmarkStart w:id="117" w:name="_Hlk143500718"/>
      <w:r w:rsidR="00257B1B" w:rsidRPr="00275FBD">
        <w:rPr>
          <w:rFonts w:cs="TimesNewRomanPSMT"/>
          <w:szCs w:val="20"/>
          <w:lang w:val="sl-SI" w:eastAsia="en-GB"/>
        </w:rPr>
        <w:t>v globino</w:t>
      </w:r>
      <w:r w:rsidR="00A92BC2">
        <w:rPr>
          <w:rFonts w:cs="TimesNewRomanPSMT"/>
          <w:szCs w:val="20"/>
          <w:lang w:val="sl-SI" w:eastAsia="en-GB"/>
        </w:rPr>
        <w:t>,</w:t>
      </w:r>
      <w:r w:rsidR="00257B1B" w:rsidRPr="00275FBD">
        <w:rPr>
          <w:rFonts w:cs="TimesNewRomanPSMT"/>
          <w:szCs w:val="20"/>
          <w:lang w:val="sl-SI" w:eastAsia="en-GB"/>
        </w:rPr>
        <w:t xml:space="preserve"> </w:t>
      </w:r>
      <w:bookmarkEnd w:id="117"/>
      <w:r w:rsidRPr="00275FBD">
        <w:rPr>
          <w:rFonts w:cs="TimesNewRomanPSMT"/>
          <w:szCs w:val="20"/>
          <w:lang w:val="sl-SI" w:eastAsia="en-GB"/>
        </w:rPr>
        <w:t xml:space="preserve">kot tudi glede tveganja. Pri obeh je bilo ugotovljeno, da je </w:t>
      </w:r>
      <w:r w:rsidR="00957A44" w:rsidRPr="00275FBD">
        <w:rPr>
          <w:rFonts w:cs="TimesNewRomanPSMT"/>
          <w:szCs w:val="20"/>
          <w:lang w:val="sl-SI" w:eastAsia="en-GB"/>
        </w:rPr>
        <w:t>elektrarna</w:t>
      </w:r>
      <w:r w:rsidRPr="00275FBD">
        <w:rPr>
          <w:rFonts w:cs="TimesNewRomanPSMT"/>
          <w:szCs w:val="20"/>
          <w:lang w:val="sl-SI" w:eastAsia="en-GB"/>
        </w:rPr>
        <w:t xml:space="preserve"> sklad</w:t>
      </w:r>
      <w:r w:rsidR="004845C3">
        <w:rPr>
          <w:rFonts w:cs="TimesNewRomanPSMT"/>
          <w:szCs w:val="20"/>
          <w:lang w:val="sl-SI" w:eastAsia="en-GB"/>
        </w:rPr>
        <w:t>na</w:t>
      </w:r>
      <w:r w:rsidRPr="00275FBD">
        <w:rPr>
          <w:rFonts w:cs="TimesNewRomanPSMT"/>
          <w:szCs w:val="20"/>
          <w:lang w:val="sl-SI" w:eastAsia="en-GB"/>
        </w:rPr>
        <w:t xml:space="preserve"> s sodobnimi standardi, kot so opredeljeni za namen ocene PSR3. Glede na rezultate PSR2 je mogoče opaziti precejšnje izboljšave v obeh vidikih na račun varnostnih nadgradenj in izboljšav </w:t>
      </w:r>
      <w:r w:rsidR="00957A44" w:rsidRPr="00275FBD">
        <w:rPr>
          <w:rFonts w:cs="TimesNewRomanPSMT"/>
          <w:szCs w:val="20"/>
          <w:lang w:val="sl-SI" w:eastAsia="en-GB"/>
        </w:rPr>
        <w:t>elektrarne</w:t>
      </w:r>
      <w:r w:rsidRPr="00275FBD">
        <w:rPr>
          <w:rFonts w:cs="TimesNewRomanPSMT"/>
          <w:szCs w:val="20"/>
          <w:lang w:val="sl-SI" w:eastAsia="en-GB"/>
        </w:rPr>
        <w:t>.</w:t>
      </w:r>
    </w:p>
    <w:p w14:paraId="6276B66F" w14:textId="2C0988F7" w:rsidR="007843E6" w:rsidRPr="00275FBD" w:rsidRDefault="007843E6" w:rsidP="007843E6">
      <w:pPr>
        <w:rPr>
          <w:rFonts w:cs="TimesNewRomanPSMT"/>
          <w:szCs w:val="20"/>
          <w:lang w:val="sl-SI" w:eastAsia="en-GB"/>
        </w:rPr>
      </w:pPr>
      <w:r w:rsidRPr="00275FBD">
        <w:rPr>
          <w:rFonts w:cs="TimesNewRomanPSMT"/>
          <w:szCs w:val="20"/>
          <w:lang w:val="sl-SI" w:eastAsia="en-GB"/>
        </w:rPr>
        <w:t xml:space="preserve">Faza pregleda PSR3 ni odkrila nobene </w:t>
      </w:r>
      <w:r w:rsidR="00F857B7" w:rsidRPr="00275FBD">
        <w:rPr>
          <w:rFonts w:cs="TimesNewRomanPSMT"/>
          <w:szCs w:val="20"/>
          <w:lang w:val="sl-SI" w:eastAsia="en-GB"/>
        </w:rPr>
        <w:t xml:space="preserve">najdbe </w:t>
      </w:r>
      <w:r w:rsidRPr="00275FBD">
        <w:rPr>
          <w:rFonts w:cs="TimesNewRomanPSMT"/>
          <w:szCs w:val="20"/>
          <w:lang w:val="sl-SI" w:eastAsia="en-GB"/>
        </w:rPr>
        <w:t>z visokim tveganjem ali z nesprejemljivim poslabšanjem obrambe</w:t>
      </w:r>
      <w:r w:rsidR="00C74150" w:rsidRPr="000D7D8A">
        <w:rPr>
          <w:lang w:val="sl-SI"/>
        </w:rPr>
        <w:t xml:space="preserve"> </w:t>
      </w:r>
      <w:r w:rsidR="00C74150" w:rsidRPr="00C74150">
        <w:rPr>
          <w:rFonts w:cs="TimesNewRomanPSMT"/>
          <w:szCs w:val="20"/>
          <w:lang w:val="sl-SI" w:eastAsia="en-GB"/>
        </w:rPr>
        <w:t>v globino</w:t>
      </w:r>
      <w:r w:rsidRPr="00275FBD">
        <w:rPr>
          <w:rFonts w:cs="TimesNewRomanPSMT"/>
          <w:szCs w:val="20"/>
          <w:lang w:val="sl-SI" w:eastAsia="en-GB"/>
        </w:rPr>
        <w:t>.</w:t>
      </w:r>
    </w:p>
    <w:p w14:paraId="6CB83F82" w14:textId="04D82C2C" w:rsidR="007843E6" w:rsidRPr="00275FBD" w:rsidRDefault="007843E6" w:rsidP="007843E6">
      <w:pPr>
        <w:rPr>
          <w:rFonts w:cs="TimesNewRomanPSMT"/>
          <w:szCs w:val="20"/>
          <w:lang w:val="sl-SI" w:eastAsia="en-GB"/>
        </w:rPr>
      </w:pPr>
      <w:r w:rsidRPr="00275FBD">
        <w:rPr>
          <w:rFonts w:cs="TimesNewRomanPSMT"/>
          <w:szCs w:val="20"/>
          <w:lang w:val="sl-SI" w:eastAsia="en-GB"/>
        </w:rPr>
        <w:t>Ugotovljen</w:t>
      </w:r>
      <w:r w:rsidR="00F857B7" w:rsidRPr="00275FBD">
        <w:rPr>
          <w:rFonts w:cs="TimesNewRomanPSMT"/>
          <w:szCs w:val="20"/>
          <w:lang w:val="sl-SI" w:eastAsia="en-GB"/>
        </w:rPr>
        <w:t>e</w:t>
      </w:r>
      <w:r w:rsidRPr="00275FBD">
        <w:rPr>
          <w:rFonts w:cs="TimesNewRomanPSMT"/>
          <w:szCs w:val="20"/>
          <w:lang w:val="sl-SI" w:eastAsia="en-GB"/>
        </w:rPr>
        <w:t xml:space="preserve"> so bil</w:t>
      </w:r>
      <w:r w:rsidR="00F857B7" w:rsidRPr="00275FBD">
        <w:rPr>
          <w:rFonts w:cs="TimesNewRomanPSMT"/>
          <w:szCs w:val="20"/>
          <w:lang w:val="sl-SI" w:eastAsia="en-GB"/>
        </w:rPr>
        <w:t>e</w:t>
      </w:r>
      <w:r w:rsidRPr="00275FBD">
        <w:rPr>
          <w:rFonts w:cs="TimesNewRomanPSMT"/>
          <w:szCs w:val="20"/>
          <w:lang w:val="sl-SI" w:eastAsia="en-GB"/>
        </w:rPr>
        <w:t xml:space="preserve"> tri </w:t>
      </w:r>
      <w:r w:rsidR="00F857B7" w:rsidRPr="00275FBD">
        <w:rPr>
          <w:rFonts w:cs="TimesNewRomanPSMT"/>
          <w:szCs w:val="20"/>
          <w:lang w:val="sl-SI" w:eastAsia="en-GB"/>
        </w:rPr>
        <w:t xml:space="preserve">najdbe </w:t>
      </w:r>
      <w:r w:rsidRPr="00275FBD">
        <w:rPr>
          <w:rFonts w:cs="TimesNewRomanPSMT"/>
          <w:szCs w:val="20"/>
          <w:lang w:val="sl-SI" w:eastAsia="en-GB"/>
        </w:rPr>
        <w:t xml:space="preserve">s potencialnim vplivom na varnost, ki jih je mogoče tolerirati omejen čas. Identificiranih je bilo 30 </w:t>
      </w:r>
      <w:r w:rsidR="00BD5705" w:rsidRPr="00275FBD">
        <w:rPr>
          <w:rFonts w:cs="TimesNewRomanPSMT"/>
          <w:szCs w:val="20"/>
          <w:lang w:val="sl-SI" w:eastAsia="en-GB"/>
        </w:rPr>
        <w:t>najdb,</w:t>
      </w:r>
      <w:r w:rsidRPr="00275FBD">
        <w:rPr>
          <w:rFonts w:cs="TimesNewRomanPSMT"/>
          <w:szCs w:val="20"/>
          <w:lang w:val="sl-SI" w:eastAsia="en-GB"/>
        </w:rPr>
        <w:t xml:space="preserve"> ki so kazal</w:t>
      </w:r>
      <w:r w:rsidR="00C74150">
        <w:rPr>
          <w:rFonts w:cs="TimesNewRomanPSMT"/>
          <w:szCs w:val="20"/>
          <w:lang w:val="sl-SI" w:eastAsia="en-GB"/>
        </w:rPr>
        <w:t>e</w:t>
      </w:r>
      <w:r w:rsidRPr="00275FBD">
        <w:rPr>
          <w:rFonts w:cs="TimesNewRomanPSMT"/>
          <w:szCs w:val="20"/>
          <w:lang w:val="sl-SI" w:eastAsia="en-GB"/>
        </w:rPr>
        <w:t xml:space="preserve"> na potrebo po ponovnem ovrednotenju ali ponovni oceni jedrske varnosti s časovno omejeno </w:t>
      </w:r>
      <w:r w:rsidR="00957A44" w:rsidRPr="00275FBD">
        <w:rPr>
          <w:rFonts w:cs="TimesNewRomanPSMT"/>
          <w:szCs w:val="20"/>
          <w:lang w:val="sl-SI" w:eastAsia="en-GB"/>
        </w:rPr>
        <w:t>sprejemljivostjo</w:t>
      </w:r>
      <w:r w:rsidRPr="00275FBD">
        <w:rPr>
          <w:rFonts w:cs="TimesNewRomanPSMT"/>
          <w:szCs w:val="20"/>
          <w:lang w:val="sl-SI" w:eastAsia="en-GB"/>
        </w:rPr>
        <w:t xml:space="preserve">. Ugotovljenih je bilo 16 </w:t>
      </w:r>
      <w:r w:rsidR="00BD5705" w:rsidRPr="00275FBD">
        <w:rPr>
          <w:rFonts w:cs="TimesNewRomanPSMT"/>
          <w:szCs w:val="20"/>
          <w:lang w:val="sl-SI" w:eastAsia="en-GB"/>
        </w:rPr>
        <w:t>najdb,</w:t>
      </w:r>
      <w:r w:rsidRPr="00275FBD">
        <w:rPr>
          <w:rFonts w:cs="TimesNewRomanPSMT"/>
          <w:szCs w:val="20"/>
          <w:lang w:val="sl-SI" w:eastAsia="en-GB"/>
        </w:rPr>
        <w:t xml:space="preserve"> ki se nanašajo na vrzeli v zagotavljanju obratovalne varnosti, ki jih je potrebno pravočasno odpraviti.</w:t>
      </w:r>
    </w:p>
    <w:p w14:paraId="78EABED5" w14:textId="74234F8D" w:rsidR="00957A44" w:rsidRPr="00275FBD" w:rsidRDefault="00957A44" w:rsidP="00957A44">
      <w:pPr>
        <w:rPr>
          <w:rFonts w:cs="TimesNewRomanPSMT"/>
          <w:szCs w:val="20"/>
          <w:lang w:val="sl-SI" w:eastAsia="en-GB"/>
        </w:rPr>
      </w:pPr>
      <w:r w:rsidRPr="00275FBD">
        <w:rPr>
          <w:rFonts w:cs="TimesNewRomanPSMT"/>
          <w:szCs w:val="20"/>
          <w:lang w:val="sl-SI" w:eastAsia="en-GB"/>
        </w:rPr>
        <w:t xml:space="preserve">Poleg tega je bilo na podlagi dogovora med NEK in URSJV </w:t>
      </w:r>
      <w:r w:rsidR="00B20813">
        <w:rPr>
          <w:rFonts w:cs="TimesNewRomanPSMT"/>
          <w:szCs w:val="20"/>
          <w:lang w:val="sl-SI" w:eastAsia="en-GB"/>
        </w:rPr>
        <w:t>določ</w:t>
      </w:r>
      <w:r w:rsidR="00B20813" w:rsidRPr="00275FBD">
        <w:rPr>
          <w:rFonts w:cs="TimesNewRomanPSMT"/>
          <w:szCs w:val="20"/>
          <w:lang w:val="sl-SI" w:eastAsia="en-GB"/>
        </w:rPr>
        <w:t xml:space="preserve">enih </w:t>
      </w:r>
      <w:r w:rsidRPr="00275FBD">
        <w:rPr>
          <w:rFonts w:cs="TimesNewRomanPSMT"/>
          <w:szCs w:val="20"/>
          <w:lang w:val="sl-SI" w:eastAsia="en-GB"/>
        </w:rPr>
        <w:t xml:space="preserve">15 </w:t>
      </w:r>
      <w:r w:rsidR="00BD5705" w:rsidRPr="00275FBD">
        <w:rPr>
          <w:rFonts w:cs="TimesNewRomanPSMT"/>
          <w:szCs w:val="20"/>
          <w:lang w:val="sl-SI" w:eastAsia="en-GB"/>
        </w:rPr>
        <w:t xml:space="preserve">najdb </w:t>
      </w:r>
      <w:r w:rsidRPr="00275FBD">
        <w:rPr>
          <w:rFonts w:cs="TimesNewRomanPSMT"/>
          <w:szCs w:val="20"/>
          <w:lang w:val="sl-SI" w:eastAsia="en-GB"/>
        </w:rPr>
        <w:t xml:space="preserve">za neposreden vnos v IAP, od tega večina tako imenovanih »pred-SALTO« </w:t>
      </w:r>
      <w:r w:rsidR="00BD5705" w:rsidRPr="00275FBD">
        <w:rPr>
          <w:rFonts w:cs="TimesNewRomanPSMT"/>
          <w:szCs w:val="20"/>
          <w:lang w:val="sl-SI" w:eastAsia="en-GB"/>
        </w:rPr>
        <w:t>najdb.</w:t>
      </w:r>
    </w:p>
    <w:p w14:paraId="60A7F567" w14:textId="0509CFAC" w:rsidR="00957A44" w:rsidRPr="00275FBD" w:rsidRDefault="00957A44" w:rsidP="00957A44">
      <w:pPr>
        <w:rPr>
          <w:rFonts w:cs="TimesNewRomanPSMT"/>
          <w:szCs w:val="20"/>
          <w:lang w:val="sl-SI" w:eastAsia="en-GB"/>
        </w:rPr>
      </w:pPr>
      <w:r w:rsidRPr="00275FBD">
        <w:rPr>
          <w:rFonts w:cs="TimesNewRomanPSMT"/>
          <w:szCs w:val="20"/>
          <w:lang w:val="sl-SI" w:eastAsia="en-GB"/>
        </w:rPr>
        <w:t>Vs</w:t>
      </w:r>
      <w:r w:rsidR="00F857B7" w:rsidRPr="00275FBD">
        <w:rPr>
          <w:rFonts w:cs="TimesNewRomanPSMT"/>
          <w:szCs w:val="20"/>
          <w:lang w:val="sl-SI" w:eastAsia="en-GB"/>
        </w:rPr>
        <w:t>e</w:t>
      </w:r>
      <w:r w:rsidRPr="00275FBD">
        <w:rPr>
          <w:rFonts w:cs="TimesNewRomanPSMT"/>
          <w:szCs w:val="20"/>
          <w:lang w:val="sl-SI" w:eastAsia="en-GB"/>
        </w:rPr>
        <w:t xml:space="preserve"> t</w:t>
      </w:r>
      <w:r w:rsidR="00F857B7" w:rsidRPr="00275FBD">
        <w:rPr>
          <w:rFonts w:cs="TimesNewRomanPSMT"/>
          <w:szCs w:val="20"/>
          <w:lang w:val="sl-SI" w:eastAsia="en-GB"/>
        </w:rPr>
        <w:t>e</w:t>
      </w:r>
      <w:r w:rsidRPr="00275FBD">
        <w:rPr>
          <w:rFonts w:cs="TimesNewRomanPSMT"/>
          <w:szCs w:val="20"/>
          <w:lang w:val="sl-SI" w:eastAsia="en-GB"/>
        </w:rPr>
        <w:t xml:space="preserve"> </w:t>
      </w:r>
      <w:r w:rsidR="00F857B7" w:rsidRPr="00275FBD">
        <w:rPr>
          <w:rFonts w:cs="TimesNewRomanPSMT"/>
          <w:szCs w:val="20"/>
          <w:lang w:val="sl-SI" w:eastAsia="en-GB"/>
        </w:rPr>
        <w:t xml:space="preserve">najdbe </w:t>
      </w:r>
      <w:r w:rsidRPr="00275FBD">
        <w:rPr>
          <w:rFonts w:cs="TimesNewRomanPSMT"/>
          <w:szCs w:val="20"/>
          <w:lang w:val="sl-SI" w:eastAsia="en-GB"/>
        </w:rPr>
        <w:t xml:space="preserve">so bila </w:t>
      </w:r>
      <w:r w:rsidR="004845C3" w:rsidRPr="00275FBD">
        <w:rPr>
          <w:rFonts w:cs="TimesNewRomanPSMT"/>
          <w:szCs w:val="20"/>
          <w:lang w:val="sl-SI" w:eastAsia="en-GB"/>
        </w:rPr>
        <w:t>vključen</w:t>
      </w:r>
      <w:r w:rsidR="004845C3">
        <w:rPr>
          <w:rFonts w:cs="TimesNewRomanPSMT"/>
          <w:szCs w:val="20"/>
          <w:lang w:val="sl-SI" w:eastAsia="en-GB"/>
        </w:rPr>
        <w:t>e</w:t>
      </w:r>
      <w:r w:rsidR="004845C3" w:rsidRPr="00275FBD">
        <w:rPr>
          <w:rFonts w:cs="TimesNewRomanPSMT"/>
          <w:szCs w:val="20"/>
          <w:lang w:val="sl-SI" w:eastAsia="en-GB"/>
        </w:rPr>
        <w:t xml:space="preserve"> </w:t>
      </w:r>
      <w:r w:rsidRPr="00275FBD">
        <w:rPr>
          <w:rFonts w:cs="TimesNewRomanPSMT"/>
          <w:szCs w:val="20"/>
          <w:lang w:val="sl-SI" w:eastAsia="en-GB"/>
        </w:rPr>
        <w:t>v IAP. Vpisan</w:t>
      </w:r>
      <w:r w:rsidR="00C74150">
        <w:rPr>
          <w:rFonts w:cs="TimesNewRomanPSMT"/>
          <w:szCs w:val="20"/>
          <w:lang w:val="sl-SI" w:eastAsia="en-GB"/>
        </w:rPr>
        <w:t>e</w:t>
      </w:r>
      <w:r w:rsidRPr="00275FBD">
        <w:rPr>
          <w:rFonts w:cs="TimesNewRomanPSMT"/>
          <w:szCs w:val="20"/>
          <w:lang w:val="sl-SI" w:eastAsia="en-GB"/>
        </w:rPr>
        <w:t xml:space="preserve"> bodo v NEK CAP in spremljano </w:t>
      </w:r>
      <w:r w:rsidR="00C74150">
        <w:rPr>
          <w:rFonts w:cs="TimesNewRomanPSMT"/>
          <w:szCs w:val="20"/>
          <w:lang w:val="sl-SI" w:eastAsia="en-GB"/>
        </w:rPr>
        <w:t xml:space="preserve">bo </w:t>
      </w:r>
      <w:r w:rsidRPr="00275FBD">
        <w:rPr>
          <w:rFonts w:cs="TimesNewRomanPSMT"/>
          <w:szCs w:val="20"/>
          <w:lang w:val="sl-SI" w:eastAsia="en-GB"/>
        </w:rPr>
        <w:t>njihovo pravočasno reševanje. R</w:t>
      </w:r>
      <w:r w:rsidR="004845C3">
        <w:rPr>
          <w:rFonts w:cs="TimesNewRomanPSMT"/>
          <w:szCs w:val="20"/>
          <w:lang w:val="sl-SI" w:eastAsia="en-GB"/>
        </w:rPr>
        <w:t>azr</w:t>
      </w:r>
      <w:r w:rsidRPr="00275FBD">
        <w:rPr>
          <w:rFonts w:cs="TimesNewRomanPSMT"/>
          <w:szCs w:val="20"/>
          <w:lang w:val="sl-SI" w:eastAsia="en-GB"/>
        </w:rPr>
        <w:t xml:space="preserve">ešitev večine </w:t>
      </w:r>
      <w:r w:rsidR="00BD5705" w:rsidRPr="00275FBD">
        <w:rPr>
          <w:rFonts w:cs="TimesNewRomanPSMT"/>
          <w:szCs w:val="20"/>
          <w:lang w:val="sl-SI" w:eastAsia="en-GB"/>
        </w:rPr>
        <w:t xml:space="preserve">najdb </w:t>
      </w:r>
      <w:r w:rsidRPr="00275FBD">
        <w:rPr>
          <w:rFonts w:cs="TimesNewRomanPSMT"/>
          <w:szCs w:val="20"/>
          <w:lang w:val="sl-SI" w:eastAsia="en-GB"/>
        </w:rPr>
        <w:t xml:space="preserve">je predvidena v roku treh let. Za več </w:t>
      </w:r>
      <w:r w:rsidR="00BD5705" w:rsidRPr="00275FBD">
        <w:rPr>
          <w:rFonts w:cs="TimesNewRomanPSMT"/>
          <w:szCs w:val="20"/>
          <w:lang w:val="sl-SI" w:eastAsia="en-GB"/>
        </w:rPr>
        <w:t>najdb,</w:t>
      </w:r>
      <w:r w:rsidRPr="00275FBD">
        <w:rPr>
          <w:rFonts w:cs="TimesNewRomanPSMT"/>
          <w:szCs w:val="20"/>
          <w:lang w:val="sl-SI" w:eastAsia="en-GB"/>
        </w:rPr>
        <w:t xml:space="preserve"> ki nimajo neposrednega vpliva na jedrsko varnost, je predvideno reševanje v roku petih let. </w:t>
      </w:r>
      <w:r w:rsidR="00F857B7" w:rsidRPr="00275FBD">
        <w:rPr>
          <w:rFonts w:cs="TimesNewRomanPSMT"/>
          <w:szCs w:val="20"/>
          <w:lang w:val="sl-SI" w:eastAsia="en-GB"/>
        </w:rPr>
        <w:t>Najdbe</w:t>
      </w:r>
      <w:r w:rsidRPr="00275FBD">
        <w:rPr>
          <w:rFonts w:cs="TimesNewRomanPSMT"/>
          <w:szCs w:val="20"/>
          <w:lang w:val="sl-SI" w:eastAsia="en-GB"/>
        </w:rPr>
        <w:t xml:space="preserve"> v zvezi s programom SALTO bodo obravnavan</w:t>
      </w:r>
      <w:r w:rsidR="00C74150">
        <w:rPr>
          <w:rFonts w:cs="TimesNewRomanPSMT"/>
          <w:szCs w:val="20"/>
          <w:lang w:val="sl-SI" w:eastAsia="en-GB"/>
        </w:rPr>
        <w:t>e</w:t>
      </w:r>
      <w:r w:rsidRPr="00275FBD">
        <w:rPr>
          <w:rFonts w:cs="TimesNewRomanPSMT"/>
          <w:szCs w:val="20"/>
          <w:lang w:val="sl-SI" w:eastAsia="en-GB"/>
        </w:rPr>
        <w:t xml:space="preserve"> v skladu z akcijskim načrtom vezanim </w:t>
      </w:r>
      <w:r w:rsidR="00A92BC2">
        <w:rPr>
          <w:rFonts w:cs="TimesNewRomanPSMT"/>
          <w:szCs w:val="20"/>
          <w:lang w:val="sl-SI" w:eastAsia="en-GB"/>
        </w:rPr>
        <w:t>n</w:t>
      </w:r>
      <w:r w:rsidRPr="00275FBD">
        <w:rPr>
          <w:rFonts w:cs="TimesNewRomanPSMT"/>
          <w:szCs w:val="20"/>
          <w:lang w:val="sl-SI" w:eastAsia="en-GB"/>
        </w:rPr>
        <w:t>a »pred-SALTO«.</w:t>
      </w:r>
    </w:p>
    <w:p w14:paraId="267E4C5B" w14:textId="03D2BDDB" w:rsidR="00957A44" w:rsidRPr="00275FBD" w:rsidRDefault="00957A44" w:rsidP="00957A44">
      <w:pPr>
        <w:rPr>
          <w:rFonts w:cs="TimesNewRomanPSMT"/>
          <w:szCs w:val="20"/>
          <w:lang w:val="sl-SI" w:eastAsia="en-GB"/>
        </w:rPr>
      </w:pPr>
      <w:r w:rsidRPr="00275FBD">
        <w:rPr>
          <w:rFonts w:cs="TimesNewRomanPSMT"/>
          <w:szCs w:val="20"/>
          <w:lang w:val="sl-SI" w:eastAsia="en-GB"/>
        </w:rPr>
        <w:t>Poleg tega so bil</w:t>
      </w:r>
      <w:r w:rsidR="00395621" w:rsidRPr="00275FBD">
        <w:rPr>
          <w:rFonts w:cs="TimesNewRomanPSMT"/>
          <w:szCs w:val="20"/>
          <w:lang w:val="sl-SI" w:eastAsia="en-GB"/>
        </w:rPr>
        <w:t>e</w:t>
      </w:r>
      <w:r w:rsidRPr="00275FBD">
        <w:rPr>
          <w:rFonts w:cs="TimesNewRomanPSMT"/>
          <w:szCs w:val="20"/>
          <w:lang w:val="sl-SI" w:eastAsia="en-GB"/>
        </w:rPr>
        <w:t xml:space="preserve"> ugotovljen</w:t>
      </w:r>
      <w:r w:rsidR="00395621" w:rsidRPr="00275FBD">
        <w:rPr>
          <w:rFonts w:cs="TimesNewRomanPSMT"/>
          <w:szCs w:val="20"/>
          <w:lang w:val="sl-SI" w:eastAsia="en-GB"/>
        </w:rPr>
        <w:t>e</w:t>
      </w:r>
      <w:r w:rsidRPr="00275FBD">
        <w:rPr>
          <w:rFonts w:cs="TimesNewRomanPSMT"/>
          <w:szCs w:val="20"/>
          <w:lang w:val="sl-SI" w:eastAsia="en-GB"/>
        </w:rPr>
        <w:t xml:space="preserve"> številn</w:t>
      </w:r>
      <w:r w:rsidR="00395621" w:rsidRPr="00275FBD">
        <w:rPr>
          <w:rFonts w:cs="TimesNewRomanPSMT"/>
          <w:szCs w:val="20"/>
          <w:lang w:val="sl-SI" w:eastAsia="en-GB"/>
        </w:rPr>
        <w:t>e</w:t>
      </w:r>
      <w:r w:rsidRPr="00275FBD">
        <w:rPr>
          <w:rFonts w:cs="TimesNewRomanPSMT"/>
          <w:szCs w:val="20"/>
          <w:lang w:val="sl-SI" w:eastAsia="en-GB"/>
        </w:rPr>
        <w:t xml:space="preserve"> </w:t>
      </w:r>
      <w:r w:rsidR="00395621" w:rsidRPr="00275FBD">
        <w:rPr>
          <w:rFonts w:cs="TimesNewRomanPSMT"/>
          <w:szCs w:val="20"/>
          <w:lang w:val="sl-SI" w:eastAsia="en-GB"/>
        </w:rPr>
        <w:t>najdbe</w:t>
      </w:r>
      <w:r w:rsidRPr="00275FBD">
        <w:rPr>
          <w:rFonts w:cs="TimesNewRomanPSMT"/>
          <w:szCs w:val="20"/>
          <w:lang w:val="sl-SI" w:eastAsia="en-GB"/>
        </w:rPr>
        <w:t xml:space="preserve">, pri katerih je rešitev dosegljiva »z </w:t>
      </w:r>
      <w:r w:rsidR="00477FBC" w:rsidRPr="00275FBD">
        <w:rPr>
          <w:rFonts w:cs="TimesNewRomanPSMT"/>
          <w:szCs w:val="20"/>
          <w:lang w:val="sl-SI" w:eastAsia="en-GB"/>
        </w:rPr>
        <w:t>ma</w:t>
      </w:r>
      <w:r w:rsidR="00477FBC">
        <w:rPr>
          <w:rFonts w:cs="TimesNewRomanPSMT"/>
          <w:szCs w:val="20"/>
          <w:lang w:val="sl-SI" w:eastAsia="en-GB"/>
        </w:rPr>
        <w:t>jhnim</w:t>
      </w:r>
      <w:r w:rsidR="00477FBC" w:rsidRPr="00275FBD">
        <w:rPr>
          <w:rFonts w:cs="TimesNewRomanPSMT"/>
          <w:szCs w:val="20"/>
          <w:lang w:val="sl-SI" w:eastAsia="en-GB"/>
        </w:rPr>
        <w:t xml:space="preserve"> </w:t>
      </w:r>
      <w:r w:rsidR="00C74150">
        <w:rPr>
          <w:rFonts w:cs="TimesNewRomanPSMT"/>
          <w:szCs w:val="20"/>
          <w:lang w:val="sl-SI" w:eastAsia="en-GB"/>
        </w:rPr>
        <w:t>napor</w:t>
      </w:r>
      <w:r w:rsidR="00477FBC">
        <w:rPr>
          <w:rFonts w:cs="TimesNewRomanPSMT"/>
          <w:szCs w:val="20"/>
          <w:lang w:val="sl-SI" w:eastAsia="en-GB"/>
        </w:rPr>
        <w:t>om</w:t>
      </w:r>
      <w:r w:rsidRPr="00275FBD">
        <w:rPr>
          <w:rFonts w:cs="TimesNewRomanPSMT"/>
          <w:szCs w:val="20"/>
          <w:lang w:val="sl-SI" w:eastAsia="en-GB"/>
        </w:rPr>
        <w:t>« in so bil</w:t>
      </w:r>
      <w:r w:rsidR="00C74150">
        <w:rPr>
          <w:rFonts w:cs="TimesNewRomanPSMT"/>
          <w:szCs w:val="20"/>
          <w:lang w:val="sl-SI" w:eastAsia="en-GB"/>
        </w:rPr>
        <w:t>e</w:t>
      </w:r>
      <w:r w:rsidRPr="00275FBD">
        <w:rPr>
          <w:rFonts w:cs="TimesNewRomanPSMT"/>
          <w:szCs w:val="20"/>
          <w:lang w:val="sl-SI" w:eastAsia="en-GB"/>
        </w:rPr>
        <w:t xml:space="preserve"> poslan</w:t>
      </w:r>
      <w:r w:rsidR="00A92BC2">
        <w:rPr>
          <w:rFonts w:cs="TimesNewRomanPSMT"/>
          <w:szCs w:val="20"/>
          <w:lang w:val="sl-SI" w:eastAsia="en-GB"/>
        </w:rPr>
        <w:t>e</w:t>
      </w:r>
      <w:r w:rsidRPr="00275FBD">
        <w:rPr>
          <w:rFonts w:cs="TimesNewRomanPSMT"/>
          <w:szCs w:val="20"/>
          <w:lang w:val="sl-SI" w:eastAsia="en-GB"/>
        </w:rPr>
        <w:t xml:space="preserve"> v postopek izvajanja brez nadaljnje ocene.</w:t>
      </w:r>
    </w:p>
    <w:p w14:paraId="6346FEA3" w14:textId="1E12AC2C" w:rsidR="00957A44" w:rsidRPr="00275FBD" w:rsidRDefault="00957A44" w:rsidP="00957A44">
      <w:pPr>
        <w:rPr>
          <w:rFonts w:cs="TimesNewRomanPSMT"/>
          <w:szCs w:val="20"/>
          <w:lang w:val="sl-SI" w:eastAsia="en-GB"/>
        </w:rPr>
      </w:pPr>
      <w:r w:rsidRPr="00275FBD">
        <w:rPr>
          <w:rFonts w:cs="TimesNewRomanPSMT"/>
          <w:szCs w:val="20"/>
          <w:lang w:val="sl-SI" w:eastAsia="en-GB"/>
        </w:rPr>
        <w:t>Za vs</w:t>
      </w:r>
      <w:r w:rsidR="00F857B7" w:rsidRPr="00275FBD">
        <w:rPr>
          <w:rFonts w:cs="TimesNewRomanPSMT"/>
          <w:szCs w:val="20"/>
          <w:lang w:val="sl-SI" w:eastAsia="en-GB"/>
        </w:rPr>
        <w:t>e</w:t>
      </w:r>
      <w:r w:rsidRPr="00275FBD">
        <w:rPr>
          <w:rFonts w:cs="TimesNewRomanPSMT"/>
          <w:szCs w:val="20"/>
          <w:lang w:val="sl-SI" w:eastAsia="en-GB"/>
        </w:rPr>
        <w:t xml:space="preserve"> ostal</w:t>
      </w:r>
      <w:r w:rsidR="00F857B7" w:rsidRPr="00275FBD">
        <w:rPr>
          <w:rFonts w:cs="TimesNewRomanPSMT"/>
          <w:szCs w:val="20"/>
          <w:lang w:val="sl-SI" w:eastAsia="en-GB"/>
        </w:rPr>
        <w:t>e</w:t>
      </w:r>
      <w:r w:rsidRPr="00275FBD">
        <w:rPr>
          <w:rFonts w:cs="TimesNewRomanPSMT"/>
          <w:szCs w:val="20"/>
          <w:lang w:val="sl-SI" w:eastAsia="en-GB"/>
        </w:rPr>
        <w:t xml:space="preserve"> </w:t>
      </w:r>
      <w:r w:rsidR="00F857B7" w:rsidRPr="00275FBD">
        <w:rPr>
          <w:rFonts w:cs="TimesNewRomanPSMT"/>
          <w:szCs w:val="20"/>
          <w:lang w:val="sl-SI" w:eastAsia="en-GB"/>
        </w:rPr>
        <w:t xml:space="preserve">najdbe </w:t>
      </w:r>
      <w:r w:rsidRPr="00275FBD">
        <w:rPr>
          <w:rFonts w:cs="TimesNewRomanPSMT"/>
          <w:szCs w:val="20"/>
          <w:lang w:val="sl-SI" w:eastAsia="en-GB"/>
        </w:rPr>
        <w:t xml:space="preserve">je bilo ugotovljeno, da so na podlagi ocenjevalne lestvice PSR3 v območju nizke pomembnosti in brez vpliva na skladnost s sodobnimi standardi. Kljub temu </w:t>
      </w:r>
      <w:r w:rsidR="00D36C8D">
        <w:rPr>
          <w:rFonts w:cs="TimesNewRomanPSMT"/>
          <w:szCs w:val="20"/>
          <w:lang w:val="sl-SI" w:eastAsia="en-GB"/>
        </w:rPr>
        <w:t>so</w:t>
      </w:r>
      <w:r w:rsidRPr="00275FBD">
        <w:rPr>
          <w:rFonts w:cs="TimesNewRomanPSMT"/>
          <w:szCs w:val="20"/>
          <w:lang w:val="sl-SI" w:eastAsia="en-GB"/>
        </w:rPr>
        <w:t xml:space="preserve"> števil</w:t>
      </w:r>
      <w:r w:rsidR="00D36C8D">
        <w:rPr>
          <w:rFonts w:cs="TimesNewRomanPSMT"/>
          <w:szCs w:val="20"/>
          <w:lang w:val="sl-SI" w:eastAsia="en-GB"/>
        </w:rPr>
        <w:t>ne</w:t>
      </w:r>
      <w:r w:rsidRPr="00275FBD">
        <w:rPr>
          <w:rFonts w:cs="TimesNewRomanPSMT"/>
          <w:szCs w:val="20"/>
          <w:lang w:val="sl-SI" w:eastAsia="en-GB"/>
        </w:rPr>
        <w:t xml:space="preserve"> vključen</w:t>
      </w:r>
      <w:r w:rsidR="00D36C8D">
        <w:rPr>
          <w:rFonts w:cs="TimesNewRomanPSMT"/>
          <w:szCs w:val="20"/>
          <w:lang w:val="sl-SI" w:eastAsia="en-GB"/>
        </w:rPr>
        <w:t>e</w:t>
      </w:r>
      <w:r w:rsidRPr="00275FBD">
        <w:rPr>
          <w:rFonts w:cs="TimesNewRomanPSMT"/>
          <w:szCs w:val="20"/>
          <w:lang w:val="sl-SI" w:eastAsia="en-GB"/>
        </w:rPr>
        <w:t xml:space="preserve"> v IAP / CAP na podlagi </w:t>
      </w:r>
      <w:r w:rsidR="004845C3">
        <w:rPr>
          <w:rFonts w:cs="TimesNewRomanPSMT"/>
          <w:szCs w:val="20"/>
          <w:lang w:val="sl-SI" w:eastAsia="en-GB"/>
        </w:rPr>
        <w:t>zahteve</w:t>
      </w:r>
      <w:r w:rsidRPr="00275FBD">
        <w:rPr>
          <w:rFonts w:cs="TimesNewRomanPSMT"/>
          <w:szCs w:val="20"/>
          <w:lang w:val="sl-SI" w:eastAsia="en-GB"/>
        </w:rPr>
        <w:t xml:space="preserve"> URSJV oziroma AI in se bo njihovo reševanje spremljalo na enak način kot pri ostalih. </w:t>
      </w:r>
      <w:r w:rsidR="003A476B" w:rsidRPr="00275FBD">
        <w:rPr>
          <w:rFonts w:cs="TimesNewRomanPSMT"/>
          <w:szCs w:val="20"/>
          <w:lang w:val="sl-SI" w:eastAsia="en-GB"/>
        </w:rPr>
        <w:t>Najdbe</w:t>
      </w:r>
      <w:r w:rsidRPr="00275FBD">
        <w:rPr>
          <w:rFonts w:cs="TimesNewRomanPSMT"/>
          <w:szCs w:val="20"/>
          <w:lang w:val="sl-SI" w:eastAsia="en-GB"/>
        </w:rPr>
        <w:t>, ki niso vključen</w:t>
      </w:r>
      <w:r w:rsidR="003A476B" w:rsidRPr="00275FBD">
        <w:rPr>
          <w:rFonts w:cs="TimesNewRomanPSMT"/>
          <w:szCs w:val="20"/>
          <w:lang w:val="sl-SI" w:eastAsia="en-GB"/>
        </w:rPr>
        <w:t>e</w:t>
      </w:r>
      <w:r w:rsidRPr="00275FBD">
        <w:rPr>
          <w:rFonts w:cs="TimesNewRomanPSMT"/>
          <w:szCs w:val="20"/>
          <w:lang w:val="sl-SI" w:eastAsia="en-GB"/>
        </w:rPr>
        <w:t xml:space="preserve"> v ta IAP, bodo ponovno obravnavan</w:t>
      </w:r>
      <w:r w:rsidR="003A476B" w:rsidRPr="00275FBD">
        <w:rPr>
          <w:rFonts w:cs="TimesNewRomanPSMT"/>
          <w:szCs w:val="20"/>
          <w:lang w:val="sl-SI" w:eastAsia="en-GB"/>
        </w:rPr>
        <w:t>e</w:t>
      </w:r>
      <w:r w:rsidRPr="00275FBD">
        <w:rPr>
          <w:rFonts w:cs="TimesNewRomanPSMT"/>
          <w:szCs w:val="20"/>
          <w:lang w:val="sl-SI" w:eastAsia="en-GB"/>
        </w:rPr>
        <w:t xml:space="preserve"> na naslednjem PSR.</w:t>
      </w:r>
    </w:p>
    <w:p w14:paraId="1FC8F126" w14:textId="4D63DAA4" w:rsidR="00D64357" w:rsidRPr="00275FBD" w:rsidRDefault="00D64357" w:rsidP="00D64357">
      <w:pPr>
        <w:rPr>
          <w:rFonts w:cs="TimesNewRomanPSMT"/>
          <w:szCs w:val="20"/>
          <w:lang w:val="sl-SI" w:eastAsia="en-GB"/>
        </w:rPr>
      </w:pPr>
      <w:r w:rsidRPr="00275FBD">
        <w:rPr>
          <w:rFonts w:cs="TimesNewRomanPSMT"/>
          <w:szCs w:val="20"/>
          <w:lang w:val="sl-SI" w:eastAsia="en-GB"/>
        </w:rPr>
        <w:t xml:space="preserve">Kot lahko zaključimo, je bilo od skupno 254 </w:t>
      </w:r>
      <w:r w:rsidR="00BD5705" w:rsidRPr="00275FBD">
        <w:rPr>
          <w:rFonts w:cs="TimesNewRomanPSMT"/>
          <w:szCs w:val="20"/>
          <w:lang w:val="sl-SI" w:eastAsia="en-GB"/>
        </w:rPr>
        <w:t xml:space="preserve">najdb </w:t>
      </w:r>
      <w:r w:rsidRPr="00275FBD">
        <w:rPr>
          <w:rFonts w:cs="TimesNewRomanPSMT"/>
          <w:szCs w:val="20"/>
          <w:lang w:val="sl-SI" w:eastAsia="en-GB"/>
        </w:rPr>
        <w:t xml:space="preserve">28 </w:t>
      </w:r>
      <w:r w:rsidR="00720355">
        <w:rPr>
          <w:rFonts w:cs="TimesNewRomanPSMT"/>
          <w:szCs w:val="20"/>
          <w:lang w:val="sl-SI" w:eastAsia="en-GB"/>
        </w:rPr>
        <w:t>raz</w:t>
      </w:r>
      <w:r w:rsidRPr="00275FBD">
        <w:rPr>
          <w:rFonts w:cs="TimesNewRomanPSMT"/>
          <w:szCs w:val="20"/>
          <w:lang w:val="sl-SI" w:eastAsia="en-GB"/>
        </w:rPr>
        <w:t xml:space="preserve">rešenih med fazo pregleda, za dodatnih 33 </w:t>
      </w:r>
      <w:r w:rsidR="00BD5705" w:rsidRPr="00275FBD">
        <w:rPr>
          <w:rFonts w:cs="TimesNewRomanPSMT"/>
          <w:szCs w:val="20"/>
          <w:lang w:val="sl-SI" w:eastAsia="en-GB"/>
        </w:rPr>
        <w:t xml:space="preserve">najdb </w:t>
      </w:r>
      <w:r w:rsidRPr="00275FBD">
        <w:rPr>
          <w:rFonts w:cs="TimesNewRomanPSMT"/>
          <w:szCs w:val="20"/>
          <w:lang w:val="sl-SI" w:eastAsia="en-GB"/>
        </w:rPr>
        <w:t xml:space="preserve">pa je bilo ugotovljeno, da </w:t>
      </w:r>
      <w:r w:rsidR="00A7693C">
        <w:rPr>
          <w:rFonts w:cs="TimesNewRomanPSMT"/>
          <w:szCs w:val="20"/>
          <w:lang w:val="sl-SI" w:eastAsia="en-GB"/>
        </w:rPr>
        <w:t>so izvedljive</w:t>
      </w:r>
      <w:r w:rsidRPr="00275FBD">
        <w:rPr>
          <w:rFonts w:cs="TimesNewRomanPSMT"/>
          <w:szCs w:val="20"/>
          <w:lang w:val="sl-SI" w:eastAsia="en-GB"/>
        </w:rPr>
        <w:t xml:space="preserve"> z majhnim naporom.</w:t>
      </w:r>
    </w:p>
    <w:p w14:paraId="7AD7EEFB" w14:textId="6A9394F1" w:rsidR="00D64357" w:rsidRPr="00275FBD" w:rsidRDefault="004845C3" w:rsidP="00D64357">
      <w:pPr>
        <w:rPr>
          <w:rFonts w:cs="TimesNewRomanPSMT"/>
          <w:szCs w:val="20"/>
          <w:lang w:val="sl-SI" w:eastAsia="en-GB"/>
        </w:rPr>
      </w:pPr>
      <w:r>
        <w:rPr>
          <w:rFonts w:cs="TimesNewRomanPSMT"/>
          <w:szCs w:val="20"/>
          <w:lang w:val="sl-SI" w:eastAsia="en-GB"/>
        </w:rPr>
        <w:t>Skupaj</w:t>
      </w:r>
      <w:r w:rsidR="00D64357" w:rsidRPr="00275FBD">
        <w:rPr>
          <w:rFonts w:cs="TimesNewRomanPSMT"/>
          <w:szCs w:val="20"/>
          <w:lang w:val="sl-SI" w:eastAsia="en-GB"/>
        </w:rPr>
        <w:t xml:space="preserve"> 15 </w:t>
      </w:r>
      <w:r w:rsidRPr="00275FBD">
        <w:rPr>
          <w:rFonts w:cs="TimesNewRomanPSMT"/>
          <w:szCs w:val="20"/>
          <w:lang w:val="sl-SI" w:eastAsia="en-GB"/>
        </w:rPr>
        <w:t>najdb</w:t>
      </w:r>
      <w:r w:rsidR="007158D5">
        <w:rPr>
          <w:rFonts w:cs="TimesNewRomanPSMT"/>
          <w:szCs w:val="20"/>
          <w:lang w:val="sl-SI" w:eastAsia="en-GB"/>
        </w:rPr>
        <w:t>,</w:t>
      </w:r>
      <w:r w:rsidRPr="00275FBD">
        <w:rPr>
          <w:rFonts w:cs="TimesNewRomanPSMT"/>
          <w:szCs w:val="20"/>
          <w:lang w:val="sl-SI" w:eastAsia="en-GB"/>
        </w:rPr>
        <w:t xml:space="preserve"> </w:t>
      </w:r>
      <w:r w:rsidR="00D64357" w:rsidRPr="00275FBD">
        <w:rPr>
          <w:rFonts w:cs="TimesNewRomanPSMT"/>
          <w:szCs w:val="20"/>
          <w:lang w:val="sl-SI" w:eastAsia="en-GB"/>
        </w:rPr>
        <w:t xml:space="preserve">razvrščenih v skupino »IRR« </w:t>
      </w:r>
      <w:r w:rsidR="00522AF7">
        <w:rPr>
          <w:rFonts w:cs="TimesNewRomanPSMT"/>
          <w:szCs w:val="20"/>
          <w:lang w:val="sl-SI" w:eastAsia="en-GB"/>
        </w:rPr>
        <w:t>(s</w:t>
      </w:r>
      <w:r w:rsidR="00D64357" w:rsidRPr="00275FBD">
        <w:rPr>
          <w:rFonts w:cs="TimesNewRomanPSMT"/>
          <w:szCs w:val="20"/>
          <w:lang w:val="sl-SI" w:eastAsia="en-GB"/>
        </w:rPr>
        <w:t xml:space="preserve"> 14 </w:t>
      </w:r>
      <w:r w:rsidR="00BD5705" w:rsidRPr="00275FBD">
        <w:rPr>
          <w:rFonts w:cs="TimesNewRomanPSMT"/>
          <w:szCs w:val="20"/>
          <w:lang w:val="sl-SI" w:eastAsia="en-GB"/>
        </w:rPr>
        <w:t>najdb</w:t>
      </w:r>
      <w:r w:rsidR="00522AF7">
        <w:rPr>
          <w:rFonts w:cs="TimesNewRomanPSMT"/>
          <w:szCs w:val="20"/>
          <w:lang w:val="sl-SI" w:eastAsia="en-GB"/>
        </w:rPr>
        <w:t>ami</w:t>
      </w:r>
      <w:r w:rsidR="00BD5705" w:rsidRPr="00275FBD">
        <w:rPr>
          <w:rFonts w:cs="TimesNewRomanPSMT"/>
          <w:szCs w:val="20"/>
          <w:lang w:val="sl-SI" w:eastAsia="en-GB"/>
        </w:rPr>
        <w:t xml:space="preserve"> </w:t>
      </w:r>
      <w:r w:rsidR="00D64357" w:rsidRPr="00275FBD">
        <w:rPr>
          <w:rFonts w:cs="TimesNewRomanPSMT"/>
          <w:szCs w:val="20"/>
          <w:lang w:val="sl-SI" w:eastAsia="en-GB"/>
        </w:rPr>
        <w:t>iz programa »Pred-</w:t>
      </w:r>
      <w:r w:rsidR="00720355">
        <w:rPr>
          <w:rFonts w:cs="TimesNewRomanPSMT"/>
          <w:szCs w:val="20"/>
          <w:lang w:val="sl-SI" w:eastAsia="en-GB"/>
        </w:rPr>
        <w:t>SALTO</w:t>
      </w:r>
      <w:r w:rsidR="00D64357" w:rsidRPr="00275FBD">
        <w:rPr>
          <w:rFonts w:cs="TimesNewRomanPSMT"/>
          <w:szCs w:val="20"/>
          <w:lang w:val="sl-SI" w:eastAsia="en-GB"/>
        </w:rPr>
        <w:t>«</w:t>
      </w:r>
      <w:r w:rsidR="00522AF7">
        <w:rPr>
          <w:rFonts w:cs="TimesNewRomanPSMT"/>
          <w:szCs w:val="20"/>
          <w:lang w:val="sl-SI" w:eastAsia="en-GB"/>
        </w:rPr>
        <w:t>)</w:t>
      </w:r>
      <w:r w:rsidR="007158D5">
        <w:rPr>
          <w:rFonts w:cs="TimesNewRomanPSMT"/>
          <w:szCs w:val="20"/>
          <w:lang w:val="sl-SI" w:eastAsia="en-GB"/>
        </w:rPr>
        <w:t>,</w:t>
      </w:r>
      <w:r w:rsidR="00D64357" w:rsidRPr="00275FBD">
        <w:rPr>
          <w:rFonts w:cs="TimesNewRomanPSMT"/>
          <w:szCs w:val="20"/>
          <w:lang w:val="sl-SI" w:eastAsia="en-GB"/>
        </w:rPr>
        <w:t xml:space="preserve"> </w:t>
      </w:r>
      <w:r w:rsidR="00522AF7">
        <w:rPr>
          <w:rFonts w:cs="TimesNewRomanPSMT"/>
          <w:szCs w:val="20"/>
          <w:lang w:val="sl-SI" w:eastAsia="en-GB"/>
        </w:rPr>
        <w:t>je</w:t>
      </w:r>
      <w:r>
        <w:rPr>
          <w:rFonts w:cs="TimesNewRomanPSMT"/>
          <w:szCs w:val="20"/>
          <w:lang w:val="sl-SI" w:eastAsia="en-GB"/>
        </w:rPr>
        <w:t xml:space="preserve"> v PSR3 poročilu </w:t>
      </w:r>
      <w:r w:rsidR="00522AF7">
        <w:rPr>
          <w:rFonts w:cs="TimesNewRomanPSMT"/>
          <w:szCs w:val="20"/>
          <w:lang w:val="sl-SI" w:eastAsia="en-GB"/>
        </w:rPr>
        <w:t xml:space="preserve">navedeno </w:t>
      </w:r>
      <w:r w:rsidR="00D64357" w:rsidRPr="00275FBD">
        <w:rPr>
          <w:rFonts w:cs="TimesNewRomanPSMT"/>
          <w:szCs w:val="20"/>
          <w:lang w:val="sl-SI" w:eastAsia="en-GB"/>
        </w:rPr>
        <w:t>samo za namene dokumentiranja (zahteva URSJV</w:t>
      </w:r>
      <w:r w:rsidR="00522AF7">
        <w:rPr>
          <w:rFonts w:cs="TimesNewRomanPSMT"/>
          <w:szCs w:val="20"/>
          <w:lang w:val="sl-SI" w:eastAsia="en-GB"/>
        </w:rPr>
        <w:t>), saj</w:t>
      </w:r>
      <w:r w:rsidR="00D64357" w:rsidRPr="00275FBD">
        <w:rPr>
          <w:rFonts w:cs="TimesNewRomanPSMT"/>
          <w:szCs w:val="20"/>
          <w:lang w:val="sl-SI" w:eastAsia="en-GB"/>
        </w:rPr>
        <w:t xml:space="preserve"> njihova izvedba sledi posebnemu, namenskemu, akcijskemu načrtu in ne bo del akcijskega načrta PSR3)</w:t>
      </w:r>
      <w:r w:rsidR="007158D5">
        <w:rPr>
          <w:rFonts w:cs="TimesNewRomanPSMT"/>
          <w:szCs w:val="20"/>
          <w:lang w:val="sl-SI" w:eastAsia="en-GB"/>
        </w:rPr>
        <w:t>. Enako velja za</w:t>
      </w:r>
      <w:r w:rsidR="00D64357" w:rsidRPr="00275FBD">
        <w:rPr>
          <w:rFonts w:cs="TimesNewRomanPSMT"/>
          <w:szCs w:val="20"/>
          <w:lang w:val="sl-SI" w:eastAsia="en-GB"/>
        </w:rPr>
        <w:t xml:space="preserve"> en ukrep posodobitve verjetnostne analize seizmične nevarnosti, ki je že v izvedbi.</w:t>
      </w:r>
    </w:p>
    <w:p w14:paraId="48F80B85" w14:textId="35C17C70" w:rsidR="00D64357" w:rsidRPr="00275FBD" w:rsidRDefault="00D64357" w:rsidP="00D64357">
      <w:pPr>
        <w:rPr>
          <w:rFonts w:cs="TimesNewRomanPSMT"/>
          <w:szCs w:val="20"/>
          <w:lang w:val="sl-SI" w:eastAsia="en-GB"/>
        </w:rPr>
      </w:pPr>
      <w:r w:rsidRPr="00275FBD">
        <w:rPr>
          <w:rFonts w:cs="TimesNewRomanPSMT"/>
          <w:szCs w:val="20"/>
          <w:lang w:val="sl-SI" w:eastAsia="en-GB"/>
        </w:rPr>
        <w:t xml:space="preserve">Od preostalih </w:t>
      </w:r>
      <w:r w:rsidR="00BD5705" w:rsidRPr="00275FBD">
        <w:rPr>
          <w:rFonts w:cs="TimesNewRomanPSMT"/>
          <w:szCs w:val="20"/>
          <w:lang w:val="sl-SI" w:eastAsia="en-GB"/>
        </w:rPr>
        <w:t xml:space="preserve">najdb </w:t>
      </w:r>
      <w:r w:rsidRPr="00275FBD">
        <w:rPr>
          <w:rFonts w:cs="TimesNewRomanPSMT"/>
          <w:szCs w:val="20"/>
          <w:lang w:val="sl-SI" w:eastAsia="en-GB"/>
        </w:rPr>
        <w:t>en</w:t>
      </w:r>
      <w:r w:rsidR="00A20E01" w:rsidRPr="00275FBD">
        <w:rPr>
          <w:rFonts w:cs="TimesNewRomanPSMT"/>
          <w:szCs w:val="20"/>
          <w:lang w:val="sl-SI" w:eastAsia="en-GB"/>
        </w:rPr>
        <w:t>a</w:t>
      </w:r>
      <w:r w:rsidRPr="00275FBD">
        <w:rPr>
          <w:rFonts w:cs="TimesNewRomanPSMT"/>
          <w:szCs w:val="20"/>
          <w:lang w:val="sl-SI" w:eastAsia="en-GB"/>
        </w:rPr>
        <w:t xml:space="preserve"> </w:t>
      </w:r>
      <w:r w:rsidR="00A20E01" w:rsidRPr="00275FBD">
        <w:rPr>
          <w:rFonts w:cs="TimesNewRomanPSMT"/>
          <w:szCs w:val="20"/>
          <w:lang w:val="sl-SI" w:eastAsia="en-GB"/>
        </w:rPr>
        <w:t>najdba</w:t>
      </w:r>
      <w:r w:rsidRPr="00275FBD">
        <w:rPr>
          <w:rFonts w:cs="TimesNewRomanPSMT"/>
          <w:szCs w:val="20"/>
          <w:lang w:val="sl-SI" w:eastAsia="en-GB"/>
        </w:rPr>
        <w:t xml:space="preserve"> predstavlja pozitivno najdbo (ki ne zahteva ukrepa) in en</w:t>
      </w:r>
      <w:r w:rsidR="00A20E01" w:rsidRPr="00275FBD">
        <w:rPr>
          <w:rFonts w:cs="TimesNewRomanPSMT"/>
          <w:szCs w:val="20"/>
          <w:lang w:val="sl-SI" w:eastAsia="en-GB"/>
        </w:rPr>
        <w:t>a</w:t>
      </w:r>
      <w:r w:rsidRPr="00275FBD">
        <w:rPr>
          <w:rFonts w:cs="TimesNewRomanPSMT"/>
          <w:szCs w:val="20"/>
          <w:lang w:val="sl-SI" w:eastAsia="en-GB"/>
        </w:rPr>
        <w:t xml:space="preserve"> </w:t>
      </w:r>
      <w:r w:rsidR="00A20E01" w:rsidRPr="00275FBD">
        <w:rPr>
          <w:rFonts w:cs="TimesNewRomanPSMT"/>
          <w:szCs w:val="20"/>
          <w:lang w:val="sl-SI" w:eastAsia="en-GB"/>
        </w:rPr>
        <w:t>najdba</w:t>
      </w:r>
      <w:r w:rsidRPr="00275FBD">
        <w:rPr>
          <w:rFonts w:cs="TimesNewRomanPSMT"/>
          <w:szCs w:val="20"/>
          <w:lang w:val="sl-SI" w:eastAsia="en-GB"/>
        </w:rPr>
        <w:t xml:space="preserve"> </w:t>
      </w:r>
      <w:r w:rsidR="00522AF7">
        <w:rPr>
          <w:rFonts w:cs="TimesNewRomanPSMT"/>
          <w:szCs w:val="20"/>
          <w:lang w:val="sl-SI" w:eastAsia="en-GB"/>
        </w:rPr>
        <w:t>prihaja</w:t>
      </w:r>
      <w:r w:rsidR="00522AF7" w:rsidRPr="00275FBD">
        <w:rPr>
          <w:rFonts w:cs="TimesNewRomanPSMT"/>
          <w:szCs w:val="20"/>
          <w:lang w:val="sl-SI" w:eastAsia="en-GB"/>
        </w:rPr>
        <w:t xml:space="preserve"> </w:t>
      </w:r>
      <w:r w:rsidRPr="00275FBD">
        <w:rPr>
          <w:rFonts w:cs="TimesNewRomanPSMT"/>
          <w:szCs w:val="20"/>
          <w:lang w:val="sl-SI" w:eastAsia="en-GB"/>
        </w:rPr>
        <w:t xml:space="preserve">iz varnostne </w:t>
      </w:r>
      <w:r w:rsidR="00FE4C6E">
        <w:rPr>
          <w:rFonts w:cs="TimesNewRomanPSMT"/>
          <w:szCs w:val="20"/>
          <w:lang w:val="sl-SI" w:eastAsia="en-GB"/>
        </w:rPr>
        <w:t>vsebine</w:t>
      </w:r>
      <w:r w:rsidR="00FE4C6E" w:rsidRPr="00275FBD">
        <w:rPr>
          <w:rFonts w:cs="TimesNewRomanPSMT"/>
          <w:szCs w:val="20"/>
          <w:lang w:val="sl-SI" w:eastAsia="en-GB"/>
        </w:rPr>
        <w:t xml:space="preserve"> </w:t>
      </w:r>
      <w:r w:rsidRPr="00275FBD">
        <w:rPr>
          <w:rFonts w:cs="TimesNewRomanPSMT"/>
          <w:szCs w:val="20"/>
          <w:lang w:val="sl-SI" w:eastAsia="en-GB"/>
        </w:rPr>
        <w:t>“17” za neposredno vključitev v IAP.</w:t>
      </w:r>
    </w:p>
    <w:p w14:paraId="6EDEBC5D" w14:textId="5ACFB45F" w:rsidR="00D64357" w:rsidRPr="00275FBD" w:rsidRDefault="00D64357" w:rsidP="00D64357">
      <w:pPr>
        <w:rPr>
          <w:rFonts w:cs="TimesNewRomanPSMT"/>
          <w:szCs w:val="20"/>
          <w:lang w:val="sl-SI" w:eastAsia="en-GB"/>
        </w:rPr>
      </w:pPr>
      <w:r w:rsidRPr="00275FBD">
        <w:rPr>
          <w:rFonts w:cs="TimesNewRomanPSMT"/>
          <w:szCs w:val="20"/>
          <w:lang w:val="sl-SI" w:eastAsia="en-GB"/>
        </w:rPr>
        <w:t xml:space="preserve">Preostalih 176 </w:t>
      </w:r>
      <w:r w:rsidR="00BD5705" w:rsidRPr="00275FBD">
        <w:rPr>
          <w:rFonts w:cs="TimesNewRomanPSMT"/>
          <w:szCs w:val="20"/>
          <w:lang w:val="sl-SI" w:eastAsia="en-GB"/>
        </w:rPr>
        <w:t xml:space="preserve">najdb </w:t>
      </w:r>
      <w:r w:rsidRPr="00275FBD">
        <w:rPr>
          <w:rFonts w:cs="TimesNewRomanPSMT"/>
          <w:szCs w:val="20"/>
          <w:lang w:val="sl-SI" w:eastAsia="en-GB"/>
        </w:rPr>
        <w:t xml:space="preserve">je razvrščenih glede na kategorijo vpliva in razvrstitev. Od tega števila </w:t>
      </w:r>
      <w:r w:rsidR="00BD5705" w:rsidRPr="00275FBD">
        <w:rPr>
          <w:rFonts w:cs="TimesNewRomanPSMT"/>
          <w:szCs w:val="20"/>
          <w:lang w:val="sl-SI" w:eastAsia="en-GB"/>
        </w:rPr>
        <w:t xml:space="preserve">najdb </w:t>
      </w:r>
      <w:r w:rsidRPr="00275FBD">
        <w:rPr>
          <w:rFonts w:cs="TimesNewRomanPSMT"/>
          <w:szCs w:val="20"/>
          <w:lang w:val="sl-SI" w:eastAsia="en-GB"/>
        </w:rPr>
        <w:t>je bilo 49 ukrepov vključenih v izvedbeni akcijski načrt na podlagi ranga</w:t>
      </w:r>
      <w:r w:rsidR="00522AF7">
        <w:rPr>
          <w:rFonts w:cs="TimesNewRomanPSMT"/>
          <w:szCs w:val="20"/>
          <w:lang w:val="sl-SI" w:eastAsia="en-GB"/>
        </w:rPr>
        <w:t xml:space="preserve"> 4 ali več</w:t>
      </w:r>
      <w:r w:rsidRPr="00275FBD">
        <w:rPr>
          <w:rFonts w:cs="TimesNewRomanPSMT"/>
          <w:szCs w:val="20"/>
          <w:lang w:val="sl-SI" w:eastAsia="en-GB"/>
        </w:rPr>
        <w:t xml:space="preserve">. Od preostalih 127 </w:t>
      </w:r>
      <w:r w:rsidR="00BD5705" w:rsidRPr="00275FBD">
        <w:rPr>
          <w:rFonts w:cs="TimesNewRomanPSMT"/>
          <w:szCs w:val="20"/>
          <w:lang w:val="sl-SI" w:eastAsia="en-GB"/>
        </w:rPr>
        <w:t xml:space="preserve">najdb </w:t>
      </w:r>
      <w:r w:rsidRPr="00275FBD">
        <w:rPr>
          <w:rFonts w:cs="TimesNewRomanPSMT"/>
          <w:szCs w:val="20"/>
          <w:lang w:val="sl-SI" w:eastAsia="en-GB"/>
        </w:rPr>
        <w:t xml:space="preserve">(176-49) je URSJV </w:t>
      </w:r>
      <w:r w:rsidR="00B1343F" w:rsidRPr="00275FBD">
        <w:rPr>
          <w:rFonts w:cs="TimesNewRomanPSMT"/>
          <w:szCs w:val="20"/>
          <w:lang w:val="sl-SI" w:eastAsia="en-GB"/>
        </w:rPr>
        <w:t>zahtevala</w:t>
      </w:r>
      <w:r w:rsidRPr="00275FBD">
        <w:rPr>
          <w:rFonts w:cs="TimesNewRomanPSMT"/>
          <w:szCs w:val="20"/>
          <w:lang w:val="sl-SI" w:eastAsia="en-GB"/>
        </w:rPr>
        <w:t xml:space="preserve"> </w:t>
      </w:r>
      <w:r w:rsidR="00522AF7">
        <w:rPr>
          <w:rFonts w:cs="TimesNewRomanPSMT"/>
          <w:szCs w:val="20"/>
          <w:lang w:val="sl-SI" w:eastAsia="en-GB"/>
        </w:rPr>
        <w:t xml:space="preserve">vključitev </w:t>
      </w:r>
      <w:r w:rsidRPr="00275FBD">
        <w:rPr>
          <w:rFonts w:cs="TimesNewRomanPSMT"/>
          <w:szCs w:val="20"/>
          <w:lang w:val="sl-SI" w:eastAsia="en-GB"/>
        </w:rPr>
        <w:t>51 ukrepov</w:t>
      </w:r>
      <w:r w:rsidR="00522AF7">
        <w:rPr>
          <w:rFonts w:cs="TimesNewRomanPSMT"/>
          <w:szCs w:val="20"/>
          <w:lang w:val="sl-SI" w:eastAsia="en-GB"/>
        </w:rPr>
        <w:t xml:space="preserve"> v IAP</w:t>
      </w:r>
      <w:r w:rsidRPr="00275FBD">
        <w:rPr>
          <w:rFonts w:cs="TimesNewRomanPSMT"/>
          <w:szCs w:val="20"/>
          <w:lang w:val="sl-SI" w:eastAsia="en-GB"/>
        </w:rPr>
        <w:t>, AI pa 2 dodatna ukrepa za akcijski načrt. Tudi te so bile vključene.</w:t>
      </w:r>
    </w:p>
    <w:p w14:paraId="25F697C2" w14:textId="3AC5DF6E" w:rsidR="00D64357" w:rsidRPr="00275FBD" w:rsidRDefault="00D64357" w:rsidP="00D64357">
      <w:pPr>
        <w:rPr>
          <w:rFonts w:cs="TimesNewRomanPSMT"/>
          <w:szCs w:val="20"/>
          <w:lang w:val="sl-SI" w:eastAsia="en-GB"/>
        </w:rPr>
      </w:pPr>
      <w:r w:rsidRPr="00275FBD">
        <w:rPr>
          <w:rFonts w:cs="TimesNewRomanPSMT"/>
          <w:szCs w:val="20"/>
          <w:lang w:val="sl-SI" w:eastAsia="en-GB"/>
        </w:rPr>
        <w:t>Preostal</w:t>
      </w:r>
      <w:r w:rsidR="00522AF7">
        <w:rPr>
          <w:rFonts w:cs="TimesNewRomanPSMT"/>
          <w:szCs w:val="20"/>
          <w:lang w:val="sl-SI" w:eastAsia="en-GB"/>
        </w:rPr>
        <w:t>o je</w:t>
      </w:r>
      <w:r w:rsidRPr="00275FBD">
        <w:rPr>
          <w:rFonts w:cs="TimesNewRomanPSMT"/>
          <w:szCs w:val="20"/>
          <w:lang w:val="sl-SI" w:eastAsia="en-GB"/>
        </w:rPr>
        <w:t xml:space="preserve"> 74 </w:t>
      </w:r>
      <w:r w:rsidR="00522AF7">
        <w:rPr>
          <w:rFonts w:cs="TimesNewRomanPSMT"/>
          <w:szCs w:val="20"/>
          <w:lang w:val="sl-SI" w:eastAsia="en-GB"/>
        </w:rPr>
        <w:t xml:space="preserve">nerazvrščenih </w:t>
      </w:r>
      <w:r w:rsidR="00BD5705" w:rsidRPr="00275FBD">
        <w:rPr>
          <w:rFonts w:cs="TimesNewRomanPSMT"/>
          <w:szCs w:val="20"/>
          <w:lang w:val="sl-SI" w:eastAsia="en-GB"/>
        </w:rPr>
        <w:t>najdb</w:t>
      </w:r>
      <w:r w:rsidR="00522AF7">
        <w:rPr>
          <w:rFonts w:cs="TimesNewRomanPSMT"/>
          <w:szCs w:val="20"/>
          <w:lang w:val="sl-SI" w:eastAsia="en-GB"/>
        </w:rPr>
        <w:t>,</w:t>
      </w:r>
      <w:r w:rsidR="00BD5705" w:rsidRPr="00275FBD">
        <w:rPr>
          <w:rFonts w:cs="TimesNewRomanPSMT"/>
          <w:szCs w:val="20"/>
          <w:lang w:val="sl-SI" w:eastAsia="en-GB"/>
        </w:rPr>
        <w:t xml:space="preserve"> </w:t>
      </w:r>
      <w:r w:rsidR="007158D5">
        <w:rPr>
          <w:rFonts w:cs="TimesNewRomanPSMT"/>
          <w:szCs w:val="20"/>
          <w:lang w:val="sl-SI" w:eastAsia="en-GB"/>
        </w:rPr>
        <w:t xml:space="preserve">ki </w:t>
      </w:r>
      <w:r w:rsidRPr="00275FBD">
        <w:rPr>
          <w:rFonts w:cs="TimesNewRomanPSMT"/>
          <w:szCs w:val="20"/>
          <w:lang w:val="sl-SI" w:eastAsia="en-GB"/>
        </w:rPr>
        <w:t>ni</w:t>
      </w:r>
      <w:r w:rsidR="00522AF7">
        <w:rPr>
          <w:rFonts w:cs="TimesNewRomanPSMT"/>
          <w:szCs w:val="20"/>
          <w:lang w:val="sl-SI" w:eastAsia="en-GB"/>
        </w:rPr>
        <w:t>s</w:t>
      </w:r>
      <w:r w:rsidR="007158D5">
        <w:rPr>
          <w:rFonts w:cs="TimesNewRomanPSMT"/>
          <w:szCs w:val="20"/>
          <w:lang w:val="sl-SI" w:eastAsia="en-GB"/>
        </w:rPr>
        <w:t>o</w:t>
      </w:r>
      <w:r w:rsidRPr="00275FBD">
        <w:rPr>
          <w:rFonts w:cs="TimesNewRomanPSMT"/>
          <w:szCs w:val="20"/>
          <w:lang w:val="sl-SI" w:eastAsia="en-GB"/>
        </w:rPr>
        <w:t xml:space="preserve"> </w:t>
      </w:r>
      <w:r w:rsidR="00522AF7">
        <w:rPr>
          <w:rFonts w:cs="TimesNewRomanPSMT"/>
          <w:szCs w:val="20"/>
          <w:lang w:val="sl-SI" w:eastAsia="en-GB"/>
        </w:rPr>
        <w:t>vključene v IAP</w:t>
      </w:r>
      <w:r w:rsidRPr="00275FBD">
        <w:rPr>
          <w:rFonts w:cs="TimesNewRomanPSMT"/>
          <w:szCs w:val="20"/>
          <w:lang w:val="sl-SI" w:eastAsia="en-GB"/>
        </w:rPr>
        <w:t xml:space="preserve"> in bodo ponovno obravnavan</w:t>
      </w:r>
      <w:r w:rsidR="00A92BC2">
        <w:rPr>
          <w:rFonts w:cs="TimesNewRomanPSMT"/>
          <w:szCs w:val="20"/>
          <w:lang w:val="sl-SI" w:eastAsia="en-GB"/>
        </w:rPr>
        <w:t>e</w:t>
      </w:r>
      <w:r w:rsidRPr="00275FBD">
        <w:rPr>
          <w:rFonts w:cs="TimesNewRomanPSMT"/>
          <w:szCs w:val="20"/>
          <w:lang w:val="sl-SI" w:eastAsia="en-GB"/>
        </w:rPr>
        <w:t xml:space="preserve"> pri naslednjem PSR.</w:t>
      </w:r>
    </w:p>
    <w:p w14:paraId="2AD85891" w14:textId="008CB678" w:rsidR="00957A44" w:rsidRPr="00275FBD" w:rsidRDefault="00957A44" w:rsidP="00957A44">
      <w:pPr>
        <w:rPr>
          <w:lang w:val="sl-SI" w:eastAsia="en-GB"/>
        </w:rPr>
      </w:pPr>
      <w:r w:rsidRPr="00275FBD">
        <w:rPr>
          <w:lang w:val="sl-SI" w:eastAsia="en-GB"/>
        </w:rPr>
        <w:lastRenderedPageBreak/>
        <w:t xml:space="preserve">Glede na </w:t>
      </w:r>
      <w:r w:rsidR="00522AF7">
        <w:rPr>
          <w:lang w:val="sl-SI" w:eastAsia="en-GB"/>
        </w:rPr>
        <w:t>določe</w:t>
      </w:r>
      <w:r w:rsidR="00522AF7" w:rsidRPr="00275FBD">
        <w:rPr>
          <w:lang w:val="sl-SI" w:eastAsia="en-GB"/>
        </w:rPr>
        <w:t xml:space="preserve">ne </w:t>
      </w:r>
      <w:r w:rsidR="00A20E01" w:rsidRPr="00275FBD">
        <w:rPr>
          <w:lang w:val="sl-SI" w:eastAsia="en-GB"/>
        </w:rPr>
        <w:t>najdbe</w:t>
      </w:r>
      <w:r w:rsidRPr="00275FBD">
        <w:rPr>
          <w:lang w:val="sl-SI" w:eastAsia="en-GB"/>
        </w:rPr>
        <w:t xml:space="preserve">, njihovo presojo in njihovo vključitev v izvedbeni načrt za pravočasno reševanje </w:t>
      </w:r>
      <w:r w:rsidR="00DF40C2" w:rsidRPr="00275FBD">
        <w:rPr>
          <w:lang w:val="sl-SI" w:eastAsia="en-GB"/>
        </w:rPr>
        <w:t>ocenjujemo</w:t>
      </w:r>
      <w:r w:rsidRPr="00275FBD">
        <w:rPr>
          <w:lang w:val="sl-SI" w:eastAsia="en-GB"/>
        </w:rPr>
        <w:t xml:space="preserve">, da ni pomembnega posebnega ali kumulativnega vpliva na stanje varnosti </w:t>
      </w:r>
      <w:r w:rsidR="00A20E01" w:rsidRPr="00275FBD">
        <w:rPr>
          <w:lang w:val="sl-SI" w:eastAsia="en-GB"/>
        </w:rPr>
        <w:t>objekta</w:t>
      </w:r>
      <w:r w:rsidRPr="00275FBD">
        <w:rPr>
          <w:lang w:val="sl-SI" w:eastAsia="en-GB"/>
        </w:rPr>
        <w:t xml:space="preserve">, ocenjeno z vidika </w:t>
      </w:r>
      <w:r w:rsidR="00A20E01" w:rsidRPr="00275FBD">
        <w:rPr>
          <w:lang w:val="sl-SI" w:eastAsia="en-GB"/>
        </w:rPr>
        <w:t>obr</w:t>
      </w:r>
      <w:r w:rsidR="00D36C8D">
        <w:rPr>
          <w:lang w:val="sl-SI" w:eastAsia="en-GB"/>
        </w:rPr>
        <w:t>a</w:t>
      </w:r>
      <w:r w:rsidR="00A20E01" w:rsidRPr="00275FBD">
        <w:rPr>
          <w:lang w:val="sl-SI" w:eastAsia="en-GB"/>
        </w:rPr>
        <w:t xml:space="preserve">mbe v </w:t>
      </w:r>
      <w:r w:rsidRPr="00275FBD">
        <w:rPr>
          <w:lang w:val="sl-SI" w:eastAsia="en-GB"/>
        </w:rPr>
        <w:t>globin</w:t>
      </w:r>
      <w:r w:rsidR="00A20E01" w:rsidRPr="00275FBD">
        <w:rPr>
          <w:lang w:val="sl-SI" w:eastAsia="en-GB"/>
        </w:rPr>
        <w:t>o</w:t>
      </w:r>
      <w:r w:rsidRPr="00275FBD">
        <w:rPr>
          <w:lang w:val="sl-SI" w:eastAsia="en-GB"/>
        </w:rPr>
        <w:t xml:space="preserve"> in ocene tveganja.</w:t>
      </w:r>
      <w:r w:rsidR="0056090A" w:rsidRPr="00275FBD">
        <w:rPr>
          <w:lang w:val="sl-SI" w:eastAsia="en-GB"/>
        </w:rPr>
        <w:t xml:space="preserve"> S tem utemeljujemo, da ni najdb, ki bi preprečile nadaljnje varno obratovanje elektrarne in ni najdb, ki bi neposredno vplivale na jedrsko varnost.</w:t>
      </w:r>
    </w:p>
    <w:p w14:paraId="48CA6DCB" w14:textId="5D7F8AAF" w:rsidR="00957A44" w:rsidRPr="00275FBD" w:rsidRDefault="00093209" w:rsidP="00957A44">
      <w:pPr>
        <w:rPr>
          <w:lang w:val="sl-SI" w:eastAsia="en-GB"/>
        </w:rPr>
      </w:pPr>
      <w:r w:rsidRPr="00275FBD">
        <w:rPr>
          <w:lang w:val="sl-SI" w:eastAsia="en-GB"/>
        </w:rPr>
        <w:t>Dokazana je varnost projekta in obratovanj</w:t>
      </w:r>
      <w:r w:rsidR="00395621" w:rsidRPr="00275FBD">
        <w:rPr>
          <w:lang w:val="sl-SI" w:eastAsia="en-GB"/>
        </w:rPr>
        <w:t>e</w:t>
      </w:r>
      <w:r w:rsidRPr="00275FBD">
        <w:rPr>
          <w:lang w:val="sl-SI" w:eastAsia="en-GB"/>
        </w:rPr>
        <w:t xml:space="preserve"> </w:t>
      </w:r>
      <w:r w:rsidR="00395621" w:rsidRPr="00275FBD">
        <w:rPr>
          <w:lang w:val="sl-SI" w:eastAsia="en-GB"/>
        </w:rPr>
        <w:t>elektrarne</w:t>
      </w:r>
      <w:r w:rsidRPr="00275FBD">
        <w:rPr>
          <w:lang w:val="sl-SI" w:eastAsia="en-GB"/>
        </w:rPr>
        <w:t xml:space="preserve">. </w:t>
      </w:r>
      <w:r w:rsidR="00522AF7">
        <w:rPr>
          <w:lang w:val="sl-SI" w:eastAsia="en-GB"/>
        </w:rPr>
        <w:t xml:space="preserve">V obdobju od PSR2 </w:t>
      </w:r>
      <w:r w:rsidRPr="00275FBD">
        <w:rPr>
          <w:lang w:val="sl-SI" w:eastAsia="en-GB"/>
        </w:rPr>
        <w:t xml:space="preserve">je bil </w:t>
      </w:r>
      <w:r w:rsidR="00522AF7">
        <w:rPr>
          <w:lang w:val="sl-SI" w:eastAsia="en-GB"/>
        </w:rPr>
        <w:t>i</w:t>
      </w:r>
      <w:r w:rsidR="00522AF7" w:rsidRPr="00275FBD">
        <w:rPr>
          <w:lang w:val="sl-SI" w:eastAsia="en-GB"/>
        </w:rPr>
        <w:t xml:space="preserve">zveden </w:t>
      </w:r>
      <w:r w:rsidRPr="00275FBD">
        <w:rPr>
          <w:lang w:val="sl-SI" w:eastAsia="en-GB"/>
        </w:rPr>
        <w:t xml:space="preserve">obsežen program nadgradnje varnosti, </w:t>
      </w:r>
      <w:r w:rsidR="00522AF7">
        <w:rPr>
          <w:lang w:val="sl-SI" w:eastAsia="en-GB"/>
        </w:rPr>
        <w:t xml:space="preserve">ter </w:t>
      </w:r>
      <w:r w:rsidRPr="00275FBD">
        <w:rPr>
          <w:lang w:val="sl-SI" w:eastAsia="en-GB"/>
        </w:rPr>
        <w:t xml:space="preserve">procesi varnostnega pregleda in ocene varnosti. Varnost nadaljnjega obratovanja do naslednjega PSR, ter dolgoročnega obratovanja, bo zagotovljena z načrtovanim izvajanjem ukrepov PSR3, ukrepov </w:t>
      </w:r>
      <w:r w:rsidR="00522AF7">
        <w:rPr>
          <w:lang w:val="sl-SI" w:eastAsia="en-GB"/>
        </w:rPr>
        <w:t>»</w:t>
      </w:r>
      <w:r w:rsidRPr="00275FBD">
        <w:rPr>
          <w:lang w:val="sl-SI" w:eastAsia="en-GB"/>
        </w:rPr>
        <w:t>pred</w:t>
      </w:r>
      <w:r w:rsidR="00522AF7">
        <w:rPr>
          <w:lang w:val="sl-SI" w:eastAsia="en-GB"/>
        </w:rPr>
        <w:t>-</w:t>
      </w:r>
      <w:r w:rsidRPr="00275FBD">
        <w:rPr>
          <w:lang w:val="sl-SI" w:eastAsia="en-GB"/>
        </w:rPr>
        <w:t>SALTO</w:t>
      </w:r>
      <w:r w:rsidR="00522AF7">
        <w:rPr>
          <w:lang w:val="sl-SI" w:eastAsia="en-GB"/>
        </w:rPr>
        <w:t>«</w:t>
      </w:r>
      <w:r w:rsidRPr="00275FBD">
        <w:rPr>
          <w:lang w:val="sl-SI" w:eastAsia="en-GB"/>
        </w:rPr>
        <w:t xml:space="preserve"> ter drugih programov elektrarne, postopkov in določb za nadzor projekta elektrarne, opreme in učinkovitosti človeškega </w:t>
      </w:r>
      <w:r w:rsidR="00FE4C6E">
        <w:rPr>
          <w:lang w:val="sl-SI" w:eastAsia="en-GB"/>
        </w:rPr>
        <w:t>dejavnika</w:t>
      </w:r>
      <w:r w:rsidR="00FE4C6E" w:rsidRPr="00275FBD">
        <w:rPr>
          <w:lang w:val="sl-SI" w:eastAsia="en-GB"/>
        </w:rPr>
        <w:t xml:space="preserve"> </w:t>
      </w:r>
      <w:r w:rsidRPr="00275FBD">
        <w:rPr>
          <w:lang w:val="sl-SI" w:eastAsia="en-GB"/>
        </w:rPr>
        <w:t>ter obratovalne varnosti.</w:t>
      </w:r>
    </w:p>
    <w:p w14:paraId="25B2D68C" w14:textId="54195ECB" w:rsidR="003F722F" w:rsidRPr="00275FBD" w:rsidRDefault="00957A44" w:rsidP="00957A44">
      <w:pPr>
        <w:rPr>
          <w:lang w:val="sl-SI" w:eastAsia="en-GB"/>
        </w:rPr>
      </w:pPr>
      <w:r w:rsidRPr="00275FBD">
        <w:rPr>
          <w:lang w:val="sl-SI" w:eastAsia="en-GB"/>
        </w:rPr>
        <w:t xml:space="preserve">Glede na vse navedeno lahko </w:t>
      </w:r>
      <w:r w:rsidR="00522AF7">
        <w:rPr>
          <w:lang w:val="sl-SI" w:eastAsia="en-GB"/>
        </w:rPr>
        <w:t>potrdimo</w:t>
      </w:r>
      <w:r w:rsidRPr="00275FBD">
        <w:rPr>
          <w:lang w:val="sl-SI" w:eastAsia="en-GB"/>
        </w:rPr>
        <w:t>, da je PSR3 v celoti izpolnil svoje cilje.</w:t>
      </w:r>
    </w:p>
    <w:p w14:paraId="7DE0AE19" w14:textId="2F8401BA" w:rsidR="00395621" w:rsidRPr="00275FBD" w:rsidRDefault="00395621" w:rsidP="00957A44">
      <w:pPr>
        <w:rPr>
          <w:lang w:val="sl-SI" w:eastAsia="en-GB"/>
        </w:rPr>
      </w:pPr>
    </w:p>
    <w:p w14:paraId="7642F956" w14:textId="77777777" w:rsidR="00395621" w:rsidRPr="00275FBD" w:rsidRDefault="00395621" w:rsidP="00957A44">
      <w:pPr>
        <w:rPr>
          <w:lang w:val="sl-SI" w:eastAsia="en-GB"/>
        </w:rPr>
      </w:pPr>
    </w:p>
    <w:p w14:paraId="4B69A58B" w14:textId="77777777" w:rsidR="003F722F" w:rsidRPr="00275FBD" w:rsidRDefault="003F722F" w:rsidP="002B6F26">
      <w:pPr>
        <w:rPr>
          <w:lang w:val="sl-SI"/>
        </w:rPr>
      </w:pPr>
    </w:p>
    <w:p w14:paraId="1CD1A784" w14:textId="77777777" w:rsidR="00573FD8" w:rsidRPr="00275FBD" w:rsidRDefault="00573FD8" w:rsidP="00573FD8">
      <w:pPr>
        <w:spacing w:before="0" w:after="0"/>
        <w:jc w:val="left"/>
        <w:rPr>
          <w:sz w:val="2"/>
          <w:szCs w:val="2"/>
          <w:lang w:val="sl-SI"/>
        </w:rPr>
      </w:pPr>
    </w:p>
    <w:p w14:paraId="32144021" w14:textId="77777777" w:rsidR="00BF5371" w:rsidRPr="00275FBD" w:rsidRDefault="00BF5371">
      <w:pPr>
        <w:spacing w:before="0" w:after="0"/>
        <w:jc w:val="left"/>
        <w:rPr>
          <w:sz w:val="2"/>
          <w:szCs w:val="2"/>
          <w:lang w:val="sl-SI"/>
        </w:rPr>
      </w:pPr>
      <w:r w:rsidRPr="00275FBD">
        <w:rPr>
          <w:lang w:val="sl-SI"/>
        </w:rPr>
        <w:br w:type="page"/>
      </w:r>
    </w:p>
    <w:p w14:paraId="4DED0F46" w14:textId="55D5BEFC" w:rsidR="00A074EA" w:rsidRPr="00275FBD" w:rsidRDefault="005047B5" w:rsidP="005047B5">
      <w:pPr>
        <w:pStyle w:val="Naslov1"/>
        <w:rPr>
          <w:lang w:val="sl-SI"/>
        </w:rPr>
      </w:pPr>
      <w:bookmarkStart w:id="118" w:name="_Toc342051716"/>
      <w:bookmarkStart w:id="119" w:name="_Ref310447305"/>
      <w:bookmarkStart w:id="120" w:name="_Ref310447324"/>
      <w:bookmarkStart w:id="121" w:name="_Ref310447329"/>
      <w:bookmarkStart w:id="122" w:name="_Toc335981630"/>
      <w:bookmarkStart w:id="123" w:name="_Toc163197434"/>
      <w:bookmarkEnd w:id="118"/>
      <w:r w:rsidRPr="00275FBD">
        <w:rPr>
          <w:lang w:val="sl-SI"/>
        </w:rPr>
        <w:lastRenderedPageBreak/>
        <w:t>Reference</w:t>
      </w:r>
      <w:bookmarkEnd w:id="119"/>
      <w:bookmarkEnd w:id="120"/>
      <w:bookmarkEnd w:id="121"/>
      <w:bookmarkEnd w:id="122"/>
      <w:bookmarkEnd w:id="123"/>
    </w:p>
    <w:p w14:paraId="1A6FCFBE" w14:textId="77777777" w:rsidR="00596B8B" w:rsidRPr="00275FBD" w:rsidRDefault="00596B8B" w:rsidP="00596B8B">
      <w:pPr>
        <w:rPr>
          <w:lang w:val="sl-SI"/>
        </w:rPr>
      </w:pPr>
    </w:p>
    <w:p w14:paraId="4E81614C" w14:textId="2C1C3FA5" w:rsidR="00B47BFF" w:rsidRPr="00275FBD" w:rsidRDefault="00645F6B" w:rsidP="00BC743A">
      <w:pPr>
        <w:numPr>
          <w:ilvl w:val="0"/>
          <w:numId w:val="6"/>
        </w:numPr>
        <w:tabs>
          <w:tab w:val="left" w:pos="1134"/>
        </w:tabs>
        <w:ind w:left="1134" w:hanging="774"/>
        <w:rPr>
          <w:szCs w:val="20"/>
          <w:lang w:val="sl-SI"/>
        </w:rPr>
      </w:pPr>
      <w:bookmarkStart w:id="124" w:name="_Ref133222751"/>
      <w:bookmarkStart w:id="125" w:name="_Ref352689156"/>
      <w:bookmarkStart w:id="126" w:name="_Ref372960264"/>
      <w:r w:rsidRPr="00275FBD">
        <w:rPr>
          <w:szCs w:val="20"/>
          <w:lang w:val="sl-SI"/>
        </w:rPr>
        <w:t xml:space="preserve">NEK </w:t>
      </w:r>
      <w:r w:rsidR="00B47BFF" w:rsidRPr="00275FBD">
        <w:rPr>
          <w:szCs w:val="20"/>
          <w:lang w:val="sl-SI"/>
        </w:rPr>
        <w:t xml:space="preserve">ESD-TR-03/20, </w:t>
      </w:r>
      <w:r w:rsidR="00BF0359" w:rsidRPr="00275FBD">
        <w:rPr>
          <w:szCs w:val="20"/>
          <w:lang w:val="sl-SI"/>
        </w:rPr>
        <w:t xml:space="preserve">The </w:t>
      </w:r>
      <w:proofErr w:type="spellStart"/>
      <w:r w:rsidR="00BF0359" w:rsidRPr="00275FBD">
        <w:rPr>
          <w:szCs w:val="20"/>
          <w:lang w:val="sl-SI"/>
        </w:rPr>
        <w:t>Third</w:t>
      </w:r>
      <w:proofErr w:type="spellEnd"/>
      <w:r w:rsidR="00BF0359" w:rsidRPr="00275FBD">
        <w:rPr>
          <w:szCs w:val="20"/>
          <w:lang w:val="sl-SI"/>
        </w:rPr>
        <w:t xml:space="preserve"> NEK </w:t>
      </w:r>
      <w:proofErr w:type="spellStart"/>
      <w:r w:rsidR="00BF0359" w:rsidRPr="00275FBD">
        <w:rPr>
          <w:szCs w:val="20"/>
          <w:lang w:val="sl-SI"/>
        </w:rPr>
        <w:t>Periodic</w:t>
      </w:r>
      <w:proofErr w:type="spellEnd"/>
      <w:r w:rsidR="00BF0359" w:rsidRPr="00275FBD">
        <w:rPr>
          <w:szCs w:val="20"/>
          <w:lang w:val="sl-SI"/>
        </w:rPr>
        <w:t xml:space="preserve"> Safety Review Program, Rev. 1,</w:t>
      </w:r>
      <w:r w:rsidR="000D6E26" w:rsidRPr="00275FBD">
        <w:rPr>
          <w:szCs w:val="20"/>
          <w:lang w:val="sl-SI"/>
        </w:rPr>
        <w:t xml:space="preserve"> </w:t>
      </w:r>
      <w:r w:rsidR="00BF0359" w:rsidRPr="00275FBD">
        <w:rPr>
          <w:szCs w:val="20"/>
          <w:lang w:val="sl-SI"/>
        </w:rPr>
        <w:t>NEK, 2020</w:t>
      </w:r>
      <w:bookmarkEnd w:id="124"/>
    </w:p>
    <w:p w14:paraId="547E8011" w14:textId="77DF22F8" w:rsidR="00B47BFF" w:rsidRPr="00275FBD" w:rsidRDefault="00F93EEE" w:rsidP="00F93EEE">
      <w:pPr>
        <w:numPr>
          <w:ilvl w:val="0"/>
          <w:numId w:val="6"/>
        </w:numPr>
        <w:tabs>
          <w:tab w:val="left" w:pos="1134"/>
        </w:tabs>
        <w:ind w:left="1134" w:hanging="774"/>
        <w:rPr>
          <w:szCs w:val="20"/>
          <w:lang w:val="sl-SI"/>
        </w:rPr>
      </w:pPr>
      <w:bookmarkStart w:id="127" w:name="_Ref138279840"/>
      <w:r w:rsidRPr="00275FBD">
        <w:rPr>
          <w:szCs w:val="20"/>
          <w:lang w:val="sl-SI"/>
        </w:rPr>
        <w:t xml:space="preserve">PSR3-NEK-9.3, The 3rd NEK </w:t>
      </w:r>
      <w:proofErr w:type="spellStart"/>
      <w:r w:rsidRPr="00275FBD">
        <w:rPr>
          <w:szCs w:val="20"/>
          <w:lang w:val="sl-SI"/>
        </w:rPr>
        <w:t>Periodic</w:t>
      </w:r>
      <w:proofErr w:type="spellEnd"/>
      <w:r w:rsidRPr="00275FBD">
        <w:rPr>
          <w:szCs w:val="20"/>
          <w:lang w:val="sl-SI"/>
        </w:rPr>
        <w:t xml:space="preserve"> Safety Review – </w:t>
      </w:r>
      <w:proofErr w:type="spellStart"/>
      <w:r w:rsidRPr="00275FBD">
        <w:rPr>
          <w:szCs w:val="20"/>
          <w:lang w:val="sl-SI"/>
        </w:rPr>
        <w:t>Summary</w:t>
      </w:r>
      <w:proofErr w:type="spellEnd"/>
      <w:r w:rsidRPr="00275FBD">
        <w:rPr>
          <w:szCs w:val="20"/>
          <w:lang w:val="sl-SI"/>
        </w:rPr>
        <w:t xml:space="preserve"> Report and Global Assessment of </w:t>
      </w:r>
      <w:proofErr w:type="spellStart"/>
      <w:r w:rsidRPr="00275FBD">
        <w:rPr>
          <w:szCs w:val="20"/>
          <w:lang w:val="sl-SI"/>
        </w:rPr>
        <w:t>Plant</w:t>
      </w:r>
      <w:proofErr w:type="spellEnd"/>
      <w:r w:rsidRPr="00275FBD">
        <w:rPr>
          <w:szCs w:val="20"/>
          <w:lang w:val="sl-SI"/>
        </w:rPr>
        <w:t xml:space="preserve"> Status, Rev. 0, 2023</w:t>
      </w:r>
      <w:bookmarkEnd w:id="127"/>
    </w:p>
    <w:p w14:paraId="1403F5C1" w14:textId="6C5677CC" w:rsidR="00BF0359" w:rsidRPr="00275FBD" w:rsidRDefault="00BF0359" w:rsidP="00BC743A">
      <w:pPr>
        <w:numPr>
          <w:ilvl w:val="0"/>
          <w:numId w:val="6"/>
        </w:numPr>
        <w:tabs>
          <w:tab w:val="left" w:pos="1134"/>
        </w:tabs>
        <w:ind w:left="1134" w:hanging="774"/>
        <w:rPr>
          <w:szCs w:val="20"/>
          <w:lang w:val="sl-SI"/>
        </w:rPr>
      </w:pPr>
      <w:bookmarkStart w:id="128" w:name="_Ref133224983"/>
      <w:proofErr w:type="spellStart"/>
      <w:r w:rsidRPr="00275FBD">
        <w:rPr>
          <w:szCs w:val="20"/>
          <w:lang w:val="sl-SI"/>
        </w:rPr>
        <w:t>Request</w:t>
      </w:r>
      <w:proofErr w:type="spellEnd"/>
      <w:r w:rsidRPr="00275FBD">
        <w:rPr>
          <w:szCs w:val="20"/>
          <w:lang w:val="sl-SI"/>
        </w:rPr>
        <w:t xml:space="preserve"> for </w:t>
      </w:r>
      <w:proofErr w:type="spellStart"/>
      <w:r w:rsidRPr="00275FBD">
        <w:rPr>
          <w:szCs w:val="20"/>
          <w:lang w:val="sl-SI"/>
        </w:rPr>
        <w:t>Proposal</w:t>
      </w:r>
      <w:proofErr w:type="spellEnd"/>
      <w:r w:rsidRPr="00275FBD">
        <w:rPr>
          <w:szCs w:val="20"/>
          <w:lang w:val="sl-SI"/>
        </w:rPr>
        <w:t xml:space="preserve">, Supporting for NEK PSR3 Project </w:t>
      </w:r>
      <w:proofErr w:type="spellStart"/>
      <w:r w:rsidRPr="00275FBD">
        <w:rPr>
          <w:szCs w:val="20"/>
          <w:lang w:val="sl-SI"/>
        </w:rPr>
        <w:t>Task</w:t>
      </w:r>
      <w:proofErr w:type="spellEnd"/>
      <w:r w:rsidRPr="00275FBD">
        <w:rPr>
          <w:szCs w:val="20"/>
          <w:lang w:val="sl-SI"/>
        </w:rPr>
        <w:t xml:space="preserve"> "</w:t>
      </w:r>
      <w:proofErr w:type="spellStart"/>
      <w:r w:rsidRPr="00275FBD">
        <w:rPr>
          <w:szCs w:val="20"/>
          <w:lang w:val="sl-SI"/>
        </w:rPr>
        <w:t>Final</w:t>
      </w:r>
      <w:proofErr w:type="spellEnd"/>
      <w:r w:rsidRPr="00275FBD">
        <w:rPr>
          <w:szCs w:val="20"/>
          <w:lang w:val="sl-SI"/>
        </w:rPr>
        <w:t xml:space="preserve"> </w:t>
      </w:r>
      <w:proofErr w:type="spellStart"/>
      <w:r w:rsidRPr="00275FBD">
        <w:rPr>
          <w:szCs w:val="20"/>
          <w:lang w:val="sl-SI"/>
        </w:rPr>
        <w:t>Ranking</w:t>
      </w:r>
      <w:proofErr w:type="spellEnd"/>
      <w:r w:rsidRPr="00275FBD">
        <w:rPr>
          <w:szCs w:val="20"/>
          <w:lang w:val="sl-SI"/>
        </w:rPr>
        <w:t xml:space="preserve"> of Safety </w:t>
      </w:r>
      <w:proofErr w:type="spellStart"/>
      <w:r w:rsidRPr="00275FBD">
        <w:rPr>
          <w:szCs w:val="20"/>
          <w:lang w:val="sl-SI"/>
        </w:rPr>
        <w:t>Issues</w:t>
      </w:r>
      <w:proofErr w:type="spellEnd"/>
      <w:r w:rsidRPr="00275FBD">
        <w:rPr>
          <w:szCs w:val="20"/>
          <w:lang w:val="sl-SI"/>
        </w:rPr>
        <w:t xml:space="preserve">, </w:t>
      </w:r>
      <w:proofErr w:type="spellStart"/>
      <w:r w:rsidRPr="00275FBD">
        <w:rPr>
          <w:szCs w:val="20"/>
          <w:lang w:val="sl-SI"/>
        </w:rPr>
        <w:t>Identification</w:t>
      </w:r>
      <w:proofErr w:type="spellEnd"/>
      <w:r w:rsidRPr="00275FBD">
        <w:rPr>
          <w:szCs w:val="20"/>
          <w:lang w:val="sl-SI"/>
        </w:rPr>
        <w:t xml:space="preserve"> and </w:t>
      </w:r>
      <w:proofErr w:type="spellStart"/>
      <w:r w:rsidRPr="00275FBD">
        <w:rPr>
          <w:szCs w:val="20"/>
          <w:lang w:val="sl-SI"/>
        </w:rPr>
        <w:t>Prioritization</w:t>
      </w:r>
      <w:proofErr w:type="spellEnd"/>
      <w:r w:rsidRPr="00275FBD">
        <w:rPr>
          <w:szCs w:val="20"/>
          <w:lang w:val="sl-SI"/>
        </w:rPr>
        <w:t xml:space="preserve"> of </w:t>
      </w:r>
      <w:proofErr w:type="spellStart"/>
      <w:r w:rsidRPr="00275FBD">
        <w:rPr>
          <w:szCs w:val="20"/>
          <w:lang w:val="sl-SI"/>
        </w:rPr>
        <w:t>Corrective</w:t>
      </w:r>
      <w:proofErr w:type="spellEnd"/>
      <w:r w:rsidRPr="00275FBD">
        <w:rPr>
          <w:szCs w:val="20"/>
          <w:lang w:val="sl-SI"/>
        </w:rPr>
        <w:t xml:space="preserve"> </w:t>
      </w:r>
      <w:proofErr w:type="spellStart"/>
      <w:r w:rsidRPr="00275FBD">
        <w:rPr>
          <w:szCs w:val="20"/>
          <w:lang w:val="sl-SI"/>
        </w:rPr>
        <w:t>Measures</w:t>
      </w:r>
      <w:proofErr w:type="spellEnd"/>
      <w:r w:rsidRPr="00275FBD">
        <w:rPr>
          <w:szCs w:val="20"/>
          <w:lang w:val="sl-SI"/>
        </w:rPr>
        <w:t xml:space="preserve">, Implementation Action Plan, </w:t>
      </w:r>
      <w:proofErr w:type="spellStart"/>
      <w:r w:rsidRPr="00275FBD">
        <w:rPr>
          <w:szCs w:val="20"/>
          <w:lang w:val="sl-SI"/>
        </w:rPr>
        <w:t>Summary</w:t>
      </w:r>
      <w:proofErr w:type="spellEnd"/>
      <w:r w:rsidRPr="00275FBD">
        <w:rPr>
          <w:szCs w:val="20"/>
          <w:lang w:val="sl-SI"/>
        </w:rPr>
        <w:t xml:space="preserve"> Report and Global Assessment", NEK SP-ES1404, Rev. 0, NEK, February 2022</w:t>
      </w:r>
      <w:bookmarkEnd w:id="128"/>
    </w:p>
    <w:p w14:paraId="76F79DF7" w14:textId="77777777" w:rsidR="00BF0359" w:rsidRPr="00275FBD" w:rsidRDefault="00BF0359" w:rsidP="00BC743A">
      <w:pPr>
        <w:numPr>
          <w:ilvl w:val="0"/>
          <w:numId w:val="6"/>
        </w:numPr>
        <w:tabs>
          <w:tab w:val="left" w:pos="1134"/>
        </w:tabs>
        <w:ind w:left="1134" w:hanging="774"/>
        <w:rPr>
          <w:szCs w:val="20"/>
          <w:lang w:val="sl-SI"/>
        </w:rPr>
      </w:pPr>
      <w:bookmarkStart w:id="129" w:name="_Ref133229584"/>
      <w:r w:rsidRPr="00275FBD">
        <w:rPr>
          <w:szCs w:val="20"/>
          <w:lang w:val="sl-SI"/>
        </w:rPr>
        <w:t xml:space="preserve">NEK ESD-TR17/13, </w:t>
      </w:r>
      <w:proofErr w:type="spellStart"/>
      <w:r w:rsidRPr="00275FBD">
        <w:rPr>
          <w:szCs w:val="20"/>
          <w:lang w:val="sl-SI"/>
        </w:rPr>
        <w:t>Counting</w:t>
      </w:r>
      <w:proofErr w:type="spellEnd"/>
      <w:r w:rsidRPr="00275FBD">
        <w:rPr>
          <w:szCs w:val="20"/>
          <w:lang w:val="sl-SI"/>
        </w:rPr>
        <w:t xml:space="preserve"> </w:t>
      </w:r>
      <w:proofErr w:type="spellStart"/>
      <w:r w:rsidRPr="00275FBD">
        <w:rPr>
          <w:szCs w:val="20"/>
          <w:lang w:val="sl-SI"/>
        </w:rPr>
        <w:t>Lines</w:t>
      </w:r>
      <w:proofErr w:type="spellEnd"/>
      <w:r w:rsidRPr="00275FBD">
        <w:rPr>
          <w:szCs w:val="20"/>
          <w:lang w:val="sl-SI"/>
        </w:rPr>
        <w:t xml:space="preserve"> of </w:t>
      </w:r>
      <w:proofErr w:type="spellStart"/>
      <w:r w:rsidRPr="00275FBD">
        <w:rPr>
          <w:szCs w:val="20"/>
          <w:lang w:val="sl-SI"/>
        </w:rPr>
        <w:t>Defense</w:t>
      </w:r>
      <w:proofErr w:type="spellEnd"/>
      <w:r w:rsidRPr="00275FBD">
        <w:rPr>
          <w:szCs w:val="20"/>
          <w:lang w:val="sl-SI"/>
        </w:rPr>
        <w:t xml:space="preserve"> (CLOD) </w:t>
      </w:r>
      <w:proofErr w:type="spellStart"/>
      <w:r w:rsidRPr="00275FBD">
        <w:rPr>
          <w:szCs w:val="20"/>
          <w:lang w:val="sl-SI"/>
        </w:rPr>
        <w:t>Ranking</w:t>
      </w:r>
      <w:proofErr w:type="spellEnd"/>
      <w:r w:rsidRPr="00275FBD">
        <w:rPr>
          <w:szCs w:val="20"/>
          <w:lang w:val="sl-SI"/>
        </w:rPr>
        <w:t xml:space="preserve"> Approach, Rev.0</w:t>
      </w:r>
      <w:bookmarkEnd w:id="125"/>
      <w:r w:rsidRPr="00275FBD">
        <w:rPr>
          <w:szCs w:val="20"/>
          <w:lang w:val="sl-SI"/>
        </w:rPr>
        <w:t>, 2013</w:t>
      </w:r>
      <w:bookmarkEnd w:id="126"/>
      <w:bookmarkEnd w:id="129"/>
    </w:p>
    <w:p w14:paraId="40BDDF72" w14:textId="40385B14" w:rsidR="001B4308" w:rsidRPr="00275FBD" w:rsidRDefault="001B4308" w:rsidP="00A53E36">
      <w:pPr>
        <w:numPr>
          <w:ilvl w:val="0"/>
          <w:numId w:val="6"/>
        </w:numPr>
        <w:tabs>
          <w:tab w:val="left" w:pos="1134"/>
        </w:tabs>
        <w:ind w:left="1134" w:hanging="774"/>
        <w:rPr>
          <w:szCs w:val="20"/>
          <w:lang w:val="sl-SI"/>
        </w:rPr>
      </w:pPr>
      <w:bookmarkStart w:id="130" w:name="_Ref368398842"/>
      <w:bookmarkStart w:id="131" w:name="_Ref310418275"/>
      <w:r w:rsidRPr="00275FBD">
        <w:rPr>
          <w:szCs w:val="20"/>
          <w:lang w:val="sl-SI"/>
        </w:rPr>
        <w:t>Zakon o varstvu pred ionizirajočimi sevanji in jedrski varnosti – ZVISJV-1 (Uradni list RS, št. 76/17</w:t>
      </w:r>
      <w:r w:rsidR="00645F6B" w:rsidRPr="00275FBD">
        <w:rPr>
          <w:szCs w:val="20"/>
          <w:lang w:val="sl-SI"/>
        </w:rPr>
        <w:t>, 26/19, 172/21 in 18/23 – ZDU-1O</w:t>
      </w:r>
      <w:r w:rsidRPr="00275FBD">
        <w:rPr>
          <w:szCs w:val="20"/>
          <w:lang w:val="sl-SI"/>
        </w:rPr>
        <w:t>)</w:t>
      </w:r>
      <w:bookmarkEnd w:id="130"/>
    </w:p>
    <w:p w14:paraId="3FD9A456" w14:textId="7E4D3BF4" w:rsidR="00BF0359" w:rsidRPr="00275FBD" w:rsidRDefault="00BF0359" w:rsidP="00BC743A">
      <w:pPr>
        <w:numPr>
          <w:ilvl w:val="0"/>
          <w:numId w:val="6"/>
        </w:numPr>
        <w:tabs>
          <w:tab w:val="left" w:pos="1134"/>
        </w:tabs>
        <w:ind w:left="1134" w:hanging="774"/>
        <w:rPr>
          <w:szCs w:val="20"/>
          <w:lang w:val="sl-SI"/>
        </w:rPr>
      </w:pPr>
      <w:bookmarkStart w:id="132" w:name="_Ref129601022"/>
      <w:bookmarkStart w:id="133" w:name="_Ref338760660"/>
      <w:bookmarkEnd w:id="131"/>
      <w:r w:rsidRPr="00275FBD">
        <w:rPr>
          <w:szCs w:val="20"/>
          <w:lang w:val="sl-SI"/>
        </w:rPr>
        <w:t>Pravilnik o zagotavljanju varnosti po začetku obratovanja sevalnih ali jedrskih objektov (Uradni list RS, št. 81/16 in 76/17</w:t>
      </w:r>
      <w:r w:rsidR="00645F6B" w:rsidRPr="00275FBD">
        <w:rPr>
          <w:szCs w:val="20"/>
          <w:lang w:val="sl-SI"/>
        </w:rPr>
        <w:t xml:space="preserve"> – ZVISJV</w:t>
      </w:r>
      <w:r w:rsidR="003E70ED">
        <w:rPr>
          <w:szCs w:val="20"/>
          <w:lang w:val="sl-SI"/>
        </w:rPr>
        <w:t>-</w:t>
      </w:r>
      <w:r w:rsidR="00645F6B" w:rsidRPr="00275FBD">
        <w:rPr>
          <w:szCs w:val="20"/>
          <w:lang w:val="sl-SI"/>
        </w:rPr>
        <w:t>1</w:t>
      </w:r>
      <w:r w:rsidRPr="00275FBD">
        <w:rPr>
          <w:szCs w:val="20"/>
          <w:lang w:val="sl-SI"/>
        </w:rPr>
        <w:t>) (JV9)</w:t>
      </w:r>
      <w:bookmarkEnd w:id="132"/>
    </w:p>
    <w:p w14:paraId="1B823F53" w14:textId="49729A70" w:rsidR="00BF0359" w:rsidRPr="00275FBD" w:rsidRDefault="00A20EEB" w:rsidP="00BC743A">
      <w:pPr>
        <w:numPr>
          <w:ilvl w:val="0"/>
          <w:numId w:val="6"/>
        </w:numPr>
        <w:tabs>
          <w:tab w:val="left" w:pos="1134"/>
        </w:tabs>
        <w:ind w:left="1134" w:hanging="774"/>
        <w:rPr>
          <w:szCs w:val="20"/>
          <w:lang w:val="sl-SI"/>
        </w:rPr>
      </w:pPr>
      <w:bookmarkStart w:id="134" w:name="_Ref127012276"/>
      <w:bookmarkStart w:id="135" w:name="_Ref128403285"/>
      <w:bookmarkStart w:id="136" w:name="_Ref138229213"/>
      <w:r>
        <w:rPr>
          <w:szCs w:val="20"/>
          <w:lang w:val="sl-SI"/>
        </w:rPr>
        <w:t>P</w:t>
      </w:r>
      <w:r w:rsidR="00BF0359" w:rsidRPr="00275FBD">
        <w:rPr>
          <w:szCs w:val="20"/>
          <w:lang w:val="sl-SI"/>
        </w:rPr>
        <w:t>raktične smernice</w:t>
      </w:r>
      <w:r w:rsidRPr="00A20EEB">
        <w:rPr>
          <w:szCs w:val="20"/>
          <w:lang w:val="sl-SI"/>
        </w:rPr>
        <w:t xml:space="preserve"> </w:t>
      </w:r>
      <w:r w:rsidRPr="00275FBD">
        <w:rPr>
          <w:szCs w:val="20"/>
          <w:lang w:val="sl-SI"/>
        </w:rPr>
        <w:t>URSJV</w:t>
      </w:r>
      <w:r w:rsidR="00BF0359" w:rsidRPr="00275FBD">
        <w:rPr>
          <w:szCs w:val="20"/>
          <w:lang w:val="sl-SI"/>
        </w:rPr>
        <w:t xml:space="preserve">, Vsebina in obseg občasnega varnostnega pregleda sevalnega ali jedrskega objekta, PS 1.01, </w:t>
      </w:r>
      <w:r w:rsidR="001B4308" w:rsidRPr="00275FBD">
        <w:rPr>
          <w:szCs w:val="20"/>
          <w:lang w:val="sl-SI"/>
        </w:rPr>
        <w:t>I</w:t>
      </w:r>
      <w:r w:rsidR="00BF0359" w:rsidRPr="00275FBD">
        <w:rPr>
          <w:szCs w:val="20"/>
          <w:lang w:val="sl-SI"/>
        </w:rPr>
        <w:t>zdaj</w:t>
      </w:r>
      <w:r w:rsidR="001B4308" w:rsidRPr="00275FBD">
        <w:rPr>
          <w:szCs w:val="20"/>
          <w:lang w:val="sl-SI"/>
        </w:rPr>
        <w:t>a</w:t>
      </w:r>
      <w:r w:rsidR="00BF0359" w:rsidRPr="00275FBD">
        <w:rPr>
          <w:szCs w:val="20"/>
          <w:lang w:val="sl-SI"/>
        </w:rPr>
        <w:t xml:space="preserve"> 2, </w:t>
      </w:r>
      <w:r w:rsidR="001B4308" w:rsidRPr="00275FBD">
        <w:rPr>
          <w:szCs w:val="20"/>
          <w:lang w:val="sl-SI"/>
        </w:rPr>
        <w:t>8.1.</w:t>
      </w:r>
      <w:bookmarkEnd w:id="134"/>
      <w:bookmarkEnd w:id="135"/>
      <w:r w:rsidR="001B4308" w:rsidRPr="00275FBD">
        <w:rPr>
          <w:szCs w:val="20"/>
          <w:lang w:val="sl-SI"/>
        </w:rPr>
        <w:t>2021</w:t>
      </w:r>
      <w:bookmarkEnd w:id="136"/>
    </w:p>
    <w:p w14:paraId="6EC422F3" w14:textId="4C9BA828" w:rsidR="00BF0359" w:rsidRPr="00275FBD" w:rsidRDefault="00354830" w:rsidP="00BC743A">
      <w:pPr>
        <w:numPr>
          <w:ilvl w:val="0"/>
          <w:numId w:val="6"/>
        </w:numPr>
        <w:tabs>
          <w:tab w:val="left" w:pos="1134"/>
        </w:tabs>
        <w:ind w:left="1134" w:hanging="774"/>
        <w:rPr>
          <w:szCs w:val="20"/>
          <w:lang w:val="sl-SI"/>
        </w:rPr>
      </w:pPr>
      <w:bookmarkStart w:id="137" w:name="_Ref129855843"/>
      <w:bookmarkStart w:id="138" w:name="_Ref366604756"/>
      <w:bookmarkEnd w:id="133"/>
      <w:r w:rsidRPr="00275FBD">
        <w:rPr>
          <w:szCs w:val="20"/>
          <w:lang w:val="sl-SI"/>
        </w:rPr>
        <w:t xml:space="preserve">INTERNATIONAL ATOMIC ENERGY AGENCY, </w:t>
      </w:r>
      <w:proofErr w:type="spellStart"/>
      <w:r w:rsidRPr="00275FBD">
        <w:rPr>
          <w:szCs w:val="20"/>
          <w:lang w:val="sl-SI"/>
        </w:rPr>
        <w:t>Periodic</w:t>
      </w:r>
      <w:proofErr w:type="spellEnd"/>
      <w:r w:rsidRPr="00275FBD">
        <w:rPr>
          <w:szCs w:val="20"/>
          <w:lang w:val="sl-SI"/>
        </w:rPr>
        <w:t xml:space="preserve"> Safety Review for Nuclear </w:t>
      </w:r>
      <w:proofErr w:type="spellStart"/>
      <w:r w:rsidRPr="00275FBD">
        <w:rPr>
          <w:szCs w:val="20"/>
          <w:lang w:val="sl-SI"/>
        </w:rPr>
        <w:t>Power</w:t>
      </w:r>
      <w:proofErr w:type="spellEnd"/>
      <w:r w:rsidRPr="00275FBD">
        <w:rPr>
          <w:szCs w:val="20"/>
          <w:lang w:val="sl-SI"/>
        </w:rPr>
        <w:t xml:space="preserve"> </w:t>
      </w:r>
      <w:proofErr w:type="spellStart"/>
      <w:r w:rsidRPr="00275FBD">
        <w:rPr>
          <w:szCs w:val="20"/>
          <w:lang w:val="sl-SI"/>
        </w:rPr>
        <w:t>Plants</w:t>
      </w:r>
      <w:proofErr w:type="spellEnd"/>
      <w:r w:rsidRPr="00275FBD">
        <w:rPr>
          <w:szCs w:val="20"/>
          <w:lang w:val="sl-SI"/>
        </w:rPr>
        <w:t xml:space="preserve">, </w:t>
      </w:r>
      <w:proofErr w:type="spellStart"/>
      <w:r w:rsidRPr="00275FBD">
        <w:rPr>
          <w:szCs w:val="20"/>
          <w:lang w:val="sl-SI"/>
        </w:rPr>
        <w:t>Specific</w:t>
      </w:r>
      <w:proofErr w:type="spellEnd"/>
      <w:r w:rsidRPr="00275FBD">
        <w:rPr>
          <w:szCs w:val="20"/>
          <w:lang w:val="sl-SI"/>
        </w:rPr>
        <w:t xml:space="preserve"> Safety Guide, SSG</w:t>
      </w:r>
      <w:r w:rsidRPr="00275FBD">
        <w:rPr>
          <w:szCs w:val="20"/>
          <w:lang w:val="sl-SI"/>
        </w:rPr>
        <w:noBreakHyphen/>
        <w:t>25, Vienna 2013</w:t>
      </w:r>
      <w:bookmarkEnd w:id="137"/>
    </w:p>
    <w:p w14:paraId="757DAF46" w14:textId="0A8EEED6" w:rsidR="00BF0359" w:rsidRPr="00275FBD" w:rsidRDefault="00BF0359" w:rsidP="00BC743A">
      <w:pPr>
        <w:numPr>
          <w:ilvl w:val="0"/>
          <w:numId w:val="6"/>
        </w:numPr>
        <w:tabs>
          <w:tab w:val="left" w:pos="1134"/>
        </w:tabs>
        <w:ind w:left="1134" w:hanging="774"/>
        <w:rPr>
          <w:szCs w:val="20"/>
          <w:lang w:val="sl-SI"/>
        </w:rPr>
      </w:pPr>
      <w:bookmarkStart w:id="139" w:name="_Ref131143634"/>
      <w:r w:rsidRPr="00275FBD">
        <w:rPr>
          <w:szCs w:val="20"/>
          <w:lang w:val="sl-SI"/>
        </w:rPr>
        <w:t xml:space="preserve">PSR3-NEK-9.1, </w:t>
      </w:r>
      <w:proofErr w:type="spellStart"/>
      <w:r w:rsidRPr="00275FBD">
        <w:rPr>
          <w:szCs w:val="20"/>
          <w:lang w:val="sl-SI"/>
        </w:rPr>
        <w:t>Final</w:t>
      </w:r>
      <w:proofErr w:type="spellEnd"/>
      <w:r w:rsidRPr="00275FBD">
        <w:rPr>
          <w:szCs w:val="20"/>
          <w:lang w:val="sl-SI"/>
        </w:rPr>
        <w:t xml:space="preserve"> </w:t>
      </w:r>
      <w:proofErr w:type="spellStart"/>
      <w:r w:rsidRPr="00275FBD">
        <w:rPr>
          <w:szCs w:val="20"/>
          <w:lang w:val="sl-SI"/>
        </w:rPr>
        <w:t>Broad</w:t>
      </w:r>
      <w:proofErr w:type="spellEnd"/>
      <w:r w:rsidRPr="00275FBD">
        <w:rPr>
          <w:szCs w:val="20"/>
          <w:lang w:val="sl-SI"/>
        </w:rPr>
        <w:t xml:space="preserve"> and </w:t>
      </w:r>
      <w:proofErr w:type="spellStart"/>
      <w:r w:rsidRPr="00275FBD">
        <w:rPr>
          <w:szCs w:val="20"/>
          <w:lang w:val="sl-SI"/>
        </w:rPr>
        <w:t>Detailed</w:t>
      </w:r>
      <w:proofErr w:type="spellEnd"/>
      <w:r w:rsidRPr="00275FBD">
        <w:rPr>
          <w:szCs w:val="20"/>
          <w:lang w:val="sl-SI"/>
        </w:rPr>
        <w:t xml:space="preserve"> </w:t>
      </w:r>
      <w:proofErr w:type="spellStart"/>
      <w:r w:rsidRPr="00275FBD">
        <w:rPr>
          <w:szCs w:val="20"/>
          <w:lang w:val="sl-SI"/>
        </w:rPr>
        <w:t>Ranking</w:t>
      </w:r>
      <w:proofErr w:type="spellEnd"/>
      <w:r w:rsidRPr="00275FBD">
        <w:rPr>
          <w:szCs w:val="20"/>
          <w:lang w:val="sl-SI"/>
        </w:rPr>
        <w:t xml:space="preserve"> of Safety </w:t>
      </w:r>
      <w:proofErr w:type="spellStart"/>
      <w:r w:rsidRPr="00275FBD">
        <w:rPr>
          <w:szCs w:val="20"/>
          <w:lang w:val="sl-SI"/>
        </w:rPr>
        <w:t>Issues</w:t>
      </w:r>
      <w:proofErr w:type="spellEnd"/>
      <w:r w:rsidRPr="00275FBD">
        <w:rPr>
          <w:szCs w:val="20"/>
          <w:lang w:val="sl-SI"/>
        </w:rPr>
        <w:t xml:space="preserve">; </w:t>
      </w:r>
      <w:proofErr w:type="spellStart"/>
      <w:r w:rsidRPr="00275FBD">
        <w:rPr>
          <w:szCs w:val="20"/>
          <w:lang w:val="sl-SI"/>
        </w:rPr>
        <w:t>Identification</w:t>
      </w:r>
      <w:proofErr w:type="spellEnd"/>
      <w:r w:rsidRPr="00275FBD">
        <w:rPr>
          <w:szCs w:val="20"/>
          <w:lang w:val="sl-SI"/>
        </w:rPr>
        <w:t xml:space="preserve"> and </w:t>
      </w:r>
      <w:proofErr w:type="spellStart"/>
      <w:r w:rsidRPr="00275FBD">
        <w:rPr>
          <w:szCs w:val="20"/>
          <w:lang w:val="sl-SI"/>
        </w:rPr>
        <w:t>Prioritization</w:t>
      </w:r>
      <w:proofErr w:type="spellEnd"/>
      <w:r w:rsidRPr="00275FBD">
        <w:rPr>
          <w:szCs w:val="20"/>
          <w:lang w:val="sl-SI"/>
        </w:rPr>
        <w:t xml:space="preserve"> of </w:t>
      </w:r>
      <w:proofErr w:type="spellStart"/>
      <w:r w:rsidRPr="00275FBD">
        <w:rPr>
          <w:szCs w:val="20"/>
          <w:lang w:val="sl-SI"/>
        </w:rPr>
        <w:t>Corrective</w:t>
      </w:r>
      <w:proofErr w:type="spellEnd"/>
      <w:r w:rsidRPr="00275FBD">
        <w:rPr>
          <w:szCs w:val="20"/>
          <w:lang w:val="sl-SI"/>
        </w:rPr>
        <w:t xml:space="preserve"> </w:t>
      </w:r>
      <w:proofErr w:type="spellStart"/>
      <w:r w:rsidRPr="00275FBD">
        <w:rPr>
          <w:szCs w:val="20"/>
          <w:lang w:val="sl-SI"/>
        </w:rPr>
        <w:t>Measures</w:t>
      </w:r>
      <w:proofErr w:type="spellEnd"/>
      <w:r w:rsidRPr="00275FBD">
        <w:rPr>
          <w:szCs w:val="20"/>
          <w:lang w:val="sl-SI"/>
        </w:rPr>
        <w:t>, Rev.0, 2023</w:t>
      </w:r>
      <w:bookmarkEnd w:id="139"/>
    </w:p>
    <w:p w14:paraId="71B9F8F4" w14:textId="286D353A" w:rsidR="00BF0359" w:rsidRPr="00275FBD" w:rsidRDefault="00BF0359" w:rsidP="00BC743A">
      <w:pPr>
        <w:numPr>
          <w:ilvl w:val="0"/>
          <w:numId w:val="6"/>
        </w:numPr>
        <w:tabs>
          <w:tab w:val="left" w:pos="1134"/>
        </w:tabs>
        <w:ind w:left="1134" w:hanging="774"/>
        <w:rPr>
          <w:szCs w:val="20"/>
          <w:lang w:val="sl-SI"/>
        </w:rPr>
      </w:pPr>
      <w:bookmarkStart w:id="140" w:name="_Ref133224011"/>
      <w:r w:rsidRPr="00275FBD">
        <w:rPr>
          <w:szCs w:val="20"/>
          <w:lang w:val="sl-SI"/>
        </w:rPr>
        <w:t>PSR3-NEK-9.2, Implementation Action Plan (IAP); Rev.0, 2023</w:t>
      </w:r>
      <w:bookmarkEnd w:id="140"/>
    </w:p>
    <w:p w14:paraId="06909178" w14:textId="009FAF5E" w:rsidR="00BF0359" w:rsidRPr="00275FBD" w:rsidRDefault="00BF0359" w:rsidP="00BC743A">
      <w:pPr>
        <w:numPr>
          <w:ilvl w:val="0"/>
          <w:numId w:val="6"/>
        </w:numPr>
        <w:tabs>
          <w:tab w:val="left" w:pos="1134"/>
        </w:tabs>
        <w:ind w:left="1134" w:hanging="774"/>
        <w:rPr>
          <w:szCs w:val="20"/>
          <w:lang w:val="sl-SI"/>
        </w:rPr>
      </w:pPr>
      <w:bookmarkStart w:id="141" w:name="_Ref244415733"/>
      <w:bookmarkStart w:id="142" w:name="_Ref133226475"/>
      <w:bookmarkStart w:id="143" w:name="_Ref366840304"/>
      <w:bookmarkStart w:id="144" w:name="_Ref338943858"/>
      <w:bookmarkStart w:id="145" w:name="_Ref343688320"/>
      <w:bookmarkEnd w:id="138"/>
      <w:r w:rsidRPr="00275FBD">
        <w:rPr>
          <w:szCs w:val="20"/>
          <w:lang w:val="sl-SI"/>
        </w:rPr>
        <w:t xml:space="preserve">Western European Nuclear Regulators Association, Reactor </w:t>
      </w:r>
      <w:proofErr w:type="spellStart"/>
      <w:r w:rsidRPr="00275FBD">
        <w:rPr>
          <w:szCs w:val="20"/>
          <w:lang w:val="sl-SI"/>
        </w:rPr>
        <w:t>Harmonization</w:t>
      </w:r>
      <w:proofErr w:type="spellEnd"/>
      <w:r w:rsidRPr="00275FBD">
        <w:rPr>
          <w:szCs w:val="20"/>
          <w:lang w:val="sl-SI"/>
        </w:rPr>
        <w:t xml:space="preserve"> </w:t>
      </w:r>
      <w:proofErr w:type="spellStart"/>
      <w:r w:rsidRPr="00275FBD">
        <w:rPr>
          <w:szCs w:val="20"/>
          <w:lang w:val="sl-SI"/>
        </w:rPr>
        <w:t>Working</w:t>
      </w:r>
      <w:proofErr w:type="spellEnd"/>
      <w:r w:rsidRPr="00275FBD">
        <w:rPr>
          <w:szCs w:val="20"/>
          <w:lang w:val="sl-SI"/>
        </w:rPr>
        <w:t xml:space="preserve"> Group, WENRA Reactor Safety Reference </w:t>
      </w:r>
      <w:proofErr w:type="spellStart"/>
      <w:r w:rsidRPr="00275FBD">
        <w:rPr>
          <w:szCs w:val="20"/>
          <w:lang w:val="sl-SI"/>
        </w:rPr>
        <w:t>Levels</w:t>
      </w:r>
      <w:proofErr w:type="spellEnd"/>
      <w:r w:rsidRPr="00275FBD">
        <w:rPr>
          <w:szCs w:val="20"/>
          <w:lang w:val="sl-SI"/>
        </w:rPr>
        <w:t xml:space="preserve">, </w:t>
      </w:r>
      <w:proofErr w:type="spellStart"/>
      <w:r w:rsidRPr="00275FBD">
        <w:rPr>
          <w:szCs w:val="20"/>
          <w:lang w:val="sl-SI"/>
        </w:rPr>
        <w:t>January</w:t>
      </w:r>
      <w:proofErr w:type="spellEnd"/>
      <w:r w:rsidRPr="00275FBD">
        <w:rPr>
          <w:szCs w:val="20"/>
          <w:lang w:val="sl-SI"/>
        </w:rPr>
        <w:t xml:space="preserve"> 20</w:t>
      </w:r>
      <w:bookmarkEnd w:id="141"/>
      <w:r w:rsidR="00354830" w:rsidRPr="00275FBD">
        <w:rPr>
          <w:szCs w:val="20"/>
          <w:lang w:val="sl-SI"/>
        </w:rPr>
        <w:t>21</w:t>
      </w:r>
      <w:bookmarkEnd w:id="142"/>
    </w:p>
    <w:p w14:paraId="73296090" w14:textId="77777777" w:rsidR="00BF0359" w:rsidRPr="00275FBD" w:rsidRDefault="00BF0359" w:rsidP="00BC743A">
      <w:pPr>
        <w:numPr>
          <w:ilvl w:val="0"/>
          <w:numId w:val="6"/>
        </w:numPr>
        <w:tabs>
          <w:tab w:val="left" w:pos="1134"/>
        </w:tabs>
        <w:ind w:left="1134" w:hanging="774"/>
        <w:rPr>
          <w:szCs w:val="20"/>
          <w:lang w:val="sl-SI"/>
        </w:rPr>
      </w:pPr>
      <w:bookmarkStart w:id="146" w:name="_Ref133228738"/>
      <w:bookmarkStart w:id="147" w:name="_Ref366840359"/>
      <w:bookmarkStart w:id="148" w:name="_Ref372638406"/>
      <w:bookmarkEnd w:id="143"/>
      <w:bookmarkEnd w:id="144"/>
      <w:bookmarkEnd w:id="145"/>
      <w:r w:rsidRPr="00275FBD">
        <w:rPr>
          <w:szCs w:val="20"/>
          <w:lang w:val="sl-SI"/>
        </w:rPr>
        <w:t xml:space="preserve">PSR3-NEK-1.1, </w:t>
      </w:r>
      <w:proofErr w:type="spellStart"/>
      <w:r w:rsidRPr="00275FBD">
        <w:rPr>
          <w:szCs w:val="20"/>
          <w:lang w:val="sl-SI"/>
        </w:rPr>
        <w:t>Plant</w:t>
      </w:r>
      <w:proofErr w:type="spellEnd"/>
      <w:r w:rsidRPr="00275FBD">
        <w:rPr>
          <w:szCs w:val="20"/>
          <w:lang w:val="sl-SI"/>
        </w:rPr>
        <w:t xml:space="preserve"> Design, Rev.0, October 2022</w:t>
      </w:r>
      <w:bookmarkEnd w:id="146"/>
    </w:p>
    <w:p w14:paraId="156A6874" w14:textId="77777777" w:rsidR="00BF0359" w:rsidRPr="00275FBD" w:rsidRDefault="00BF0359" w:rsidP="00BC743A">
      <w:pPr>
        <w:numPr>
          <w:ilvl w:val="0"/>
          <w:numId w:val="6"/>
        </w:numPr>
        <w:tabs>
          <w:tab w:val="left" w:pos="1134"/>
        </w:tabs>
        <w:ind w:left="1134" w:hanging="774"/>
        <w:rPr>
          <w:szCs w:val="20"/>
          <w:lang w:val="sl-SI"/>
        </w:rPr>
      </w:pPr>
      <w:bookmarkStart w:id="149" w:name="_Ref366840305"/>
      <w:r w:rsidRPr="00275FBD">
        <w:rPr>
          <w:szCs w:val="20"/>
          <w:lang w:val="sl-SI"/>
        </w:rPr>
        <w:t xml:space="preserve">PSR3-NEK-1.2, </w:t>
      </w:r>
      <w:proofErr w:type="spellStart"/>
      <w:r w:rsidRPr="00275FBD">
        <w:rPr>
          <w:szCs w:val="20"/>
          <w:lang w:val="sl-SI"/>
        </w:rPr>
        <w:t>Actual</w:t>
      </w:r>
      <w:proofErr w:type="spellEnd"/>
      <w:r w:rsidRPr="00275FBD">
        <w:rPr>
          <w:szCs w:val="20"/>
          <w:lang w:val="sl-SI"/>
        </w:rPr>
        <w:t xml:space="preserve"> Conditions of </w:t>
      </w:r>
      <w:proofErr w:type="spellStart"/>
      <w:r w:rsidRPr="00275FBD">
        <w:rPr>
          <w:szCs w:val="20"/>
          <w:lang w:val="sl-SI"/>
        </w:rPr>
        <w:t>SSCs</w:t>
      </w:r>
      <w:proofErr w:type="spellEnd"/>
      <w:r w:rsidRPr="00275FBD">
        <w:rPr>
          <w:szCs w:val="20"/>
          <w:lang w:val="sl-SI"/>
        </w:rPr>
        <w:t>, Rev.0, October 2022</w:t>
      </w:r>
      <w:bookmarkEnd w:id="149"/>
    </w:p>
    <w:p w14:paraId="2E35F299" w14:textId="77777777" w:rsidR="00BF0359" w:rsidRPr="00275FBD" w:rsidRDefault="00BF0359" w:rsidP="00BC743A">
      <w:pPr>
        <w:numPr>
          <w:ilvl w:val="0"/>
          <w:numId w:val="6"/>
        </w:numPr>
        <w:tabs>
          <w:tab w:val="left" w:pos="1134"/>
        </w:tabs>
        <w:ind w:left="1134" w:hanging="774"/>
        <w:rPr>
          <w:szCs w:val="20"/>
          <w:lang w:val="sl-SI"/>
        </w:rPr>
      </w:pPr>
      <w:bookmarkStart w:id="150" w:name="_Ref133261437"/>
      <w:r w:rsidRPr="00275FBD">
        <w:rPr>
          <w:szCs w:val="20"/>
          <w:lang w:val="sl-SI"/>
        </w:rPr>
        <w:t xml:space="preserve">PSR3-NEK-1.3, </w:t>
      </w:r>
      <w:proofErr w:type="spellStart"/>
      <w:r w:rsidRPr="00275FBD">
        <w:rPr>
          <w:szCs w:val="20"/>
          <w:lang w:val="sl-SI"/>
        </w:rPr>
        <w:t>Equipment</w:t>
      </w:r>
      <w:proofErr w:type="spellEnd"/>
      <w:r w:rsidRPr="00275FBD">
        <w:rPr>
          <w:szCs w:val="20"/>
          <w:lang w:val="sl-SI"/>
        </w:rPr>
        <w:t xml:space="preserve"> </w:t>
      </w:r>
      <w:proofErr w:type="spellStart"/>
      <w:r w:rsidRPr="00275FBD">
        <w:rPr>
          <w:szCs w:val="20"/>
          <w:lang w:val="sl-SI"/>
        </w:rPr>
        <w:t>Qualification</w:t>
      </w:r>
      <w:proofErr w:type="spellEnd"/>
      <w:r w:rsidRPr="00275FBD">
        <w:rPr>
          <w:szCs w:val="20"/>
          <w:lang w:val="sl-SI"/>
        </w:rPr>
        <w:t>, October 2022</w:t>
      </w:r>
      <w:bookmarkEnd w:id="150"/>
    </w:p>
    <w:p w14:paraId="66A8A3DB" w14:textId="77777777" w:rsidR="00BF0359" w:rsidRPr="00275FBD" w:rsidRDefault="00BF0359" w:rsidP="00BC743A">
      <w:pPr>
        <w:numPr>
          <w:ilvl w:val="0"/>
          <w:numId w:val="6"/>
        </w:numPr>
        <w:tabs>
          <w:tab w:val="left" w:pos="1134"/>
        </w:tabs>
        <w:ind w:left="1134" w:hanging="774"/>
        <w:rPr>
          <w:szCs w:val="20"/>
          <w:lang w:val="sl-SI"/>
        </w:rPr>
      </w:pPr>
      <w:bookmarkStart w:id="151" w:name="_Ref133304596"/>
      <w:r w:rsidRPr="00275FBD">
        <w:rPr>
          <w:szCs w:val="20"/>
          <w:lang w:val="sl-SI"/>
        </w:rPr>
        <w:t xml:space="preserve">PSR3-NEK-1.4, </w:t>
      </w:r>
      <w:proofErr w:type="spellStart"/>
      <w:r w:rsidRPr="00275FBD">
        <w:rPr>
          <w:szCs w:val="20"/>
          <w:lang w:val="sl-SI"/>
        </w:rPr>
        <w:t>Aging</w:t>
      </w:r>
      <w:proofErr w:type="spellEnd"/>
      <w:r w:rsidRPr="00275FBD">
        <w:rPr>
          <w:szCs w:val="20"/>
          <w:lang w:val="sl-SI"/>
        </w:rPr>
        <w:t>, Rev.0, October 2022</w:t>
      </w:r>
      <w:bookmarkEnd w:id="151"/>
    </w:p>
    <w:p w14:paraId="6EA30550" w14:textId="77777777" w:rsidR="00BF0359" w:rsidRPr="00275FBD" w:rsidRDefault="00BF0359" w:rsidP="00BC743A">
      <w:pPr>
        <w:numPr>
          <w:ilvl w:val="0"/>
          <w:numId w:val="6"/>
        </w:numPr>
        <w:tabs>
          <w:tab w:val="left" w:pos="1134"/>
        </w:tabs>
        <w:ind w:left="1134" w:hanging="774"/>
        <w:rPr>
          <w:szCs w:val="20"/>
          <w:lang w:val="sl-SI"/>
        </w:rPr>
      </w:pPr>
      <w:bookmarkStart w:id="152" w:name="_Ref366840308"/>
      <w:r w:rsidRPr="00275FBD">
        <w:rPr>
          <w:szCs w:val="20"/>
          <w:lang w:val="sl-SI"/>
        </w:rPr>
        <w:t xml:space="preserve">PSR3-NEK-2.1, </w:t>
      </w:r>
      <w:proofErr w:type="spellStart"/>
      <w:r w:rsidRPr="00275FBD">
        <w:rPr>
          <w:szCs w:val="20"/>
          <w:lang w:val="sl-SI"/>
        </w:rPr>
        <w:t>Deterministic</w:t>
      </w:r>
      <w:proofErr w:type="spellEnd"/>
      <w:r w:rsidRPr="00275FBD">
        <w:rPr>
          <w:szCs w:val="20"/>
          <w:lang w:val="sl-SI"/>
        </w:rPr>
        <w:t xml:space="preserve"> Safety Analyses, Rev. 0, September 2022</w:t>
      </w:r>
      <w:bookmarkEnd w:id="152"/>
    </w:p>
    <w:p w14:paraId="7F0FB875" w14:textId="77777777" w:rsidR="00BF0359" w:rsidRPr="00275FBD" w:rsidRDefault="00BF0359" w:rsidP="00BC743A">
      <w:pPr>
        <w:numPr>
          <w:ilvl w:val="0"/>
          <w:numId w:val="6"/>
        </w:numPr>
        <w:tabs>
          <w:tab w:val="left" w:pos="1134"/>
        </w:tabs>
        <w:ind w:left="1134" w:hanging="774"/>
        <w:rPr>
          <w:szCs w:val="20"/>
          <w:lang w:val="sl-SI"/>
        </w:rPr>
      </w:pPr>
      <w:bookmarkStart w:id="153" w:name="_Ref366840309"/>
      <w:r w:rsidRPr="00275FBD">
        <w:rPr>
          <w:szCs w:val="20"/>
          <w:lang w:val="sl-SI"/>
        </w:rPr>
        <w:t>PSR3-NEK-2.2, Probabilistic Safety Analyses, Rev. 0, September 2022</w:t>
      </w:r>
      <w:bookmarkEnd w:id="153"/>
    </w:p>
    <w:p w14:paraId="19245E03" w14:textId="77777777" w:rsidR="00BF0359" w:rsidRPr="00275FBD" w:rsidRDefault="00BF0359" w:rsidP="00BC743A">
      <w:pPr>
        <w:numPr>
          <w:ilvl w:val="0"/>
          <w:numId w:val="6"/>
        </w:numPr>
        <w:tabs>
          <w:tab w:val="left" w:pos="1134"/>
        </w:tabs>
        <w:ind w:left="1134" w:hanging="774"/>
        <w:rPr>
          <w:szCs w:val="20"/>
          <w:lang w:val="sl-SI"/>
        </w:rPr>
      </w:pPr>
      <w:bookmarkStart w:id="154" w:name="_Ref366840310"/>
      <w:r w:rsidRPr="00275FBD">
        <w:rPr>
          <w:szCs w:val="20"/>
          <w:lang w:val="sl-SI"/>
        </w:rPr>
        <w:t>PSR3-NEK-2.3, Hazard Analyses, Rev. 0, October 2022</w:t>
      </w:r>
      <w:bookmarkEnd w:id="154"/>
    </w:p>
    <w:p w14:paraId="23375629" w14:textId="77777777" w:rsidR="00BF0359" w:rsidRPr="00275FBD" w:rsidRDefault="00BF0359" w:rsidP="00BC743A">
      <w:pPr>
        <w:numPr>
          <w:ilvl w:val="0"/>
          <w:numId w:val="6"/>
        </w:numPr>
        <w:tabs>
          <w:tab w:val="left" w:pos="1134"/>
        </w:tabs>
        <w:ind w:left="1134" w:hanging="774"/>
        <w:rPr>
          <w:szCs w:val="20"/>
          <w:lang w:val="sl-SI"/>
        </w:rPr>
      </w:pPr>
      <w:bookmarkStart w:id="155" w:name="_Ref133341911"/>
      <w:r w:rsidRPr="00275FBD">
        <w:rPr>
          <w:szCs w:val="20"/>
          <w:lang w:val="sl-SI"/>
        </w:rPr>
        <w:t xml:space="preserve">PSR3-NEK-3.1, Safety </w:t>
      </w:r>
      <w:proofErr w:type="spellStart"/>
      <w:r w:rsidRPr="00275FBD">
        <w:rPr>
          <w:szCs w:val="20"/>
          <w:lang w:val="sl-SI"/>
        </w:rPr>
        <w:t>Performance</w:t>
      </w:r>
      <w:proofErr w:type="spellEnd"/>
      <w:r w:rsidRPr="00275FBD">
        <w:rPr>
          <w:szCs w:val="20"/>
          <w:lang w:val="sl-SI"/>
        </w:rPr>
        <w:t>, Rev. 0, October 2022</w:t>
      </w:r>
      <w:bookmarkEnd w:id="155"/>
    </w:p>
    <w:p w14:paraId="1CF117CC" w14:textId="77777777" w:rsidR="00BF0359" w:rsidRPr="00275FBD" w:rsidRDefault="00BF0359" w:rsidP="00BC743A">
      <w:pPr>
        <w:numPr>
          <w:ilvl w:val="0"/>
          <w:numId w:val="6"/>
        </w:numPr>
        <w:tabs>
          <w:tab w:val="left" w:pos="1134"/>
        </w:tabs>
        <w:ind w:left="1134" w:hanging="774"/>
        <w:rPr>
          <w:szCs w:val="20"/>
          <w:lang w:val="sl-SI"/>
        </w:rPr>
      </w:pPr>
      <w:bookmarkStart w:id="156" w:name="_Ref133343505"/>
      <w:r w:rsidRPr="00275FBD">
        <w:rPr>
          <w:szCs w:val="20"/>
          <w:lang w:val="sl-SI"/>
        </w:rPr>
        <w:t xml:space="preserve">PSR3-NEK-3.2, Use of </w:t>
      </w:r>
      <w:proofErr w:type="spellStart"/>
      <w:r w:rsidRPr="00275FBD">
        <w:rPr>
          <w:szCs w:val="20"/>
          <w:lang w:val="sl-SI"/>
        </w:rPr>
        <w:t>Experience</w:t>
      </w:r>
      <w:proofErr w:type="spellEnd"/>
      <w:r w:rsidRPr="00275FBD">
        <w:rPr>
          <w:szCs w:val="20"/>
          <w:lang w:val="sl-SI"/>
        </w:rPr>
        <w:t xml:space="preserve"> from </w:t>
      </w:r>
      <w:proofErr w:type="spellStart"/>
      <w:r w:rsidRPr="00275FBD">
        <w:rPr>
          <w:szCs w:val="20"/>
          <w:lang w:val="sl-SI"/>
        </w:rPr>
        <w:t>Other</w:t>
      </w:r>
      <w:proofErr w:type="spellEnd"/>
      <w:r w:rsidRPr="00275FBD">
        <w:rPr>
          <w:szCs w:val="20"/>
          <w:lang w:val="sl-SI"/>
        </w:rPr>
        <w:t xml:space="preserve"> </w:t>
      </w:r>
      <w:proofErr w:type="spellStart"/>
      <w:r w:rsidRPr="00275FBD">
        <w:rPr>
          <w:szCs w:val="20"/>
          <w:lang w:val="sl-SI"/>
        </w:rPr>
        <w:t>Plants</w:t>
      </w:r>
      <w:proofErr w:type="spellEnd"/>
      <w:r w:rsidRPr="00275FBD">
        <w:rPr>
          <w:szCs w:val="20"/>
          <w:lang w:val="sl-SI"/>
        </w:rPr>
        <w:t xml:space="preserve"> and Research </w:t>
      </w:r>
      <w:proofErr w:type="spellStart"/>
      <w:r w:rsidRPr="00275FBD">
        <w:rPr>
          <w:szCs w:val="20"/>
          <w:lang w:val="sl-SI"/>
        </w:rPr>
        <w:t>Findings</w:t>
      </w:r>
      <w:proofErr w:type="spellEnd"/>
      <w:r w:rsidRPr="00275FBD">
        <w:rPr>
          <w:szCs w:val="20"/>
          <w:lang w:val="sl-SI"/>
        </w:rPr>
        <w:t>, Rev.0, October 2022</w:t>
      </w:r>
      <w:bookmarkEnd w:id="156"/>
    </w:p>
    <w:p w14:paraId="682AA9B9" w14:textId="77777777" w:rsidR="00BF0359" w:rsidRPr="00275FBD" w:rsidRDefault="00BF0359" w:rsidP="00BC743A">
      <w:pPr>
        <w:numPr>
          <w:ilvl w:val="0"/>
          <w:numId w:val="6"/>
        </w:numPr>
        <w:tabs>
          <w:tab w:val="left" w:pos="1134"/>
        </w:tabs>
        <w:ind w:left="1134" w:hanging="774"/>
        <w:rPr>
          <w:szCs w:val="20"/>
          <w:lang w:val="sl-SI"/>
        </w:rPr>
      </w:pPr>
      <w:bookmarkStart w:id="157" w:name="_Ref133307331"/>
      <w:r w:rsidRPr="00275FBD">
        <w:rPr>
          <w:szCs w:val="20"/>
          <w:lang w:val="sl-SI"/>
        </w:rPr>
        <w:t>PSR3-NEK-4.1, Organization and Management System, Rev.0, October 2022</w:t>
      </w:r>
      <w:bookmarkEnd w:id="157"/>
    </w:p>
    <w:p w14:paraId="47BE1C63" w14:textId="77777777" w:rsidR="00BF0359" w:rsidRPr="00275FBD" w:rsidRDefault="00BF0359" w:rsidP="00BC743A">
      <w:pPr>
        <w:numPr>
          <w:ilvl w:val="0"/>
          <w:numId w:val="6"/>
        </w:numPr>
        <w:tabs>
          <w:tab w:val="left" w:pos="1134"/>
        </w:tabs>
        <w:ind w:left="1134" w:hanging="774"/>
        <w:rPr>
          <w:szCs w:val="20"/>
          <w:lang w:val="sl-SI"/>
        </w:rPr>
      </w:pPr>
      <w:bookmarkStart w:id="158" w:name="_Ref133346638"/>
      <w:r w:rsidRPr="00275FBD">
        <w:rPr>
          <w:szCs w:val="20"/>
          <w:lang w:val="sl-SI"/>
        </w:rPr>
        <w:t xml:space="preserve">PSR3-NEK-4.2, Safety </w:t>
      </w:r>
      <w:proofErr w:type="spellStart"/>
      <w:r w:rsidRPr="00275FBD">
        <w:rPr>
          <w:szCs w:val="20"/>
          <w:lang w:val="sl-SI"/>
        </w:rPr>
        <w:t>Culture</w:t>
      </w:r>
      <w:proofErr w:type="spellEnd"/>
      <w:r w:rsidRPr="00275FBD">
        <w:rPr>
          <w:szCs w:val="20"/>
          <w:lang w:val="sl-SI"/>
        </w:rPr>
        <w:t>, Rev.0, October 2022</w:t>
      </w:r>
      <w:bookmarkEnd w:id="158"/>
    </w:p>
    <w:p w14:paraId="6353D74E" w14:textId="77777777" w:rsidR="00BF0359" w:rsidRPr="00275FBD" w:rsidRDefault="00BF0359" w:rsidP="00BC743A">
      <w:pPr>
        <w:numPr>
          <w:ilvl w:val="0"/>
          <w:numId w:val="6"/>
        </w:numPr>
        <w:tabs>
          <w:tab w:val="left" w:pos="1134"/>
        </w:tabs>
        <w:ind w:left="1134" w:hanging="774"/>
        <w:rPr>
          <w:szCs w:val="20"/>
          <w:lang w:val="sl-SI"/>
        </w:rPr>
      </w:pPr>
      <w:bookmarkStart w:id="159" w:name="_Ref133348054"/>
      <w:r w:rsidRPr="00275FBD">
        <w:rPr>
          <w:szCs w:val="20"/>
          <w:lang w:val="sl-SI"/>
        </w:rPr>
        <w:t xml:space="preserve">PSR3-NEK-4.3, </w:t>
      </w:r>
      <w:proofErr w:type="spellStart"/>
      <w:r w:rsidRPr="00275FBD">
        <w:rPr>
          <w:szCs w:val="20"/>
          <w:lang w:val="sl-SI"/>
        </w:rPr>
        <w:t>Procedures</w:t>
      </w:r>
      <w:proofErr w:type="spellEnd"/>
      <w:r w:rsidRPr="00275FBD">
        <w:rPr>
          <w:szCs w:val="20"/>
          <w:lang w:val="sl-SI"/>
        </w:rPr>
        <w:t>, Rev.0, October 2022</w:t>
      </w:r>
      <w:bookmarkEnd w:id="159"/>
    </w:p>
    <w:p w14:paraId="2277C745" w14:textId="77777777" w:rsidR="00BF0359" w:rsidRPr="00275FBD" w:rsidRDefault="00BF0359" w:rsidP="00BC743A">
      <w:pPr>
        <w:numPr>
          <w:ilvl w:val="0"/>
          <w:numId w:val="6"/>
        </w:numPr>
        <w:tabs>
          <w:tab w:val="left" w:pos="1134"/>
        </w:tabs>
        <w:ind w:left="1134" w:hanging="774"/>
        <w:rPr>
          <w:szCs w:val="20"/>
          <w:lang w:val="sl-SI"/>
        </w:rPr>
      </w:pPr>
      <w:bookmarkStart w:id="160" w:name="_Ref133349118"/>
      <w:r w:rsidRPr="00275FBD">
        <w:rPr>
          <w:szCs w:val="20"/>
          <w:lang w:val="sl-SI"/>
        </w:rPr>
        <w:t xml:space="preserve">PSR3-NEK-4.4, Human </w:t>
      </w:r>
      <w:proofErr w:type="spellStart"/>
      <w:r w:rsidRPr="00275FBD">
        <w:rPr>
          <w:szCs w:val="20"/>
          <w:lang w:val="sl-SI"/>
        </w:rPr>
        <w:t>Factors</w:t>
      </w:r>
      <w:proofErr w:type="spellEnd"/>
      <w:r w:rsidRPr="00275FBD">
        <w:rPr>
          <w:szCs w:val="20"/>
          <w:lang w:val="sl-SI"/>
        </w:rPr>
        <w:t>, Rev.0, October 2022</w:t>
      </w:r>
      <w:bookmarkEnd w:id="160"/>
    </w:p>
    <w:p w14:paraId="6824662D" w14:textId="77777777" w:rsidR="00BF0359" w:rsidRPr="00275FBD" w:rsidRDefault="00BF0359" w:rsidP="00BC743A">
      <w:pPr>
        <w:numPr>
          <w:ilvl w:val="0"/>
          <w:numId w:val="6"/>
        </w:numPr>
        <w:tabs>
          <w:tab w:val="left" w:pos="1134"/>
        </w:tabs>
        <w:ind w:left="1134" w:hanging="774"/>
        <w:rPr>
          <w:szCs w:val="20"/>
          <w:lang w:val="sl-SI"/>
        </w:rPr>
      </w:pPr>
      <w:bookmarkStart w:id="161" w:name="_Ref133350490"/>
      <w:r w:rsidRPr="00275FBD">
        <w:rPr>
          <w:szCs w:val="20"/>
          <w:lang w:val="sl-SI"/>
        </w:rPr>
        <w:t>PSR3-NEK-4.5, Emergency Planning, Rev.0, October 2022</w:t>
      </w:r>
      <w:bookmarkEnd w:id="161"/>
    </w:p>
    <w:p w14:paraId="5770AA75" w14:textId="77777777" w:rsidR="00BF0359" w:rsidRPr="00275FBD" w:rsidRDefault="00BF0359" w:rsidP="00BC743A">
      <w:pPr>
        <w:numPr>
          <w:ilvl w:val="0"/>
          <w:numId w:val="6"/>
        </w:numPr>
        <w:tabs>
          <w:tab w:val="left" w:pos="1134"/>
        </w:tabs>
        <w:ind w:left="1134" w:hanging="774"/>
        <w:rPr>
          <w:szCs w:val="20"/>
          <w:lang w:val="sl-SI"/>
        </w:rPr>
      </w:pPr>
      <w:bookmarkStart w:id="162" w:name="_Ref133389885"/>
      <w:r w:rsidRPr="00275FBD">
        <w:rPr>
          <w:szCs w:val="20"/>
          <w:lang w:val="sl-SI"/>
        </w:rPr>
        <w:t xml:space="preserve">PSR3-NEK-5.1, Radiological </w:t>
      </w:r>
      <w:proofErr w:type="spellStart"/>
      <w:r w:rsidRPr="00275FBD">
        <w:rPr>
          <w:szCs w:val="20"/>
          <w:lang w:val="sl-SI"/>
        </w:rPr>
        <w:t>Impact</w:t>
      </w:r>
      <w:proofErr w:type="spellEnd"/>
      <w:r w:rsidRPr="00275FBD">
        <w:rPr>
          <w:szCs w:val="20"/>
          <w:lang w:val="sl-SI"/>
        </w:rPr>
        <w:t xml:space="preserve"> on the </w:t>
      </w:r>
      <w:proofErr w:type="spellStart"/>
      <w:r w:rsidRPr="00275FBD">
        <w:rPr>
          <w:szCs w:val="20"/>
          <w:lang w:val="sl-SI"/>
        </w:rPr>
        <w:t>Environment</w:t>
      </w:r>
      <w:proofErr w:type="spellEnd"/>
      <w:r w:rsidRPr="00275FBD">
        <w:rPr>
          <w:szCs w:val="20"/>
          <w:lang w:val="sl-SI"/>
        </w:rPr>
        <w:t>, Rev.0, October 2022</w:t>
      </w:r>
      <w:bookmarkEnd w:id="162"/>
    </w:p>
    <w:p w14:paraId="184829BE" w14:textId="77777777" w:rsidR="00BF0359" w:rsidRPr="00275FBD" w:rsidRDefault="00BF0359" w:rsidP="00BC743A">
      <w:pPr>
        <w:numPr>
          <w:ilvl w:val="0"/>
          <w:numId w:val="6"/>
        </w:numPr>
        <w:tabs>
          <w:tab w:val="left" w:pos="1134"/>
        </w:tabs>
        <w:ind w:left="1134" w:hanging="774"/>
        <w:rPr>
          <w:szCs w:val="20"/>
          <w:lang w:val="sl-SI"/>
        </w:rPr>
      </w:pPr>
      <w:bookmarkStart w:id="163" w:name="_Ref133393610"/>
      <w:r w:rsidRPr="00275FBD">
        <w:rPr>
          <w:szCs w:val="20"/>
          <w:lang w:val="sl-SI"/>
        </w:rPr>
        <w:lastRenderedPageBreak/>
        <w:t>PSR3-NEK-5.2, Radioactive Waste and Spent Fuel, Rev.0, October 2022</w:t>
      </w:r>
      <w:bookmarkEnd w:id="163"/>
    </w:p>
    <w:p w14:paraId="54C8F2EC" w14:textId="619374E7" w:rsidR="000538D4" w:rsidRPr="00275FBD" w:rsidRDefault="000538D4" w:rsidP="00BC743A">
      <w:pPr>
        <w:numPr>
          <w:ilvl w:val="0"/>
          <w:numId w:val="6"/>
        </w:numPr>
        <w:tabs>
          <w:tab w:val="left" w:pos="1134"/>
        </w:tabs>
        <w:ind w:left="1134" w:hanging="774"/>
        <w:rPr>
          <w:szCs w:val="20"/>
          <w:lang w:val="sl-SI"/>
        </w:rPr>
      </w:pPr>
      <w:r w:rsidRPr="00275FBD">
        <w:rPr>
          <w:szCs w:val="20"/>
          <w:lang w:val="sl-SI"/>
        </w:rPr>
        <w:t xml:space="preserve">PSR3-NEK-6.1, Security, </w:t>
      </w:r>
      <w:proofErr w:type="spellStart"/>
      <w:r w:rsidR="00D9316F">
        <w:rPr>
          <w:szCs w:val="20"/>
          <w:lang w:val="sl-SI"/>
        </w:rPr>
        <w:t>confidential</w:t>
      </w:r>
      <w:proofErr w:type="spellEnd"/>
      <w:r w:rsidR="00D9316F">
        <w:rPr>
          <w:szCs w:val="20"/>
          <w:lang w:val="sl-SI"/>
        </w:rPr>
        <w:t xml:space="preserve"> and </w:t>
      </w:r>
      <w:r w:rsidRPr="00275FBD">
        <w:rPr>
          <w:szCs w:val="20"/>
          <w:lang w:val="sl-SI"/>
        </w:rPr>
        <w:t xml:space="preserve">not </w:t>
      </w:r>
      <w:proofErr w:type="spellStart"/>
      <w:r w:rsidRPr="00275FBD">
        <w:rPr>
          <w:szCs w:val="20"/>
          <w:lang w:val="sl-SI"/>
        </w:rPr>
        <w:t>available</w:t>
      </w:r>
      <w:proofErr w:type="spellEnd"/>
      <w:r w:rsidR="00290F1E">
        <w:rPr>
          <w:szCs w:val="20"/>
          <w:lang w:val="sl-SI"/>
        </w:rPr>
        <w:t xml:space="preserve"> for general </w:t>
      </w:r>
      <w:proofErr w:type="spellStart"/>
      <w:r w:rsidR="00290F1E">
        <w:rPr>
          <w:szCs w:val="20"/>
          <w:lang w:val="sl-SI"/>
        </w:rPr>
        <w:t>public</w:t>
      </w:r>
      <w:proofErr w:type="spellEnd"/>
    </w:p>
    <w:p w14:paraId="23760C55" w14:textId="77777777" w:rsidR="00BF0359" w:rsidRPr="00275FBD" w:rsidRDefault="00BF0359" w:rsidP="00BC743A">
      <w:pPr>
        <w:numPr>
          <w:ilvl w:val="0"/>
          <w:numId w:val="6"/>
        </w:numPr>
        <w:tabs>
          <w:tab w:val="left" w:pos="1134"/>
        </w:tabs>
        <w:ind w:left="1134" w:hanging="774"/>
        <w:rPr>
          <w:szCs w:val="20"/>
          <w:lang w:val="sl-SI"/>
        </w:rPr>
      </w:pPr>
      <w:bookmarkStart w:id="164" w:name="_Ref129442557"/>
      <w:r w:rsidRPr="00275FBD">
        <w:rPr>
          <w:szCs w:val="20"/>
          <w:lang w:val="sl-SI"/>
        </w:rPr>
        <w:t>PSR3-NEK-7.1, Radiation Protection, Rev.0, October 2022</w:t>
      </w:r>
      <w:bookmarkEnd w:id="164"/>
    </w:p>
    <w:p w14:paraId="2DF93FEB" w14:textId="7759FCC9" w:rsidR="00BF0359" w:rsidRPr="00275FBD" w:rsidRDefault="00BF0359" w:rsidP="00EE4F81">
      <w:pPr>
        <w:numPr>
          <w:ilvl w:val="0"/>
          <w:numId w:val="6"/>
        </w:numPr>
        <w:tabs>
          <w:tab w:val="left" w:pos="1134"/>
        </w:tabs>
        <w:ind w:left="1134" w:hanging="774"/>
        <w:rPr>
          <w:szCs w:val="20"/>
          <w:lang w:val="sl-SI"/>
        </w:rPr>
      </w:pPr>
      <w:bookmarkStart w:id="165" w:name="_Ref133228758"/>
      <w:r w:rsidRPr="00275FBD">
        <w:rPr>
          <w:szCs w:val="20"/>
          <w:lang w:val="sl-SI"/>
        </w:rPr>
        <w:t xml:space="preserve">PSR3-NEK-8.0, </w:t>
      </w:r>
      <w:proofErr w:type="spellStart"/>
      <w:r w:rsidRPr="00275FBD">
        <w:rPr>
          <w:szCs w:val="20"/>
          <w:lang w:val="sl-SI"/>
        </w:rPr>
        <w:t>Compliance</w:t>
      </w:r>
      <w:proofErr w:type="spellEnd"/>
      <w:r w:rsidRPr="00275FBD">
        <w:rPr>
          <w:szCs w:val="20"/>
          <w:lang w:val="sl-SI"/>
        </w:rPr>
        <w:t xml:space="preserve"> with </w:t>
      </w:r>
      <w:proofErr w:type="spellStart"/>
      <w:r w:rsidRPr="00275FBD">
        <w:rPr>
          <w:szCs w:val="20"/>
          <w:lang w:val="sl-SI"/>
        </w:rPr>
        <w:t>Licensing</w:t>
      </w:r>
      <w:proofErr w:type="spellEnd"/>
      <w:r w:rsidRPr="00275FBD">
        <w:rPr>
          <w:szCs w:val="20"/>
          <w:lang w:val="sl-SI"/>
        </w:rPr>
        <w:t xml:space="preserve"> and Regulatory Requirements, Rev.0, </w:t>
      </w:r>
      <w:proofErr w:type="spellStart"/>
      <w:r w:rsidR="002F0F79" w:rsidRPr="00275FBD">
        <w:rPr>
          <w:szCs w:val="20"/>
          <w:lang w:val="sl-SI"/>
        </w:rPr>
        <w:t>May</w:t>
      </w:r>
      <w:proofErr w:type="spellEnd"/>
      <w:r w:rsidR="002F0F79" w:rsidRPr="00275FBD">
        <w:rPr>
          <w:szCs w:val="20"/>
          <w:lang w:val="sl-SI"/>
        </w:rPr>
        <w:t xml:space="preserve"> 2021</w:t>
      </w:r>
      <w:bookmarkEnd w:id="147"/>
      <w:bookmarkEnd w:id="148"/>
      <w:bookmarkEnd w:id="165"/>
    </w:p>
    <w:p w14:paraId="4B669842" w14:textId="42442F1E" w:rsidR="00533E9B" w:rsidRPr="00275FBD" w:rsidRDefault="00533E9B" w:rsidP="00270739">
      <w:pPr>
        <w:numPr>
          <w:ilvl w:val="0"/>
          <w:numId w:val="6"/>
        </w:numPr>
        <w:tabs>
          <w:tab w:val="left" w:pos="1134"/>
        </w:tabs>
        <w:ind w:left="1134" w:hanging="774"/>
        <w:rPr>
          <w:szCs w:val="20"/>
          <w:lang w:val="sl-SI"/>
        </w:rPr>
      </w:pPr>
      <w:bookmarkStart w:id="166" w:name="_Ref128405391"/>
      <w:r w:rsidRPr="00275FBD">
        <w:rPr>
          <w:szCs w:val="20"/>
          <w:lang w:val="sl-SI"/>
        </w:rPr>
        <w:t xml:space="preserve">NEK-ESD-TR-17/21, Action Plan for </w:t>
      </w:r>
      <w:proofErr w:type="spellStart"/>
      <w:r w:rsidRPr="00275FBD">
        <w:rPr>
          <w:szCs w:val="20"/>
          <w:lang w:val="sl-SI"/>
        </w:rPr>
        <w:t>Resolution</w:t>
      </w:r>
      <w:proofErr w:type="spellEnd"/>
      <w:r w:rsidRPr="00275FBD">
        <w:rPr>
          <w:szCs w:val="20"/>
          <w:lang w:val="sl-SI"/>
        </w:rPr>
        <w:t xml:space="preserve"> of </w:t>
      </w:r>
      <w:proofErr w:type="spellStart"/>
      <w:r w:rsidRPr="00275FBD">
        <w:rPr>
          <w:szCs w:val="20"/>
          <w:lang w:val="sl-SI"/>
        </w:rPr>
        <w:t>Pre</w:t>
      </w:r>
      <w:proofErr w:type="spellEnd"/>
      <w:r w:rsidRPr="00275FBD">
        <w:rPr>
          <w:szCs w:val="20"/>
          <w:lang w:val="sl-SI"/>
        </w:rPr>
        <w:t xml:space="preserve">-SALTO </w:t>
      </w:r>
      <w:proofErr w:type="spellStart"/>
      <w:r w:rsidRPr="00275FBD">
        <w:rPr>
          <w:szCs w:val="20"/>
          <w:lang w:val="sl-SI"/>
        </w:rPr>
        <w:t>issues</w:t>
      </w:r>
      <w:proofErr w:type="spellEnd"/>
      <w:r w:rsidRPr="00275FBD">
        <w:rPr>
          <w:szCs w:val="20"/>
          <w:lang w:val="sl-SI"/>
        </w:rPr>
        <w:t xml:space="preserve">, Rev.0, </w:t>
      </w:r>
      <w:proofErr w:type="spellStart"/>
      <w:r w:rsidRPr="00275FBD">
        <w:rPr>
          <w:szCs w:val="20"/>
          <w:lang w:val="sl-SI"/>
        </w:rPr>
        <w:t>January</w:t>
      </w:r>
      <w:proofErr w:type="spellEnd"/>
      <w:r w:rsidRPr="00275FBD">
        <w:rPr>
          <w:szCs w:val="20"/>
          <w:lang w:val="sl-SI"/>
        </w:rPr>
        <w:t xml:space="preserve"> 2022</w:t>
      </w:r>
      <w:bookmarkEnd w:id="166"/>
    </w:p>
    <w:p w14:paraId="3FEC67B0" w14:textId="33EA2A65" w:rsidR="00CF3246" w:rsidRPr="00275FBD" w:rsidRDefault="00B47BFF" w:rsidP="0039435D">
      <w:pPr>
        <w:numPr>
          <w:ilvl w:val="0"/>
          <w:numId w:val="6"/>
        </w:numPr>
        <w:tabs>
          <w:tab w:val="left" w:pos="1134"/>
        </w:tabs>
        <w:ind w:left="1134" w:hanging="774"/>
        <w:rPr>
          <w:szCs w:val="20"/>
          <w:lang w:val="sl-SI"/>
        </w:rPr>
      </w:pPr>
      <w:bookmarkStart w:id="167" w:name="_Ref133399619"/>
      <w:r w:rsidRPr="00275FBD">
        <w:rPr>
          <w:szCs w:val="20"/>
          <w:lang w:val="sl-SI"/>
        </w:rPr>
        <w:t xml:space="preserve">PSR2-NEK-8.0, The 2nd NEK </w:t>
      </w:r>
      <w:proofErr w:type="spellStart"/>
      <w:r w:rsidRPr="00275FBD">
        <w:rPr>
          <w:szCs w:val="20"/>
          <w:lang w:val="sl-SI"/>
        </w:rPr>
        <w:t>Periodic</w:t>
      </w:r>
      <w:proofErr w:type="spellEnd"/>
      <w:r w:rsidRPr="00275FBD">
        <w:rPr>
          <w:szCs w:val="20"/>
          <w:lang w:val="sl-SI"/>
        </w:rPr>
        <w:t xml:space="preserve"> Safety Review, </w:t>
      </w:r>
      <w:proofErr w:type="spellStart"/>
      <w:r w:rsidRPr="00275FBD">
        <w:rPr>
          <w:szCs w:val="20"/>
          <w:lang w:val="sl-SI"/>
        </w:rPr>
        <w:t>Summary</w:t>
      </w:r>
      <w:proofErr w:type="spellEnd"/>
      <w:r w:rsidRPr="00275FBD">
        <w:rPr>
          <w:szCs w:val="20"/>
          <w:lang w:val="sl-SI"/>
        </w:rPr>
        <w:t xml:space="preserve"> Report and Global Assessment of </w:t>
      </w:r>
      <w:proofErr w:type="spellStart"/>
      <w:r w:rsidRPr="00275FBD">
        <w:rPr>
          <w:szCs w:val="20"/>
          <w:lang w:val="sl-SI"/>
        </w:rPr>
        <w:t>Plant</w:t>
      </w:r>
      <w:proofErr w:type="spellEnd"/>
      <w:r w:rsidRPr="00275FBD">
        <w:rPr>
          <w:szCs w:val="20"/>
          <w:lang w:val="sl-SI"/>
        </w:rPr>
        <w:t xml:space="preserve"> Status, Report </w:t>
      </w:r>
      <w:proofErr w:type="spellStart"/>
      <w:r w:rsidRPr="00275FBD">
        <w:rPr>
          <w:szCs w:val="20"/>
          <w:lang w:val="sl-SI"/>
        </w:rPr>
        <w:t>Number</w:t>
      </w:r>
      <w:proofErr w:type="spellEnd"/>
      <w:r w:rsidRPr="00275FBD">
        <w:rPr>
          <w:szCs w:val="20"/>
          <w:lang w:val="sl-SI"/>
        </w:rPr>
        <w:t xml:space="preserve">: </w:t>
      </w:r>
      <w:proofErr w:type="spellStart"/>
      <w:r w:rsidRPr="00275FBD">
        <w:rPr>
          <w:szCs w:val="20"/>
          <w:lang w:val="sl-SI"/>
        </w:rPr>
        <w:t>Revision</w:t>
      </w:r>
      <w:proofErr w:type="spellEnd"/>
      <w:r w:rsidRPr="00275FBD">
        <w:rPr>
          <w:szCs w:val="20"/>
          <w:lang w:val="sl-SI"/>
        </w:rPr>
        <w:t xml:space="preserve"> </w:t>
      </w:r>
      <w:r w:rsidR="00645F6B" w:rsidRPr="00275FBD">
        <w:rPr>
          <w:szCs w:val="20"/>
          <w:lang w:val="sl-SI"/>
        </w:rPr>
        <w:t>2</w:t>
      </w:r>
      <w:r w:rsidRPr="00275FBD">
        <w:rPr>
          <w:szCs w:val="20"/>
          <w:lang w:val="sl-SI"/>
        </w:rPr>
        <w:t>, LSC-NEK, 201</w:t>
      </w:r>
      <w:r w:rsidR="00645F6B" w:rsidRPr="00275FBD">
        <w:rPr>
          <w:szCs w:val="20"/>
          <w:lang w:val="sl-SI"/>
        </w:rPr>
        <w:t>4</w:t>
      </w:r>
      <w:bookmarkEnd w:id="167"/>
    </w:p>
    <w:p w14:paraId="5F2C9B37" w14:textId="70AB9338" w:rsidR="00065BC6" w:rsidRPr="00275FBD" w:rsidRDefault="00CF3246" w:rsidP="00A0441F">
      <w:pPr>
        <w:numPr>
          <w:ilvl w:val="0"/>
          <w:numId w:val="6"/>
        </w:numPr>
        <w:tabs>
          <w:tab w:val="left" w:pos="1134"/>
        </w:tabs>
        <w:ind w:left="1134" w:hanging="774"/>
        <w:rPr>
          <w:szCs w:val="20"/>
          <w:lang w:val="sl-SI"/>
        </w:rPr>
      </w:pPr>
      <w:bookmarkStart w:id="168" w:name="_Ref134165347"/>
      <w:r w:rsidRPr="00275FBD">
        <w:rPr>
          <w:szCs w:val="20"/>
          <w:lang w:val="sl-SI"/>
        </w:rPr>
        <w:t xml:space="preserve">Project Management Manual (PMM) for the </w:t>
      </w:r>
      <w:proofErr w:type="spellStart"/>
      <w:r w:rsidRPr="00275FBD">
        <w:rPr>
          <w:szCs w:val="20"/>
          <w:lang w:val="sl-SI"/>
        </w:rPr>
        <w:t>Third</w:t>
      </w:r>
      <w:proofErr w:type="spellEnd"/>
      <w:r w:rsidRPr="00275FBD">
        <w:rPr>
          <w:szCs w:val="20"/>
          <w:lang w:val="sl-SI"/>
        </w:rPr>
        <w:t xml:space="preserve"> NEK </w:t>
      </w:r>
      <w:proofErr w:type="spellStart"/>
      <w:r w:rsidRPr="00275FBD">
        <w:rPr>
          <w:szCs w:val="20"/>
          <w:lang w:val="sl-SI"/>
        </w:rPr>
        <w:t>Periodic</w:t>
      </w:r>
      <w:proofErr w:type="spellEnd"/>
      <w:r w:rsidRPr="00275FBD">
        <w:rPr>
          <w:szCs w:val="20"/>
          <w:lang w:val="sl-SI"/>
        </w:rPr>
        <w:t xml:space="preserve"> Safety Review (PSR3), Rev.0, 2022</w:t>
      </w:r>
      <w:bookmarkEnd w:id="168"/>
    </w:p>
    <w:p w14:paraId="22A2309D" w14:textId="30BA7467" w:rsidR="005F3BC3" w:rsidRPr="00275FBD" w:rsidRDefault="005F3BC3" w:rsidP="005F3BC3">
      <w:pPr>
        <w:numPr>
          <w:ilvl w:val="0"/>
          <w:numId w:val="6"/>
        </w:numPr>
        <w:tabs>
          <w:tab w:val="left" w:pos="1134"/>
        </w:tabs>
        <w:ind w:left="1134" w:hanging="774"/>
        <w:rPr>
          <w:szCs w:val="20"/>
          <w:lang w:val="sl-SI"/>
        </w:rPr>
      </w:pPr>
      <w:bookmarkStart w:id="169" w:name="_Ref135896735"/>
      <w:r w:rsidRPr="00275FBD">
        <w:rPr>
          <w:szCs w:val="20"/>
          <w:lang w:val="sl-SI"/>
        </w:rPr>
        <w:t xml:space="preserve">3570-13/2021/59, </w:t>
      </w:r>
      <w:proofErr w:type="spellStart"/>
      <w:r w:rsidRPr="00275FBD">
        <w:rPr>
          <w:szCs w:val="20"/>
          <w:lang w:val="sl-SI"/>
        </w:rPr>
        <w:t>Justification</w:t>
      </w:r>
      <w:proofErr w:type="spellEnd"/>
      <w:r w:rsidRPr="00275FBD">
        <w:rPr>
          <w:szCs w:val="20"/>
          <w:lang w:val="sl-SI"/>
        </w:rPr>
        <w:t xml:space="preserve"> of SNSA </w:t>
      </w:r>
      <w:proofErr w:type="spellStart"/>
      <w:r w:rsidRPr="00275FBD">
        <w:rPr>
          <w:szCs w:val="20"/>
          <w:lang w:val="sl-SI"/>
        </w:rPr>
        <w:t>proposals</w:t>
      </w:r>
      <w:proofErr w:type="spellEnd"/>
      <w:r w:rsidRPr="00275FBD">
        <w:rPr>
          <w:szCs w:val="20"/>
          <w:lang w:val="sl-SI"/>
        </w:rPr>
        <w:t xml:space="preserve"> for </w:t>
      </w:r>
      <w:proofErr w:type="spellStart"/>
      <w:r w:rsidRPr="00275FBD">
        <w:rPr>
          <w:szCs w:val="20"/>
          <w:lang w:val="sl-SI"/>
        </w:rPr>
        <w:t>additional</w:t>
      </w:r>
      <w:proofErr w:type="spellEnd"/>
      <w:r w:rsidRPr="00275FBD">
        <w:rPr>
          <w:szCs w:val="20"/>
          <w:lang w:val="sl-SI"/>
        </w:rPr>
        <w:t xml:space="preserve"> </w:t>
      </w:r>
      <w:proofErr w:type="spellStart"/>
      <w:r w:rsidRPr="00275FBD">
        <w:rPr>
          <w:szCs w:val="20"/>
          <w:lang w:val="sl-SI"/>
        </w:rPr>
        <w:t>actions</w:t>
      </w:r>
      <w:proofErr w:type="spellEnd"/>
      <w:r w:rsidRPr="00275FBD">
        <w:rPr>
          <w:szCs w:val="20"/>
          <w:lang w:val="sl-SI"/>
        </w:rPr>
        <w:t xml:space="preserve"> to be </w:t>
      </w:r>
      <w:proofErr w:type="spellStart"/>
      <w:r w:rsidRPr="00275FBD">
        <w:rPr>
          <w:szCs w:val="20"/>
          <w:lang w:val="sl-SI"/>
        </w:rPr>
        <w:t>included</w:t>
      </w:r>
      <w:proofErr w:type="spellEnd"/>
      <w:r w:rsidRPr="00275FBD">
        <w:rPr>
          <w:szCs w:val="20"/>
          <w:lang w:val="sl-SI"/>
        </w:rPr>
        <w:t xml:space="preserve"> </w:t>
      </w:r>
      <w:proofErr w:type="spellStart"/>
      <w:r w:rsidRPr="00275FBD">
        <w:rPr>
          <w:szCs w:val="20"/>
          <w:lang w:val="sl-SI"/>
        </w:rPr>
        <w:t>into</w:t>
      </w:r>
      <w:proofErr w:type="spellEnd"/>
      <w:r w:rsidRPr="00275FBD">
        <w:rPr>
          <w:szCs w:val="20"/>
          <w:lang w:val="sl-SI"/>
        </w:rPr>
        <w:t xml:space="preserve"> the PSR3 implementation </w:t>
      </w:r>
      <w:proofErr w:type="spellStart"/>
      <w:r w:rsidRPr="00275FBD">
        <w:rPr>
          <w:szCs w:val="20"/>
          <w:lang w:val="sl-SI"/>
        </w:rPr>
        <w:t>action</w:t>
      </w:r>
      <w:proofErr w:type="spellEnd"/>
      <w:r w:rsidRPr="00275FBD">
        <w:rPr>
          <w:szCs w:val="20"/>
          <w:lang w:val="sl-SI"/>
        </w:rPr>
        <w:t xml:space="preserve"> plan, 15.05.2023</w:t>
      </w:r>
      <w:bookmarkEnd w:id="169"/>
    </w:p>
    <w:p w14:paraId="2498AE97" w14:textId="3C7CD7ED" w:rsidR="00855F95" w:rsidRDefault="004E1728" w:rsidP="00855F95">
      <w:pPr>
        <w:numPr>
          <w:ilvl w:val="0"/>
          <w:numId w:val="6"/>
        </w:numPr>
        <w:tabs>
          <w:tab w:val="left" w:pos="1134"/>
        </w:tabs>
        <w:ind w:left="1134" w:hanging="774"/>
        <w:rPr>
          <w:szCs w:val="20"/>
          <w:lang w:val="sl-SI"/>
        </w:rPr>
      </w:pPr>
      <w:bookmarkStart w:id="170" w:name="_Ref137804319"/>
      <w:proofErr w:type="spellStart"/>
      <w:r>
        <w:rPr>
          <w:szCs w:val="20"/>
          <w:lang w:val="sl-SI"/>
        </w:rPr>
        <w:t>Final</w:t>
      </w:r>
      <w:proofErr w:type="spellEnd"/>
      <w:r w:rsidR="00855F95" w:rsidRPr="00275FBD">
        <w:rPr>
          <w:szCs w:val="20"/>
          <w:lang w:val="sl-SI"/>
        </w:rPr>
        <w:t xml:space="preserve"> </w:t>
      </w:r>
      <w:proofErr w:type="spellStart"/>
      <w:r w:rsidR="00855F95" w:rsidRPr="00275FBD">
        <w:rPr>
          <w:szCs w:val="20"/>
          <w:lang w:val="sl-SI"/>
        </w:rPr>
        <w:t>Independent</w:t>
      </w:r>
      <w:proofErr w:type="spellEnd"/>
      <w:r w:rsidR="00855F95" w:rsidRPr="00275FBD">
        <w:rPr>
          <w:szCs w:val="20"/>
          <w:lang w:val="sl-SI"/>
        </w:rPr>
        <w:t xml:space="preserve"> Evaluation Review (</w:t>
      </w:r>
      <w:r>
        <w:rPr>
          <w:szCs w:val="20"/>
          <w:lang w:val="sl-SI"/>
        </w:rPr>
        <w:t>F</w:t>
      </w:r>
      <w:r w:rsidR="00855F95" w:rsidRPr="00275FBD">
        <w:rPr>
          <w:szCs w:val="20"/>
          <w:lang w:val="sl-SI"/>
        </w:rPr>
        <w:t xml:space="preserve">IER) of the NEK 3rd </w:t>
      </w:r>
      <w:proofErr w:type="spellStart"/>
      <w:r w:rsidR="00855F95" w:rsidRPr="00275FBD">
        <w:rPr>
          <w:szCs w:val="20"/>
          <w:lang w:val="sl-SI"/>
        </w:rPr>
        <w:t>Periodic</w:t>
      </w:r>
      <w:proofErr w:type="spellEnd"/>
      <w:r w:rsidR="00855F95" w:rsidRPr="00275FBD">
        <w:rPr>
          <w:szCs w:val="20"/>
          <w:lang w:val="sl-SI"/>
        </w:rPr>
        <w:t xml:space="preserve"> Safety Review (PSR), NUCCON / PSR3-</w:t>
      </w:r>
      <w:r>
        <w:rPr>
          <w:szCs w:val="20"/>
          <w:lang w:val="sl-SI"/>
        </w:rPr>
        <w:t>F</w:t>
      </w:r>
      <w:r w:rsidR="00855F95" w:rsidRPr="00275FBD">
        <w:rPr>
          <w:szCs w:val="20"/>
          <w:lang w:val="sl-SI"/>
        </w:rPr>
        <w:t>IER 2023, Rev. 0, 2</w:t>
      </w:r>
      <w:r>
        <w:rPr>
          <w:szCs w:val="20"/>
          <w:lang w:val="sl-SI"/>
        </w:rPr>
        <w:t>9</w:t>
      </w:r>
      <w:r w:rsidR="00855F95" w:rsidRPr="00275FBD">
        <w:rPr>
          <w:szCs w:val="20"/>
          <w:lang w:val="sl-SI"/>
        </w:rPr>
        <w:t>.06.2023</w:t>
      </w:r>
      <w:bookmarkEnd w:id="170"/>
    </w:p>
    <w:p w14:paraId="41FD4DD9" w14:textId="77777777" w:rsidR="006F75CB" w:rsidRPr="00275FBD" w:rsidRDefault="006F75CB" w:rsidP="0043179A">
      <w:pPr>
        <w:tabs>
          <w:tab w:val="left" w:pos="1246"/>
        </w:tabs>
        <w:ind w:left="1276"/>
        <w:rPr>
          <w:szCs w:val="20"/>
          <w:lang w:val="sl-SI"/>
        </w:rPr>
        <w:sectPr w:rsidR="006F75CB" w:rsidRPr="00275FBD" w:rsidSect="005F6909">
          <w:headerReference w:type="default" r:id="rId45"/>
          <w:footerReference w:type="default" r:id="rId46"/>
          <w:footnotePr>
            <w:numRestart w:val="eachPage"/>
          </w:footnotePr>
          <w:pgSz w:w="11906" w:h="16838"/>
          <w:pgMar w:top="1417" w:right="1417" w:bottom="1134" w:left="1417" w:header="708" w:footer="708" w:gutter="0"/>
          <w:cols w:space="708"/>
          <w:docGrid w:linePitch="360"/>
        </w:sectPr>
      </w:pPr>
    </w:p>
    <w:p w14:paraId="7F21E656" w14:textId="77777777" w:rsidR="006A6895" w:rsidRPr="00275FBD" w:rsidRDefault="006A6895" w:rsidP="006A6895">
      <w:pPr>
        <w:rPr>
          <w:lang w:val="sl-SI"/>
        </w:rPr>
      </w:pPr>
    </w:p>
    <w:p w14:paraId="7D939881" w14:textId="71A108FD" w:rsidR="00F24C07" w:rsidRPr="00275FBD" w:rsidRDefault="00B20165" w:rsidP="00F24C07">
      <w:pPr>
        <w:pStyle w:val="Naslov1"/>
        <w:numPr>
          <w:ilvl w:val="0"/>
          <w:numId w:val="0"/>
        </w:numPr>
        <w:ind w:left="432"/>
        <w:rPr>
          <w:lang w:val="sl-SI"/>
        </w:rPr>
      </w:pPr>
      <w:bookmarkStart w:id="171" w:name="_Toc163197435"/>
      <w:r w:rsidRPr="00275FBD">
        <w:rPr>
          <w:caps w:val="0"/>
          <w:lang w:val="sl-SI"/>
        </w:rPr>
        <w:t>Dodatek</w:t>
      </w:r>
      <w:r w:rsidR="00F24C07" w:rsidRPr="00275FBD">
        <w:rPr>
          <w:caps w:val="0"/>
          <w:lang w:val="sl-SI"/>
        </w:rPr>
        <w:t xml:space="preserve"> 1: </w:t>
      </w:r>
      <w:r w:rsidRPr="00275FBD">
        <w:rPr>
          <w:caps w:val="0"/>
          <w:lang w:val="sl-SI"/>
        </w:rPr>
        <w:t>Načrt izvedbe ukrepov</w:t>
      </w:r>
      <w:r w:rsidR="00F24C07" w:rsidRPr="00275FBD">
        <w:rPr>
          <w:caps w:val="0"/>
          <w:lang w:val="sl-SI"/>
        </w:rPr>
        <w:t xml:space="preserve"> (IAP)</w:t>
      </w:r>
      <w:bookmarkEnd w:id="171"/>
    </w:p>
    <w:p w14:paraId="224E7FF5" w14:textId="77777777" w:rsidR="00F24C07" w:rsidRPr="00275FBD" w:rsidRDefault="00F24C07" w:rsidP="00F24C07">
      <w:pPr>
        <w:rPr>
          <w:lang w:val="sl-SI"/>
        </w:rPr>
      </w:pPr>
    </w:p>
    <w:p w14:paraId="7E11143D" w14:textId="1955B4EC" w:rsidR="008724FF" w:rsidRPr="00275FBD" w:rsidRDefault="008724FF" w:rsidP="008724FF">
      <w:pPr>
        <w:rPr>
          <w:lang w:val="sl-SI"/>
        </w:rPr>
      </w:pPr>
      <w:r w:rsidRPr="00275FBD">
        <w:rPr>
          <w:lang w:val="sl-SI"/>
        </w:rPr>
        <w:t xml:space="preserve">V skladu s Programom PSR3 </w:t>
      </w:r>
      <w:r w:rsidRPr="00275FBD">
        <w:rPr>
          <w:lang w:val="sl-SI"/>
        </w:rPr>
        <w:fldChar w:fldCharType="begin"/>
      </w:r>
      <w:r w:rsidRPr="00275FBD">
        <w:rPr>
          <w:lang w:val="sl-SI"/>
        </w:rPr>
        <w:instrText xml:space="preserve"> REF _Ref133222751 \r \h </w:instrText>
      </w:r>
      <w:r w:rsidRPr="00275FBD">
        <w:rPr>
          <w:lang w:val="sl-SI"/>
        </w:rPr>
      </w:r>
      <w:r w:rsidRPr="00275FBD">
        <w:rPr>
          <w:lang w:val="sl-SI"/>
        </w:rPr>
        <w:fldChar w:fldCharType="separate"/>
      </w:r>
      <w:r w:rsidR="00BA25CD">
        <w:rPr>
          <w:lang w:val="sl-SI"/>
        </w:rPr>
        <w:t>[1]</w:t>
      </w:r>
      <w:r w:rsidRPr="00275FBD">
        <w:rPr>
          <w:lang w:val="sl-SI"/>
        </w:rPr>
        <w:fldChar w:fldCharType="end"/>
      </w:r>
      <w:r w:rsidRPr="00275FBD">
        <w:rPr>
          <w:lang w:val="sl-SI"/>
        </w:rPr>
        <w:t xml:space="preserve"> so za </w:t>
      </w:r>
      <w:r w:rsidR="00F857B7" w:rsidRPr="00275FBD">
        <w:rPr>
          <w:lang w:val="sl-SI"/>
        </w:rPr>
        <w:t xml:space="preserve">najdbe </w:t>
      </w:r>
      <w:r w:rsidRPr="00275FBD">
        <w:rPr>
          <w:lang w:val="sl-SI"/>
        </w:rPr>
        <w:t xml:space="preserve">znotraj ranga </w:t>
      </w:r>
      <w:r w:rsidR="00290F1E" w:rsidRPr="00275FBD">
        <w:rPr>
          <w:lang w:val="sl-SI"/>
        </w:rPr>
        <w:t xml:space="preserve">višjega </w:t>
      </w:r>
      <w:r w:rsidRPr="00275FBD">
        <w:rPr>
          <w:lang w:val="sl-SI"/>
        </w:rPr>
        <w:t xml:space="preserve">ali </w:t>
      </w:r>
      <w:r w:rsidR="00290F1E" w:rsidRPr="00275FBD">
        <w:rPr>
          <w:lang w:val="sl-SI"/>
        </w:rPr>
        <w:t xml:space="preserve">enakega </w:t>
      </w:r>
      <w:r w:rsidRPr="00275FBD">
        <w:rPr>
          <w:lang w:val="sl-SI"/>
        </w:rPr>
        <w:t xml:space="preserve">»4« </w:t>
      </w:r>
      <w:r w:rsidR="00B20813">
        <w:rPr>
          <w:lang w:val="sl-SI"/>
        </w:rPr>
        <w:t>določ</w:t>
      </w:r>
      <w:r w:rsidR="00B20813" w:rsidRPr="00275FBD">
        <w:rPr>
          <w:lang w:val="sl-SI"/>
        </w:rPr>
        <w:t xml:space="preserve">eni </w:t>
      </w:r>
      <w:r w:rsidRPr="00275FBD">
        <w:rPr>
          <w:lang w:val="sl-SI"/>
        </w:rPr>
        <w:t xml:space="preserve">korektivni ukrepi in vneseni v IAP / CAP, kot je opisano v </w:t>
      </w:r>
      <w:r w:rsidRPr="00275FBD">
        <w:rPr>
          <w:lang w:val="sl-SI"/>
        </w:rPr>
        <w:fldChar w:fldCharType="begin"/>
      </w:r>
      <w:r w:rsidRPr="00275FBD">
        <w:rPr>
          <w:lang w:val="sl-SI"/>
        </w:rPr>
        <w:instrText xml:space="preserve"> REF _Ref131143634 \r \h </w:instrText>
      </w:r>
      <w:r w:rsidRPr="00275FBD">
        <w:rPr>
          <w:lang w:val="sl-SI"/>
        </w:rPr>
      </w:r>
      <w:r w:rsidRPr="00275FBD">
        <w:rPr>
          <w:lang w:val="sl-SI"/>
        </w:rPr>
        <w:fldChar w:fldCharType="separate"/>
      </w:r>
      <w:r w:rsidR="00BA25CD">
        <w:rPr>
          <w:lang w:val="sl-SI"/>
        </w:rPr>
        <w:t>[9]</w:t>
      </w:r>
      <w:r w:rsidRPr="00275FBD">
        <w:rPr>
          <w:lang w:val="sl-SI"/>
        </w:rPr>
        <w:fldChar w:fldCharType="end"/>
      </w:r>
      <w:r w:rsidRPr="00275FBD">
        <w:rPr>
          <w:lang w:val="sl-SI"/>
        </w:rPr>
        <w:t xml:space="preserve"> in </w:t>
      </w:r>
      <w:r w:rsidRPr="00275FBD">
        <w:rPr>
          <w:lang w:val="sl-SI"/>
        </w:rPr>
        <w:fldChar w:fldCharType="begin"/>
      </w:r>
      <w:r w:rsidRPr="00275FBD">
        <w:rPr>
          <w:lang w:val="sl-SI"/>
        </w:rPr>
        <w:instrText xml:space="preserve"> REF _Ref133224011 \r \h </w:instrText>
      </w:r>
      <w:r w:rsidRPr="00275FBD">
        <w:rPr>
          <w:lang w:val="sl-SI"/>
        </w:rPr>
      </w:r>
      <w:r w:rsidRPr="00275FBD">
        <w:rPr>
          <w:lang w:val="sl-SI"/>
        </w:rPr>
        <w:fldChar w:fldCharType="separate"/>
      </w:r>
      <w:r w:rsidR="00BA25CD">
        <w:rPr>
          <w:lang w:val="sl-SI"/>
        </w:rPr>
        <w:t>[10]</w:t>
      </w:r>
      <w:r w:rsidRPr="00275FBD">
        <w:rPr>
          <w:lang w:val="sl-SI"/>
        </w:rPr>
        <w:fldChar w:fldCharType="end"/>
      </w:r>
      <w:r w:rsidRPr="00275FBD">
        <w:rPr>
          <w:lang w:val="sl-SI"/>
        </w:rPr>
        <w:t>.</w:t>
      </w:r>
    </w:p>
    <w:p w14:paraId="70426058" w14:textId="77777777" w:rsidR="008724FF" w:rsidRPr="00275FBD" w:rsidRDefault="008724FF" w:rsidP="008724FF">
      <w:pPr>
        <w:rPr>
          <w:lang w:val="sl-SI"/>
        </w:rPr>
      </w:pPr>
    </w:p>
    <w:p w14:paraId="3D76F74C" w14:textId="162DD40C" w:rsidR="008724FF" w:rsidRPr="00275FBD" w:rsidRDefault="008724FF" w:rsidP="008724FF">
      <w:pPr>
        <w:rPr>
          <w:lang w:val="sl-SI"/>
        </w:rPr>
      </w:pPr>
      <w:r w:rsidRPr="00275FBD">
        <w:rPr>
          <w:lang w:val="sl-SI"/>
        </w:rPr>
        <w:t xml:space="preserve">Za 51 </w:t>
      </w:r>
      <w:r w:rsidR="00BD5705" w:rsidRPr="00275FBD">
        <w:rPr>
          <w:lang w:val="sl-SI"/>
        </w:rPr>
        <w:t xml:space="preserve">najdb </w:t>
      </w:r>
      <w:r w:rsidRPr="00275FBD">
        <w:rPr>
          <w:lang w:val="sl-SI"/>
        </w:rPr>
        <w:t xml:space="preserve">z rangom »3« ali nižje so korektivni ukrepi vključeni v IAP / CAP ob upoštevanju argumentov URSJV o utemeljitvi in izvedljivosti, kot je dokumentirano v dopolnitvi s strani URSJV </w:t>
      </w:r>
      <w:r w:rsidRPr="00275FBD">
        <w:rPr>
          <w:lang w:val="sl-SI"/>
        </w:rPr>
        <w:fldChar w:fldCharType="begin"/>
      </w:r>
      <w:r w:rsidRPr="00275FBD">
        <w:rPr>
          <w:lang w:val="sl-SI"/>
        </w:rPr>
        <w:instrText xml:space="preserve"> REF _Ref135896735 \r \h </w:instrText>
      </w:r>
      <w:r w:rsidRPr="00275FBD">
        <w:rPr>
          <w:lang w:val="sl-SI"/>
        </w:rPr>
      </w:r>
      <w:r w:rsidRPr="00275FBD">
        <w:rPr>
          <w:lang w:val="sl-SI"/>
        </w:rPr>
        <w:fldChar w:fldCharType="separate"/>
      </w:r>
      <w:r w:rsidR="00BA25CD">
        <w:rPr>
          <w:lang w:val="sl-SI"/>
        </w:rPr>
        <w:t>[34]</w:t>
      </w:r>
      <w:r w:rsidRPr="00275FBD">
        <w:rPr>
          <w:lang w:val="sl-SI"/>
        </w:rPr>
        <w:fldChar w:fldCharType="end"/>
      </w:r>
      <w:r w:rsidRPr="00275FBD">
        <w:rPr>
          <w:lang w:val="sl-SI"/>
        </w:rPr>
        <w:t>.</w:t>
      </w:r>
    </w:p>
    <w:p w14:paraId="17F9E4AC" w14:textId="77777777" w:rsidR="008724FF" w:rsidRPr="00275FBD" w:rsidRDefault="008724FF" w:rsidP="008724FF">
      <w:pPr>
        <w:rPr>
          <w:lang w:val="sl-SI"/>
        </w:rPr>
      </w:pPr>
    </w:p>
    <w:p w14:paraId="68C64797" w14:textId="04BB9889" w:rsidR="008724FF" w:rsidRPr="00275FBD" w:rsidRDefault="008724FF" w:rsidP="008724FF">
      <w:pPr>
        <w:rPr>
          <w:lang w:val="sl-SI"/>
        </w:rPr>
      </w:pPr>
      <w:r w:rsidRPr="00275FBD">
        <w:rPr>
          <w:lang w:val="sl-SI"/>
        </w:rPr>
        <w:t xml:space="preserve">Za 2 </w:t>
      </w:r>
      <w:r w:rsidR="007240A7">
        <w:rPr>
          <w:lang w:val="sl-SI"/>
        </w:rPr>
        <w:t>najdbi</w:t>
      </w:r>
      <w:r w:rsidR="007240A7" w:rsidRPr="00275FBD">
        <w:rPr>
          <w:lang w:val="sl-SI"/>
        </w:rPr>
        <w:t xml:space="preserve"> </w:t>
      </w:r>
      <w:r w:rsidRPr="00275FBD">
        <w:rPr>
          <w:lang w:val="sl-SI"/>
        </w:rPr>
        <w:t xml:space="preserve">z rangom 3 ali nižje se vključujejo korektivni ukrepi v IAP / CAP ob upoštevanju utemeljitve AI in argumentov o izvedljivosti, kot je dokumentirano v </w:t>
      </w:r>
      <w:r w:rsidRPr="00275FBD">
        <w:rPr>
          <w:lang w:val="sl-SI"/>
        </w:rPr>
        <w:fldChar w:fldCharType="begin"/>
      </w:r>
      <w:r w:rsidRPr="00275FBD">
        <w:rPr>
          <w:lang w:val="sl-SI"/>
        </w:rPr>
        <w:instrText xml:space="preserve"> REF _Ref137804319 \r \h </w:instrText>
      </w:r>
      <w:r w:rsidRPr="00275FBD">
        <w:rPr>
          <w:lang w:val="sl-SI"/>
        </w:rPr>
      </w:r>
      <w:r w:rsidRPr="00275FBD">
        <w:rPr>
          <w:lang w:val="sl-SI"/>
        </w:rPr>
        <w:fldChar w:fldCharType="separate"/>
      </w:r>
      <w:r w:rsidR="00BA25CD">
        <w:rPr>
          <w:lang w:val="sl-SI"/>
        </w:rPr>
        <w:t>[35]</w:t>
      </w:r>
      <w:r w:rsidRPr="00275FBD">
        <w:rPr>
          <w:lang w:val="sl-SI"/>
        </w:rPr>
        <w:fldChar w:fldCharType="end"/>
      </w:r>
      <w:r w:rsidRPr="00275FBD">
        <w:rPr>
          <w:lang w:val="sl-SI"/>
        </w:rPr>
        <w:t>.</w:t>
      </w:r>
    </w:p>
    <w:p w14:paraId="19B55309" w14:textId="77777777" w:rsidR="008724FF" w:rsidRPr="00275FBD" w:rsidRDefault="008724FF" w:rsidP="008724FF">
      <w:pPr>
        <w:rPr>
          <w:lang w:val="sl-SI"/>
        </w:rPr>
      </w:pPr>
    </w:p>
    <w:p w14:paraId="5C3F3851" w14:textId="028713E9" w:rsidR="008724FF" w:rsidRPr="00275FBD" w:rsidRDefault="008724FF" w:rsidP="008724FF">
      <w:pPr>
        <w:rPr>
          <w:lang w:val="sl-SI"/>
        </w:rPr>
      </w:pPr>
      <w:r w:rsidRPr="00275FBD">
        <w:rPr>
          <w:lang w:val="sl-SI"/>
        </w:rPr>
        <w:t xml:space="preserve">Pričakuje se, da bodo vsi navedeni korektivni ukrepi časovno izvedeni v skladu </w:t>
      </w:r>
      <w:r w:rsidR="004043C5" w:rsidRPr="00275FBD">
        <w:rPr>
          <w:lang w:val="sl-SI"/>
        </w:rPr>
        <w:t>s</w:t>
      </w:r>
      <w:r w:rsidRPr="00275FBD">
        <w:rPr>
          <w:lang w:val="sl-SI"/>
        </w:rPr>
        <w:t xml:space="preserve"> Pravilnikom JV9 </w:t>
      </w:r>
      <w:r w:rsidRPr="00275FBD">
        <w:rPr>
          <w:lang w:val="sl-SI"/>
        </w:rPr>
        <w:fldChar w:fldCharType="begin"/>
      </w:r>
      <w:r w:rsidRPr="00275FBD">
        <w:rPr>
          <w:lang w:val="sl-SI"/>
        </w:rPr>
        <w:instrText xml:space="preserve"> REF _Ref129601022 \r \h </w:instrText>
      </w:r>
      <w:r w:rsidRPr="00275FBD">
        <w:rPr>
          <w:lang w:val="sl-SI"/>
        </w:rPr>
      </w:r>
      <w:r w:rsidRPr="00275FBD">
        <w:rPr>
          <w:lang w:val="sl-SI"/>
        </w:rPr>
        <w:fldChar w:fldCharType="separate"/>
      </w:r>
      <w:r w:rsidR="00BA25CD">
        <w:rPr>
          <w:lang w:val="sl-SI"/>
        </w:rPr>
        <w:t>[6]</w:t>
      </w:r>
      <w:r w:rsidRPr="00275FBD">
        <w:rPr>
          <w:lang w:val="sl-SI"/>
        </w:rPr>
        <w:fldChar w:fldCharType="end"/>
      </w:r>
      <w:r w:rsidRPr="00275FBD">
        <w:rPr>
          <w:lang w:val="sl-SI"/>
        </w:rPr>
        <w:t>.</w:t>
      </w:r>
    </w:p>
    <w:p w14:paraId="0060502D" w14:textId="77777777" w:rsidR="008724FF" w:rsidRPr="00275FBD" w:rsidRDefault="008724FF" w:rsidP="008724FF">
      <w:pPr>
        <w:rPr>
          <w:lang w:val="sl-SI"/>
        </w:rPr>
      </w:pPr>
    </w:p>
    <w:p w14:paraId="002881DC" w14:textId="307694CF" w:rsidR="008724FF" w:rsidRPr="00275FBD" w:rsidRDefault="008724FF" w:rsidP="008724FF">
      <w:pPr>
        <w:rPr>
          <w:lang w:val="sl-SI"/>
        </w:rPr>
      </w:pPr>
      <w:r w:rsidRPr="00275FBD">
        <w:rPr>
          <w:lang w:val="sl-SI"/>
        </w:rPr>
        <w:t>Končni NEK PSR3 IAP je sestavljen iz naslednjih tabel, ki se prenesejo v NEK CAP:</w:t>
      </w:r>
    </w:p>
    <w:p w14:paraId="7925E166" w14:textId="77777777" w:rsidR="008724FF" w:rsidRPr="00275FBD" w:rsidRDefault="008724FF" w:rsidP="008724FF">
      <w:pPr>
        <w:rPr>
          <w:lang w:val="sl-SI"/>
        </w:rPr>
      </w:pPr>
    </w:p>
    <w:p w14:paraId="736205AB" w14:textId="585769FB" w:rsidR="00F24C07" w:rsidRPr="00275FBD" w:rsidRDefault="008724FF" w:rsidP="008724FF">
      <w:pPr>
        <w:pStyle w:val="Odstavekseznama"/>
        <w:numPr>
          <w:ilvl w:val="0"/>
          <w:numId w:val="40"/>
        </w:numPr>
        <w:ind w:left="714" w:hanging="357"/>
        <w:contextualSpacing w:val="0"/>
        <w:rPr>
          <w:rFonts w:cs="TimesNewRomanPSMT"/>
          <w:szCs w:val="20"/>
          <w:lang w:val="sl-SI" w:eastAsia="en-GB"/>
        </w:rPr>
      </w:pPr>
      <w:r w:rsidRPr="00275FBD">
        <w:rPr>
          <w:rFonts w:cs="TimesNewRomanPSMT"/>
          <w:szCs w:val="20"/>
          <w:lang w:val="sl-SI" w:eastAsia="en-GB"/>
        </w:rPr>
        <w:fldChar w:fldCharType="begin"/>
      </w:r>
      <w:r w:rsidRPr="00275FBD">
        <w:rPr>
          <w:rFonts w:cs="TimesNewRomanPSMT"/>
          <w:szCs w:val="20"/>
          <w:lang w:val="sl-SI" w:eastAsia="en-GB"/>
        </w:rPr>
        <w:instrText xml:space="preserve"> REF _Ref138606507 \h </w:instrText>
      </w:r>
      <w:r w:rsidRPr="00275FBD">
        <w:rPr>
          <w:rFonts w:cs="TimesNewRomanPSMT"/>
          <w:szCs w:val="20"/>
          <w:lang w:val="sl-SI" w:eastAsia="en-GB"/>
        </w:rPr>
      </w:r>
      <w:r w:rsidRPr="00275FBD">
        <w:rPr>
          <w:rFonts w:cs="TimesNewRomanPSMT"/>
          <w:szCs w:val="20"/>
          <w:lang w:val="sl-SI" w:eastAsia="en-GB"/>
        </w:rPr>
        <w:fldChar w:fldCharType="separate"/>
      </w:r>
      <w:r w:rsidR="00BA25CD" w:rsidRPr="00275FBD">
        <w:rPr>
          <w:lang w:val="sl-SI"/>
        </w:rPr>
        <w:t>Tabela A-</w:t>
      </w:r>
      <w:r w:rsidR="00BA25CD">
        <w:rPr>
          <w:noProof/>
          <w:lang w:val="sl-SI"/>
        </w:rPr>
        <w:t>1</w:t>
      </w:r>
      <w:r w:rsidR="00BA25CD" w:rsidRPr="00275FBD">
        <w:rPr>
          <w:lang w:val="sl-SI"/>
        </w:rPr>
        <w:t>: Načrt izvedbe ukrepov z direktnim vnosom v CAP (Rang &gt; 3)</w:t>
      </w:r>
      <w:r w:rsidRPr="00275FBD">
        <w:rPr>
          <w:rFonts w:cs="TimesNewRomanPSMT"/>
          <w:szCs w:val="20"/>
          <w:lang w:val="sl-SI" w:eastAsia="en-GB"/>
        </w:rPr>
        <w:fldChar w:fldCharType="end"/>
      </w:r>
      <w:r w:rsidR="00F24C07" w:rsidRPr="00275FBD">
        <w:rPr>
          <w:rFonts w:cs="TimesNewRomanPSMT"/>
          <w:szCs w:val="20"/>
          <w:lang w:val="sl-SI" w:eastAsia="en-GB"/>
        </w:rPr>
        <w:t>,</w:t>
      </w:r>
    </w:p>
    <w:p w14:paraId="128060B1" w14:textId="7AC3B059" w:rsidR="00F24C07" w:rsidRPr="00275FBD" w:rsidRDefault="008724FF" w:rsidP="008724FF">
      <w:pPr>
        <w:pStyle w:val="Odstavekseznama"/>
        <w:numPr>
          <w:ilvl w:val="0"/>
          <w:numId w:val="40"/>
        </w:numPr>
        <w:ind w:left="714" w:hanging="357"/>
        <w:contextualSpacing w:val="0"/>
        <w:rPr>
          <w:rFonts w:cs="TimesNewRomanPSMT"/>
          <w:szCs w:val="20"/>
          <w:lang w:val="sl-SI" w:eastAsia="en-GB"/>
        </w:rPr>
      </w:pPr>
      <w:r w:rsidRPr="00275FBD">
        <w:rPr>
          <w:rFonts w:cs="TimesNewRomanPSMT"/>
          <w:szCs w:val="20"/>
          <w:lang w:val="sl-SI" w:eastAsia="en-GB"/>
        </w:rPr>
        <w:fldChar w:fldCharType="begin"/>
      </w:r>
      <w:r w:rsidRPr="00275FBD">
        <w:rPr>
          <w:rFonts w:cs="TimesNewRomanPSMT"/>
          <w:szCs w:val="20"/>
          <w:lang w:val="sl-SI" w:eastAsia="en-GB"/>
        </w:rPr>
        <w:instrText xml:space="preserve"> REF _Ref138606517 \h </w:instrText>
      </w:r>
      <w:r w:rsidRPr="00275FBD">
        <w:rPr>
          <w:rFonts w:cs="TimesNewRomanPSMT"/>
          <w:szCs w:val="20"/>
          <w:lang w:val="sl-SI" w:eastAsia="en-GB"/>
        </w:rPr>
      </w:r>
      <w:r w:rsidRPr="00275FBD">
        <w:rPr>
          <w:rFonts w:cs="TimesNewRomanPSMT"/>
          <w:szCs w:val="20"/>
          <w:lang w:val="sl-SI" w:eastAsia="en-GB"/>
        </w:rPr>
        <w:fldChar w:fldCharType="separate"/>
      </w:r>
      <w:r w:rsidR="00BA25CD" w:rsidRPr="00275FBD">
        <w:rPr>
          <w:lang w:val="sl-SI"/>
        </w:rPr>
        <w:t>Tabela A-</w:t>
      </w:r>
      <w:r w:rsidR="00BA25CD">
        <w:rPr>
          <w:noProof/>
          <w:lang w:val="sl-SI"/>
        </w:rPr>
        <w:t>2</w:t>
      </w:r>
      <w:r w:rsidR="00BA25CD" w:rsidRPr="00275FBD">
        <w:rPr>
          <w:lang w:val="sl-SI"/>
        </w:rPr>
        <w:t>: Seznam najdb z direktno zahtevano rešitvijo in direktnim vnosom v CAP</w:t>
      </w:r>
      <w:r w:rsidRPr="00275FBD">
        <w:rPr>
          <w:rFonts w:cs="TimesNewRomanPSMT"/>
          <w:szCs w:val="20"/>
          <w:lang w:val="sl-SI" w:eastAsia="en-GB"/>
        </w:rPr>
        <w:fldChar w:fldCharType="end"/>
      </w:r>
      <w:r w:rsidR="00F24C07" w:rsidRPr="00275FBD">
        <w:rPr>
          <w:rFonts w:cs="TimesNewRomanPSMT"/>
          <w:szCs w:val="20"/>
          <w:lang w:val="sl-SI" w:eastAsia="en-GB"/>
        </w:rPr>
        <w:t>,</w:t>
      </w:r>
    </w:p>
    <w:p w14:paraId="620A2B9C" w14:textId="6ED5FF4E" w:rsidR="00F24C07" w:rsidRPr="00275FBD" w:rsidRDefault="008724FF" w:rsidP="008724FF">
      <w:pPr>
        <w:pStyle w:val="Odstavekseznama"/>
        <w:numPr>
          <w:ilvl w:val="0"/>
          <w:numId w:val="40"/>
        </w:numPr>
        <w:ind w:left="714" w:hanging="357"/>
        <w:contextualSpacing w:val="0"/>
        <w:rPr>
          <w:rFonts w:cs="TimesNewRomanPSMT"/>
          <w:szCs w:val="20"/>
          <w:lang w:val="sl-SI" w:eastAsia="en-GB"/>
        </w:rPr>
      </w:pPr>
      <w:r w:rsidRPr="00275FBD">
        <w:rPr>
          <w:rFonts w:cs="TimesNewRomanPSMT"/>
          <w:szCs w:val="20"/>
          <w:lang w:val="sl-SI" w:eastAsia="en-GB"/>
        </w:rPr>
        <w:fldChar w:fldCharType="begin"/>
      </w:r>
      <w:r w:rsidRPr="00275FBD">
        <w:rPr>
          <w:rFonts w:cs="TimesNewRomanPSMT"/>
          <w:szCs w:val="20"/>
          <w:lang w:val="sl-SI" w:eastAsia="en-GB"/>
        </w:rPr>
        <w:instrText xml:space="preserve"> REF _Ref138606525 \h </w:instrText>
      </w:r>
      <w:r w:rsidRPr="00275FBD">
        <w:rPr>
          <w:rFonts w:cs="TimesNewRomanPSMT"/>
          <w:szCs w:val="20"/>
          <w:lang w:val="sl-SI" w:eastAsia="en-GB"/>
        </w:rPr>
      </w:r>
      <w:r w:rsidRPr="00275FBD">
        <w:rPr>
          <w:rFonts w:cs="TimesNewRomanPSMT"/>
          <w:szCs w:val="20"/>
          <w:lang w:val="sl-SI" w:eastAsia="en-GB"/>
        </w:rPr>
        <w:fldChar w:fldCharType="separate"/>
      </w:r>
      <w:r w:rsidR="00BA25CD" w:rsidRPr="00275FBD">
        <w:rPr>
          <w:lang w:val="sl-SI"/>
        </w:rPr>
        <w:t>Tabela A-</w:t>
      </w:r>
      <w:r w:rsidR="00BA25CD">
        <w:rPr>
          <w:noProof/>
          <w:lang w:val="sl-SI"/>
        </w:rPr>
        <w:t>3</w:t>
      </w:r>
      <w:r w:rsidR="00BA25CD" w:rsidRPr="00275FBD">
        <w:rPr>
          <w:lang w:val="sl-SI"/>
        </w:rPr>
        <w:t xml:space="preserve">: Seznam najdb, ki </w:t>
      </w:r>
      <w:r w:rsidR="00BA25CD">
        <w:rPr>
          <w:lang w:val="sl-SI"/>
        </w:rPr>
        <w:t>so izvedljive</w:t>
      </w:r>
      <w:r w:rsidR="00BA25CD" w:rsidRPr="00275FBD">
        <w:rPr>
          <w:lang w:val="sl-SI"/>
        </w:rPr>
        <w:t xml:space="preserve"> z ma</w:t>
      </w:r>
      <w:r w:rsidR="00BA25CD">
        <w:rPr>
          <w:lang w:val="sl-SI"/>
        </w:rPr>
        <w:t>jhnim</w:t>
      </w:r>
      <w:r w:rsidR="00BA25CD" w:rsidRPr="00275FBD">
        <w:rPr>
          <w:lang w:val="sl-SI"/>
        </w:rPr>
        <w:t xml:space="preserve"> napor</w:t>
      </w:r>
      <w:r w:rsidR="00BA25CD">
        <w:rPr>
          <w:lang w:val="sl-SI"/>
        </w:rPr>
        <w:t>om</w:t>
      </w:r>
      <w:r w:rsidR="00BA25CD" w:rsidRPr="00275FBD">
        <w:rPr>
          <w:lang w:val="sl-SI"/>
        </w:rPr>
        <w:t xml:space="preserve"> - direkten vnos v CAP</w:t>
      </w:r>
      <w:r w:rsidRPr="00275FBD">
        <w:rPr>
          <w:rFonts w:cs="TimesNewRomanPSMT"/>
          <w:szCs w:val="20"/>
          <w:lang w:val="sl-SI" w:eastAsia="en-GB"/>
        </w:rPr>
        <w:fldChar w:fldCharType="end"/>
      </w:r>
      <w:r w:rsidR="00F24C07" w:rsidRPr="00275FBD">
        <w:rPr>
          <w:rFonts w:cs="TimesNewRomanPSMT"/>
          <w:szCs w:val="20"/>
          <w:lang w:val="sl-SI" w:eastAsia="en-GB"/>
        </w:rPr>
        <w:t>,</w:t>
      </w:r>
    </w:p>
    <w:p w14:paraId="3B37DA30" w14:textId="6ED9B981" w:rsidR="00F24C07" w:rsidRPr="00275FBD" w:rsidRDefault="008724FF" w:rsidP="008724FF">
      <w:pPr>
        <w:pStyle w:val="Odstavekseznama"/>
        <w:numPr>
          <w:ilvl w:val="0"/>
          <w:numId w:val="40"/>
        </w:numPr>
        <w:ind w:left="714" w:hanging="357"/>
        <w:contextualSpacing w:val="0"/>
        <w:rPr>
          <w:rFonts w:cs="TimesNewRomanPSMT"/>
          <w:szCs w:val="20"/>
          <w:lang w:val="sl-SI" w:eastAsia="en-GB"/>
        </w:rPr>
      </w:pPr>
      <w:r w:rsidRPr="00275FBD">
        <w:rPr>
          <w:rFonts w:cs="TimesNewRomanPSMT"/>
          <w:szCs w:val="20"/>
          <w:lang w:val="sl-SI" w:eastAsia="en-GB"/>
        </w:rPr>
        <w:fldChar w:fldCharType="begin"/>
      </w:r>
      <w:r w:rsidRPr="00275FBD">
        <w:rPr>
          <w:rFonts w:cs="TimesNewRomanPSMT"/>
          <w:szCs w:val="20"/>
          <w:lang w:val="sl-SI" w:eastAsia="en-GB"/>
        </w:rPr>
        <w:instrText xml:space="preserve"> REF _Ref138606531 \h </w:instrText>
      </w:r>
      <w:r w:rsidRPr="00275FBD">
        <w:rPr>
          <w:rFonts w:cs="TimesNewRomanPSMT"/>
          <w:szCs w:val="20"/>
          <w:lang w:val="sl-SI" w:eastAsia="en-GB"/>
        </w:rPr>
      </w:r>
      <w:r w:rsidRPr="00275FBD">
        <w:rPr>
          <w:rFonts w:cs="TimesNewRomanPSMT"/>
          <w:szCs w:val="20"/>
          <w:lang w:val="sl-SI" w:eastAsia="en-GB"/>
        </w:rPr>
        <w:fldChar w:fldCharType="separate"/>
      </w:r>
      <w:r w:rsidR="00BA25CD" w:rsidRPr="00275FBD">
        <w:rPr>
          <w:lang w:val="sl-SI"/>
        </w:rPr>
        <w:t>Tabela A-</w:t>
      </w:r>
      <w:r w:rsidR="00BA25CD">
        <w:rPr>
          <w:noProof/>
          <w:lang w:val="sl-SI"/>
        </w:rPr>
        <w:t>4</w:t>
      </w:r>
      <w:r w:rsidR="00BA25CD" w:rsidRPr="00275FBD">
        <w:rPr>
          <w:lang w:val="sl-SI"/>
        </w:rPr>
        <w:t>: Seznam najdb za vključitev v IAP / CAP na podlagi praktičnih argumentov - URSJV</w:t>
      </w:r>
      <w:r w:rsidRPr="00275FBD">
        <w:rPr>
          <w:rFonts w:cs="TimesNewRomanPSMT"/>
          <w:szCs w:val="20"/>
          <w:lang w:val="sl-SI" w:eastAsia="en-GB"/>
        </w:rPr>
        <w:fldChar w:fldCharType="end"/>
      </w:r>
      <w:r w:rsidR="00F24C07" w:rsidRPr="00275FBD">
        <w:rPr>
          <w:rFonts w:cs="TimesNewRomanPSMT"/>
          <w:szCs w:val="20"/>
          <w:lang w:val="sl-SI" w:eastAsia="en-GB"/>
        </w:rPr>
        <w:t>,</w:t>
      </w:r>
    </w:p>
    <w:p w14:paraId="68BA2718" w14:textId="6008E2BE" w:rsidR="00F24C07" w:rsidRPr="00275FBD" w:rsidRDefault="008724FF" w:rsidP="008724FF">
      <w:pPr>
        <w:pStyle w:val="Odstavekseznama"/>
        <w:numPr>
          <w:ilvl w:val="0"/>
          <w:numId w:val="40"/>
        </w:numPr>
        <w:ind w:left="714" w:hanging="357"/>
        <w:contextualSpacing w:val="0"/>
        <w:rPr>
          <w:rFonts w:cs="TimesNewRomanPSMT"/>
          <w:szCs w:val="20"/>
          <w:lang w:val="sl-SI" w:eastAsia="en-GB"/>
        </w:rPr>
      </w:pPr>
      <w:r w:rsidRPr="00275FBD">
        <w:rPr>
          <w:rFonts w:cs="TimesNewRomanPSMT"/>
          <w:szCs w:val="20"/>
          <w:lang w:val="sl-SI" w:eastAsia="en-GB"/>
        </w:rPr>
        <w:fldChar w:fldCharType="begin"/>
      </w:r>
      <w:r w:rsidRPr="00275FBD">
        <w:rPr>
          <w:rFonts w:cs="TimesNewRomanPSMT"/>
          <w:szCs w:val="20"/>
          <w:lang w:val="sl-SI" w:eastAsia="en-GB"/>
        </w:rPr>
        <w:instrText xml:space="preserve"> REF _Ref138606538 \h </w:instrText>
      </w:r>
      <w:r w:rsidRPr="00275FBD">
        <w:rPr>
          <w:rFonts w:cs="TimesNewRomanPSMT"/>
          <w:szCs w:val="20"/>
          <w:lang w:val="sl-SI" w:eastAsia="en-GB"/>
        </w:rPr>
      </w:r>
      <w:r w:rsidRPr="00275FBD">
        <w:rPr>
          <w:rFonts w:cs="TimesNewRomanPSMT"/>
          <w:szCs w:val="20"/>
          <w:lang w:val="sl-SI" w:eastAsia="en-GB"/>
        </w:rPr>
        <w:fldChar w:fldCharType="separate"/>
      </w:r>
      <w:r w:rsidR="00BA25CD" w:rsidRPr="00275FBD">
        <w:rPr>
          <w:lang w:val="sl-SI"/>
        </w:rPr>
        <w:t>Tabela A-</w:t>
      </w:r>
      <w:r w:rsidR="00BA25CD">
        <w:rPr>
          <w:noProof/>
          <w:lang w:val="sl-SI"/>
        </w:rPr>
        <w:t>5</w:t>
      </w:r>
      <w:r w:rsidR="00BA25CD" w:rsidRPr="00275FBD">
        <w:rPr>
          <w:lang w:val="sl-SI"/>
        </w:rPr>
        <w:t xml:space="preserve">: Seznam najdb za vključitev v IAP / CAP na podlagi praktičnih argumentov – </w:t>
      </w:r>
      <w:r w:rsidRPr="00275FBD">
        <w:rPr>
          <w:rFonts w:cs="TimesNewRomanPSMT"/>
          <w:szCs w:val="20"/>
          <w:lang w:val="sl-SI" w:eastAsia="en-GB"/>
        </w:rPr>
        <w:fldChar w:fldCharType="end"/>
      </w:r>
      <w:r w:rsidR="00290F1E">
        <w:rPr>
          <w:rFonts w:cs="TimesNewRomanPSMT"/>
          <w:szCs w:val="20"/>
          <w:lang w:val="sl-SI" w:eastAsia="en-GB"/>
        </w:rPr>
        <w:t>Pooblaščena</w:t>
      </w:r>
      <w:r w:rsidR="00F8499D">
        <w:rPr>
          <w:rFonts w:cs="TimesNewRomanPSMT"/>
          <w:szCs w:val="20"/>
          <w:lang w:val="sl-SI" w:eastAsia="en-GB"/>
        </w:rPr>
        <w:t xml:space="preserve"> organizacija</w:t>
      </w:r>
      <w:r w:rsidR="00290F1E">
        <w:rPr>
          <w:rFonts w:cs="TimesNewRomanPSMT"/>
          <w:szCs w:val="20"/>
          <w:lang w:val="sl-SI" w:eastAsia="en-GB"/>
        </w:rPr>
        <w:t xml:space="preserve"> (AI)</w:t>
      </w:r>
      <w:r w:rsidR="000623DA" w:rsidRPr="00275FBD">
        <w:rPr>
          <w:rFonts w:cs="TimesNewRomanPSMT"/>
          <w:szCs w:val="20"/>
          <w:lang w:val="sl-SI" w:eastAsia="en-GB"/>
        </w:rPr>
        <w:t>.</w:t>
      </w:r>
    </w:p>
    <w:p w14:paraId="666B996C" w14:textId="77777777" w:rsidR="00F24C07" w:rsidRPr="00275FBD" w:rsidRDefault="00F24C07" w:rsidP="006A6895">
      <w:pPr>
        <w:rPr>
          <w:lang w:val="sl-SI"/>
        </w:rPr>
      </w:pPr>
    </w:p>
    <w:p w14:paraId="4819B147" w14:textId="77777777" w:rsidR="00F24C07" w:rsidRPr="00275FBD" w:rsidRDefault="00F24C07" w:rsidP="006A6895">
      <w:pPr>
        <w:rPr>
          <w:lang w:val="sl-SI"/>
        </w:rPr>
      </w:pPr>
    </w:p>
    <w:p w14:paraId="1208FB0B" w14:textId="77777777" w:rsidR="00F24C07" w:rsidRPr="00275FBD" w:rsidRDefault="00F24C07" w:rsidP="006A6895">
      <w:pPr>
        <w:rPr>
          <w:lang w:val="sl-SI"/>
        </w:rPr>
      </w:pPr>
    </w:p>
    <w:p w14:paraId="1B7768F2" w14:textId="77777777" w:rsidR="00181C2E" w:rsidRPr="00275FBD" w:rsidRDefault="00181C2E" w:rsidP="00181C2E">
      <w:pPr>
        <w:rPr>
          <w:lang w:val="sl-SI"/>
        </w:rPr>
      </w:pPr>
    </w:p>
    <w:p w14:paraId="518A6337" w14:textId="77777777" w:rsidR="00935B67" w:rsidRPr="00275FBD" w:rsidRDefault="00935B67" w:rsidP="00181C2E">
      <w:pPr>
        <w:tabs>
          <w:tab w:val="left" w:pos="0"/>
        </w:tabs>
        <w:rPr>
          <w:szCs w:val="20"/>
          <w:lang w:val="sl-SI"/>
        </w:rPr>
        <w:sectPr w:rsidR="00935B67" w:rsidRPr="00275FBD" w:rsidSect="005F6909">
          <w:headerReference w:type="default" r:id="rId47"/>
          <w:footerReference w:type="default" r:id="rId48"/>
          <w:pgSz w:w="11906" w:h="16838"/>
          <w:pgMar w:top="1440" w:right="1440" w:bottom="1440" w:left="1440" w:header="708" w:footer="708" w:gutter="0"/>
          <w:cols w:space="708"/>
          <w:docGrid w:linePitch="360"/>
        </w:sectPr>
      </w:pPr>
    </w:p>
    <w:p w14:paraId="059ECD13" w14:textId="77777777" w:rsidR="00935B67" w:rsidRPr="00275FBD" w:rsidRDefault="00935B67" w:rsidP="00935B67">
      <w:pPr>
        <w:rPr>
          <w:lang w:val="sl-SI"/>
        </w:rPr>
      </w:pPr>
      <w:bookmarkStart w:id="172" w:name="_Ref366579645"/>
      <w:bookmarkStart w:id="173" w:name="_Ref367254240"/>
      <w:bookmarkStart w:id="174" w:name="_Toc135945189"/>
    </w:p>
    <w:p w14:paraId="6684CB31" w14:textId="63C37A42" w:rsidR="000B7B30" w:rsidRPr="00275FBD" w:rsidRDefault="000B7B30" w:rsidP="000B7B30">
      <w:pPr>
        <w:pStyle w:val="Napis"/>
        <w:rPr>
          <w:lang w:val="sl-SI"/>
        </w:rPr>
      </w:pPr>
      <w:bookmarkStart w:id="175" w:name="_Ref138606507"/>
      <w:bookmarkStart w:id="176" w:name="_Toc163197445"/>
      <w:bookmarkEnd w:id="172"/>
      <w:bookmarkEnd w:id="173"/>
      <w:bookmarkEnd w:id="174"/>
      <w:r w:rsidRPr="00275FBD">
        <w:rPr>
          <w:lang w:val="sl-SI"/>
        </w:rPr>
        <w:t>Tabela A-</w:t>
      </w:r>
      <w:r w:rsidRPr="00275FBD">
        <w:rPr>
          <w:lang w:val="sl-SI"/>
        </w:rPr>
        <w:fldChar w:fldCharType="begin"/>
      </w:r>
      <w:r w:rsidRPr="00275FBD">
        <w:rPr>
          <w:lang w:val="sl-SI"/>
        </w:rPr>
        <w:instrText xml:space="preserve"> SEQ Tabela_A- \* ARABIC </w:instrText>
      </w:r>
      <w:r w:rsidRPr="00275FBD">
        <w:rPr>
          <w:lang w:val="sl-SI"/>
        </w:rPr>
        <w:fldChar w:fldCharType="separate"/>
      </w:r>
      <w:r w:rsidR="00BA25CD">
        <w:rPr>
          <w:noProof/>
          <w:lang w:val="sl-SI"/>
        </w:rPr>
        <w:t>1</w:t>
      </w:r>
      <w:r w:rsidRPr="00275FBD">
        <w:rPr>
          <w:lang w:val="sl-SI"/>
        </w:rPr>
        <w:fldChar w:fldCharType="end"/>
      </w:r>
      <w:r w:rsidRPr="00275FBD">
        <w:rPr>
          <w:lang w:val="sl-SI"/>
        </w:rPr>
        <w:t>: Načrt izvedbe ukrepov z direktnim vnosom v CAP (Rang &gt; 3)</w:t>
      </w:r>
      <w:bookmarkEnd w:id="175"/>
      <w:bookmarkEnd w:id="176"/>
    </w:p>
    <w:tbl>
      <w:tblPr>
        <w:tblW w:w="1439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14"/>
        <w:gridCol w:w="1020"/>
        <w:gridCol w:w="7255"/>
        <w:gridCol w:w="1873"/>
        <w:gridCol w:w="2119"/>
      </w:tblGrid>
      <w:tr w:rsidR="00935B67" w:rsidRPr="00275FBD" w14:paraId="56B0CB20" w14:textId="77777777" w:rsidTr="00935B67">
        <w:trPr>
          <w:trHeight w:val="389"/>
          <w:tblHeader/>
        </w:trPr>
        <w:tc>
          <w:tcPr>
            <w:tcW w:w="1418" w:type="dxa"/>
            <w:vMerge w:val="restart"/>
            <w:shd w:val="clear" w:color="000000" w:fill="BFBFBF"/>
            <w:hideMark/>
          </w:tcPr>
          <w:p w14:paraId="70774573"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b/>
                <w:bCs/>
                <w:color w:val="000000"/>
                <w:sz w:val="18"/>
                <w:szCs w:val="18"/>
                <w:lang w:eastAsia="en-GB"/>
              </w:rPr>
              <w:t>Issue ID</w:t>
            </w:r>
          </w:p>
        </w:tc>
        <w:tc>
          <w:tcPr>
            <w:tcW w:w="1734" w:type="dxa"/>
            <w:gridSpan w:val="2"/>
            <w:shd w:val="clear" w:color="000000" w:fill="BFBFBF"/>
            <w:hideMark/>
          </w:tcPr>
          <w:p w14:paraId="2AB0395A"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b/>
                <w:bCs/>
                <w:color w:val="000000"/>
                <w:sz w:val="18"/>
                <w:szCs w:val="18"/>
                <w:lang w:eastAsia="en-GB"/>
              </w:rPr>
              <w:t>Safety Significance (Broad Ranking)</w:t>
            </w:r>
          </w:p>
        </w:tc>
        <w:tc>
          <w:tcPr>
            <w:tcW w:w="7255" w:type="dxa"/>
            <w:vMerge w:val="restart"/>
            <w:shd w:val="clear" w:color="000000" w:fill="BFBFBF"/>
            <w:hideMark/>
          </w:tcPr>
          <w:p w14:paraId="4594ECD0"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b/>
                <w:bCs/>
                <w:color w:val="000000"/>
                <w:sz w:val="18"/>
                <w:szCs w:val="18"/>
                <w:lang w:eastAsia="en-GB"/>
              </w:rPr>
              <w:t>Corrective Measures Description</w:t>
            </w:r>
          </w:p>
        </w:tc>
        <w:tc>
          <w:tcPr>
            <w:tcW w:w="1873" w:type="dxa"/>
            <w:vMerge w:val="restart"/>
            <w:shd w:val="clear" w:color="000000" w:fill="BFBFBF"/>
          </w:tcPr>
          <w:p w14:paraId="7D4DCD76"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b/>
                <w:bCs/>
                <w:color w:val="000000"/>
                <w:sz w:val="18"/>
                <w:szCs w:val="18"/>
                <w:lang w:eastAsia="en-GB"/>
              </w:rPr>
              <w:t>Priority per SN</w:t>
            </w:r>
          </w:p>
        </w:tc>
        <w:tc>
          <w:tcPr>
            <w:tcW w:w="2119" w:type="dxa"/>
            <w:vMerge w:val="restart"/>
            <w:shd w:val="clear" w:color="000000" w:fill="BFBFBF"/>
          </w:tcPr>
          <w:p w14:paraId="2CD02945"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b/>
                <w:bCs/>
                <w:color w:val="000000"/>
                <w:sz w:val="18"/>
                <w:szCs w:val="18"/>
                <w:lang w:eastAsia="en-GB"/>
              </w:rPr>
              <w:t>Time Implementation</w:t>
            </w:r>
          </w:p>
          <w:p w14:paraId="48CC0A37"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b/>
                <w:bCs/>
                <w:color w:val="000000"/>
                <w:sz w:val="18"/>
                <w:szCs w:val="18"/>
                <w:lang w:eastAsia="en-GB"/>
              </w:rPr>
              <w:t>Category</w:t>
            </w:r>
          </w:p>
        </w:tc>
      </w:tr>
      <w:tr w:rsidR="00935B67" w:rsidRPr="00275FBD" w14:paraId="45EC42DF" w14:textId="77777777" w:rsidTr="00935B67">
        <w:trPr>
          <w:trHeight w:val="389"/>
          <w:tblHeader/>
        </w:trPr>
        <w:tc>
          <w:tcPr>
            <w:tcW w:w="1418" w:type="dxa"/>
            <w:vMerge/>
            <w:shd w:val="clear" w:color="000000" w:fill="BFBFBF"/>
          </w:tcPr>
          <w:p w14:paraId="576D8116" w14:textId="77777777" w:rsidR="00935B67" w:rsidRPr="00A6034C" w:rsidRDefault="00935B67" w:rsidP="00935B67">
            <w:pPr>
              <w:jc w:val="center"/>
              <w:rPr>
                <w:rFonts w:asciiTheme="minorHAnsi" w:hAnsiTheme="minorHAnsi"/>
                <w:b/>
                <w:bCs/>
                <w:color w:val="000000"/>
                <w:sz w:val="18"/>
                <w:szCs w:val="18"/>
                <w:lang w:eastAsia="en-GB"/>
              </w:rPr>
            </w:pPr>
          </w:p>
        </w:tc>
        <w:tc>
          <w:tcPr>
            <w:tcW w:w="714" w:type="dxa"/>
            <w:shd w:val="clear" w:color="000000" w:fill="BFBFBF"/>
          </w:tcPr>
          <w:p w14:paraId="1EFE0981"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b/>
                <w:bCs/>
                <w:color w:val="000000"/>
                <w:sz w:val="18"/>
                <w:szCs w:val="18"/>
                <w:lang w:eastAsia="en-GB"/>
              </w:rPr>
              <w:t>Broad Rank</w:t>
            </w:r>
          </w:p>
        </w:tc>
        <w:tc>
          <w:tcPr>
            <w:tcW w:w="1020" w:type="dxa"/>
            <w:shd w:val="clear" w:color="000000" w:fill="BFBFBF"/>
          </w:tcPr>
          <w:p w14:paraId="12BF4B8B"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b/>
                <w:bCs/>
                <w:color w:val="000000"/>
                <w:sz w:val="18"/>
                <w:szCs w:val="18"/>
                <w:lang w:eastAsia="en-GB"/>
              </w:rPr>
              <w:t>Criteria</w:t>
            </w:r>
          </w:p>
        </w:tc>
        <w:tc>
          <w:tcPr>
            <w:tcW w:w="7255" w:type="dxa"/>
            <w:vMerge/>
            <w:shd w:val="clear" w:color="000000" w:fill="BFBFBF"/>
          </w:tcPr>
          <w:p w14:paraId="4FC1D761" w14:textId="77777777" w:rsidR="00935B67" w:rsidRPr="00A6034C" w:rsidRDefault="00935B67" w:rsidP="00935B67">
            <w:pPr>
              <w:jc w:val="center"/>
              <w:rPr>
                <w:rFonts w:asciiTheme="minorHAnsi" w:hAnsiTheme="minorHAnsi"/>
                <w:b/>
                <w:bCs/>
                <w:color w:val="000000"/>
                <w:sz w:val="18"/>
                <w:szCs w:val="18"/>
                <w:lang w:eastAsia="en-GB"/>
              </w:rPr>
            </w:pPr>
          </w:p>
        </w:tc>
        <w:tc>
          <w:tcPr>
            <w:tcW w:w="1873" w:type="dxa"/>
            <w:vMerge/>
            <w:shd w:val="clear" w:color="000000" w:fill="BFBFBF"/>
          </w:tcPr>
          <w:p w14:paraId="5A7093CE" w14:textId="77777777" w:rsidR="00935B67" w:rsidRPr="00A6034C" w:rsidRDefault="00935B67" w:rsidP="00935B67">
            <w:pPr>
              <w:jc w:val="center"/>
              <w:rPr>
                <w:rFonts w:asciiTheme="minorHAnsi" w:hAnsiTheme="minorHAnsi"/>
                <w:b/>
                <w:bCs/>
                <w:color w:val="000000"/>
                <w:sz w:val="18"/>
                <w:szCs w:val="18"/>
                <w:lang w:eastAsia="en-GB"/>
              </w:rPr>
            </w:pPr>
          </w:p>
        </w:tc>
        <w:tc>
          <w:tcPr>
            <w:tcW w:w="2119" w:type="dxa"/>
            <w:vMerge/>
            <w:shd w:val="clear" w:color="000000" w:fill="BFBFBF"/>
          </w:tcPr>
          <w:p w14:paraId="2BE3316F" w14:textId="77777777" w:rsidR="00935B67" w:rsidRPr="00A6034C" w:rsidRDefault="00935B67" w:rsidP="00935B67">
            <w:pPr>
              <w:jc w:val="center"/>
              <w:rPr>
                <w:rFonts w:asciiTheme="minorHAnsi" w:hAnsiTheme="minorHAnsi"/>
                <w:b/>
                <w:bCs/>
                <w:color w:val="000000"/>
                <w:sz w:val="18"/>
                <w:szCs w:val="18"/>
                <w:lang w:eastAsia="en-GB"/>
              </w:rPr>
            </w:pPr>
          </w:p>
        </w:tc>
      </w:tr>
      <w:tr w:rsidR="00935B67" w:rsidRPr="00275FBD" w14:paraId="67994208" w14:textId="77777777" w:rsidTr="00935B67">
        <w:trPr>
          <w:trHeight w:val="559"/>
        </w:trPr>
        <w:tc>
          <w:tcPr>
            <w:tcW w:w="14399" w:type="dxa"/>
            <w:gridSpan w:val="6"/>
            <w:shd w:val="clear" w:color="auto" w:fill="auto"/>
            <w:noWrap/>
          </w:tcPr>
          <w:p w14:paraId="13CE2CCC" w14:textId="77777777" w:rsidR="00935B67" w:rsidRPr="00A6034C" w:rsidRDefault="00935B67" w:rsidP="00935B67">
            <w:pPr>
              <w:jc w:val="left"/>
              <w:rPr>
                <w:rFonts w:asciiTheme="minorHAnsi" w:hAnsiTheme="minorHAnsi"/>
                <w:b/>
                <w:bCs/>
                <w:sz w:val="22"/>
                <w:szCs w:val="22"/>
                <w:lang w:eastAsia="en-GB"/>
              </w:rPr>
            </w:pPr>
            <w:r w:rsidRPr="00A6034C">
              <w:rPr>
                <w:rFonts w:asciiTheme="minorHAnsi" w:hAnsiTheme="minorHAnsi"/>
                <w:b/>
                <w:bCs/>
                <w:sz w:val="22"/>
                <w:szCs w:val="22"/>
                <w:lang w:eastAsia="en-GB"/>
              </w:rPr>
              <w:t>“DL” Issues</w:t>
            </w:r>
          </w:p>
        </w:tc>
      </w:tr>
      <w:tr w:rsidR="00935B67" w:rsidRPr="00275FBD" w14:paraId="3EBEBD9E" w14:textId="77777777" w:rsidTr="00935B67">
        <w:trPr>
          <w:trHeight w:val="559"/>
        </w:trPr>
        <w:tc>
          <w:tcPr>
            <w:tcW w:w="1418" w:type="dxa"/>
            <w:shd w:val="clear" w:color="auto" w:fill="auto"/>
            <w:noWrap/>
          </w:tcPr>
          <w:p w14:paraId="7D872862" w14:textId="77777777" w:rsidR="00935B67" w:rsidRPr="00A6034C" w:rsidRDefault="00935B67" w:rsidP="00935B67">
            <w:pPr>
              <w:jc w:val="center"/>
              <w:rPr>
                <w:rFonts w:asciiTheme="minorHAnsi" w:hAnsiTheme="minorHAnsi"/>
                <w:color w:val="000000"/>
                <w:sz w:val="18"/>
                <w:szCs w:val="18"/>
                <w:lang w:eastAsia="en-GB"/>
              </w:rPr>
            </w:pPr>
            <w:bookmarkStart w:id="177" w:name="_Hlk137904863"/>
            <w:bookmarkStart w:id="178" w:name="_Hlk137905027"/>
            <w:r w:rsidRPr="00A6034C">
              <w:rPr>
                <w:rFonts w:asciiTheme="minorHAnsi" w:hAnsiTheme="minorHAnsi"/>
                <w:color w:val="000000"/>
                <w:sz w:val="18"/>
                <w:szCs w:val="18"/>
                <w:lang w:eastAsia="en-GB"/>
              </w:rPr>
              <w:t>PSR3 1.2-025</w:t>
            </w:r>
          </w:p>
        </w:tc>
        <w:tc>
          <w:tcPr>
            <w:tcW w:w="714" w:type="dxa"/>
            <w:shd w:val="clear" w:color="auto" w:fill="auto"/>
            <w:noWrap/>
          </w:tcPr>
          <w:p w14:paraId="452544FE"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sz w:val="18"/>
                <w:szCs w:val="18"/>
                <w:lang w:eastAsia="en-GB"/>
              </w:rPr>
              <w:t>M</w:t>
            </w:r>
          </w:p>
        </w:tc>
        <w:tc>
          <w:tcPr>
            <w:tcW w:w="1020" w:type="dxa"/>
            <w:shd w:val="clear" w:color="auto" w:fill="auto"/>
          </w:tcPr>
          <w:p w14:paraId="41D494D2"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sz w:val="18"/>
                <w:szCs w:val="18"/>
                <w:lang w:eastAsia="en-GB"/>
              </w:rPr>
              <w:t>3</w:t>
            </w:r>
          </w:p>
        </w:tc>
        <w:tc>
          <w:tcPr>
            <w:tcW w:w="7255" w:type="dxa"/>
            <w:shd w:val="clear" w:color="auto" w:fill="auto"/>
          </w:tcPr>
          <w:p w14:paraId="135E203F"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MCR habitability and leakage: Spot check of CAP program revealed issue of inability of meeting MCR habitability licensing and design requirements.</w:t>
            </w:r>
          </w:p>
        </w:tc>
        <w:tc>
          <w:tcPr>
            <w:tcW w:w="1873" w:type="dxa"/>
            <w:vAlign w:val="center"/>
          </w:tcPr>
          <w:p w14:paraId="1D07D034" w14:textId="77777777" w:rsidR="00935B67" w:rsidRPr="00A6034C" w:rsidRDefault="00935B67" w:rsidP="00935B67">
            <w:pPr>
              <w:jc w:val="left"/>
              <w:rPr>
                <w:rFonts w:asciiTheme="minorHAnsi" w:hAnsiTheme="minorHAnsi"/>
                <w:bCs/>
                <w:sz w:val="18"/>
                <w:szCs w:val="18"/>
                <w:lang w:eastAsia="en-GB"/>
              </w:rPr>
            </w:pPr>
            <w:r w:rsidRPr="00A6034C">
              <w:rPr>
                <w:rFonts w:asciiTheme="minorHAnsi" w:hAnsiTheme="minorHAnsi"/>
                <w:color w:val="000000"/>
                <w:sz w:val="18"/>
                <w:szCs w:val="18"/>
                <w:lang w:eastAsia="en-GB"/>
              </w:rPr>
              <w:t>5.3.2</w:t>
            </w:r>
          </w:p>
        </w:tc>
        <w:tc>
          <w:tcPr>
            <w:tcW w:w="2119" w:type="dxa"/>
          </w:tcPr>
          <w:p w14:paraId="4FCB2106"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bookmarkEnd w:id="177"/>
      <w:tr w:rsidR="00935B67" w:rsidRPr="00275FBD" w14:paraId="03E7A134" w14:textId="77777777" w:rsidTr="00935B67">
        <w:trPr>
          <w:trHeight w:val="559"/>
        </w:trPr>
        <w:tc>
          <w:tcPr>
            <w:tcW w:w="1418" w:type="dxa"/>
            <w:shd w:val="clear" w:color="auto" w:fill="auto"/>
            <w:noWrap/>
          </w:tcPr>
          <w:p w14:paraId="367D3974"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sz w:val="18"/>
                <w:szCs w:val="18"/>
                <w:lang w:eastAsia="en-GB"/>
              </w:rPr>
              <w:t>PSR3 1.4-015</w:t>
            </w:r>
          </w:p>
        </w:tc>
        <w:tc>
          <w:tcPr>
            <w:tcW w:w="714" w:type="dxa"/>
            <w:shd w:val="clear" w:color="auto" w:fill="auto"/>
          </w:tcPr>
          <w:p w14:paraId="7D11F5EC"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sz w:val="18"/>
                <w:szCs w:val="18"/>
                <w:lang w:eastAsia="en-GB"/>
              </w:rPr>
              <w:t>M</w:t>
            </w:r>
          </w:p>
        </w:tc>
        <w:tc>
          <w:tcPr>
            <w:tcW w:w="1020" w:type="dxa"/>
            <w:shd w:val="clear" w:color="auto" w:fill="auto"/>
          </w:tcPr>
          <w:p w14:paraId="35145652"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sz w:val="18"/>
                <w:szCs w:val="18"/>
                <w:lang w:eastAsia="en-GB"/>
              </w:rPr>
              <w:t>1,2,3</w:t>
            </w:r>
          </w:p>
        </w:tc>
        <w:tc>
          <w:tcPr>
            <w:tcW w:w="7255" w:type="dxa"/>
            <w:shd w:val="clear" w:color="auto" w:fill="auto"/>
          </w:tcPr>
          <w:p w14:paraId="68405DBB" w14:textId="6A948E7B"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 xml:space="preserve">Ageing related issues identified during Pre-SALTO. See </w:t>
            </w:r>
            <w:r w:rsidR="004E718A" w:rsidRPr="00A6034C">
              <w:rPr>
                <w:rFonts w:asciiTheme="minorHAnsi" w:hAnsiTheme="minorHAnsi" w:cstheme="minorHAnsi"/>
                <w:color w:val="000000"/>
                <w:sz w:val="18"/>
                <w:szCs w:val="18"/>
                <w:lang w:eastAsia="en-GB"/>
              </w:rPr>
              <w:fldChar w:fldCharType="begin"/>
            </w:r>
            <w:r w:rsidR="004E718A" w:rsidRPr="00A6034C">
              <w:rPr>
                <w:rFonts w:asciiTheme="minorHAnsi" w:hAnsiTheme="minorHAnsi" w:cstheme="minorHAnsi"/>
                <w:color w:val="000000"/>
                <w:sz w:val="18"/>
                <w:szCs w:val="18"/>
                <w:lang w:eastAsia="en-GB"/>
              </w:rPr>
              <w:instrText xml:space="preserve"> REF _Ref138606727 \h  \* MERGEFORMAT </w:instrText>
            </w:r>
            <w:r w:rsidR="004E718A" w:rsidRPr="00A6034C">
              <w:rPr>
                <w:rFonts w:asciiTheme="minorHAnsi" w:hAnsiTheme="minorHAnsi" w:cstheme="minorHAnsi"/>
                <w:color w:val="000000"/>
                <w:sz w:val="18"/>
                <w:szCs w:val="18"/>
                <w:lang w:eastAsia="en-GB"/>
              </w:rPr>
            </w:r>
            <w:r w:rsidR="004E718A" w:rsidRPr="00A6034C">
              <w:rPr>
                <w:rFonts w:asciiTheme="minorHAnsi" w:hAnsiTheme="minorHAnsi" w:cstheme="minorHAnsi"/>
                <w:color w:val="000000"/>
                <w:sz w:val="18"/>
                <w:szCs w:val="18"/>
                <w:lang w:eastAsia="en-GB"/>
              </w:rPr>
              <w:fldChar w:fldCharType="separate"/>
            </w:r>
            <w:proofErr w:type="spellStart"/>
            <w:r w:rsidR="00BA25CD" w:rsidRPr="00BA25CD">
              <w:rPr>
                <w:rFonts w:asciiTheme="minorHAnsi" w:hAnsiTheme="minorHAnsi" w:cstheme="minorHAnsi"/>
                <w:sz w:val="18"/>
                <w:szCs w:val="18"/>
              </w:rPr>
              <w:t>Tabela</w:t>
            </w:r>
            <w:proofErr w:type="spellEnd"/>
            <w:r w:rsidR="00BA25CD" w:rsidRPr="00BA25CD">
              <w:rPr>
                <w:rFonts w:asciiTheme="minorHAnsi" w:hAnsiTheme="minorHAnsi" w:cstheme="minorHAnsi"/>
                <w:sz w:val="18"/>
                <w:szCs w:val="18"/>
              </w:rPr>
              <w:t xml:space="preserve"> A-2</w:t>
            </w:r>
            <w:r w:rsidR="004E718A" w:rsidRPr="00A6034C">
              <w:rPr>
                <w:rFonts w:asciiTheme="minorHAnsi" w:hAnsiTheme="minorHAnsi" w:cstheme="minorHAnsi"/>
                <w:color w:val="000000"/>
                <w:sz w:val="18"/>
                <w:szCs w:val="18"/>
                <w:lang w:eastAsia="en-GB"/>
              </w:rPr>
              <w:fldChar w:fldCharType="end"/>
            </w:r>
            <w:r w:rsidRPr="00A6034C">
              <w:rPr>
                <w:rFonts w:asciiTheme="minorHAnsi" w:hAnsiTheme="minorHAnsi"/>
                <w:color w:val="000000"/>
                <w:sz w:val="18"/>
                <w:szCs w:val="18"/>
                <w:lang w:eastAsia="en-GB"/>
              </w:rPr>
              <w:t xml:space="preserve"> with IRR issues. </w:t>
            </w:r>
          </w:p>
        </w:tc>
        <w:tc>
          <w:tcPr>
            <w:tcW w:w="1873" w:type="dxa"/>
            <w:vAlign w:val="center"/>
          </w:tcPr>
          <w:p w14:paraId="0858B5E4"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sz w:val="18"/>
                <w:szCs w:val="18"/>
                <w:lang w:eastAsia="en-GB"/>
              </w:rPr>
              <w:t>5.1.2</w:t>
            </w:r>
          </w:p>
        </w:tc>
        <w:tc>
          <w:tcPr>
            <w:tcW w:w="2119" w:type="dxa"/>
          </w:tcPr>
          <w:p w14:paraId="4E468EF8" w14:textId="6A596D50"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according to</w:t>
            </w:r>
            <w:r w:rsidR="00053054" w:rsidRPr="00A6034C">
              <w:rPr>
                <w:rFonts w:asciiTheme="minorHAnsi" w:hAnsiTheme="minorHAnsi"/>
                <w:bCs/>
                <w:sz w:val="18"/>
                <w:szCs w:val="18"/>
                <w:lang w:eastAsia="en-GB"/>
              </w:rPr>
              <w:t xml:space="preserve"> </w:t>
            </w:r>
            <w:r w:rsidRPr="00A6034C">
              <w:rPr>
                <w:rFonts w:asciiTheme="minorHAnsi" w:hAnsiTheme="minorHAnsi"/>
                <w:bCs/>
                <w:sz w:val="18"/>
                <w:szCs w:val="18"/>
                <w:lang w:eastAsia="en-GB"/>
              </w:rPr>
              <w:t>Pre</w:t>
            </w:r>
            <w:r w:rsidR="00053054" w:rsidRPr="00A6034C">
              <w:rPr>
                <w:rFonts w:asciiTheme="minorHAnsi" w:hAnsiTheme="minorHAnsi"/>
                <w:bCs/>
                <w:sz w:val="18"/>
                <w:szCs w:val="18"/>
                <w:lang w:eastAsia="en-GB"/>
              </w:rPr>
              <w:t>-</w:t>
            </w:r>
            <w:r w:rsidRPr="00A6034C">
              <w:rPr>
                <w:rFonts w:asciiTheme="minorHAnsi" w:hAnsiTheme="minorHAnsi"/>
                <w:bCs/>
                <w:sz w:val="18"/>
                <w:szCs w:val="18"/>
                <w:lang w:eastAsia="en-GB"/>
              </w:rPr>
              <w:t>SALTO Action Plan, NEK ESD-TR-17/21</w:t>
            </w:r>
            <w:r w:rsidR="00A65430" w:rsidRPr="00A6034C">
              <w:rPr>
                <w:rFonts w:asciiTheme="minorHAnsi" w:hAnsiTheme="minorHAnsi"/>
                <w:bCs/>
                <w:sz w:val="18"/>
                <w:szCs w:val="18"/>
                <w:lang w:eastAsia="en-GB"/>
              </w:rPr>
              <w:t>,</w:t>
            </w:r>
            <w:r w:rsidRPr="00A6034C">
              <w:rPr>
                <w:rFonts w:asciiTheme="minorHAnsi" w:hAnsiTheme="minorHAnsi"/>
                <w:bCs/>
                <w:sz w:val="18"/>
                <w:szCs w:val="18"/>
                <w:lang w:eastAsia="en-GB"/>
              </w:rPr>
              <w:t xml:space="preserve"> </w:t>
            </w:r>
            <w:r w:rsidR="00A65430" w:rsidRPr="00A6034C">
              <w:rPr>
                <w:rFonts w:asciiTheme="minorHAnsi" w:hAnsiTheme="minorHAnsi"/>
                <w:bCs/>
                <w:sz w:val="18"/>
                <w:szCs w:val="18"/>
                <w:lang w:eastAsia="en-GB"/>
              </w:rPr>
              <w:fldChar w:fldCharType="begin"/>
            </w:r>
            <w:r w:rsidR="00A65430" w:rsidRPr="00A6034C">
              <w:rPr>
                <w:rFonts w:asciiTheme="minorHAnsi" w:hAnsiTheme="minorHAnsi"/>
                <w:bCs/>
                <w:sz w:val="18"/>
                <w:szCs w:val="18"/>
                <w:lang w:eastAsia="en-GB"/>
              </w:rPr>
              <w:instrText xml:space="preserve"> REF _Ref128405391 \r \h </w:instrText>
            </w:r>
            <w:r w:rsidR="00A65430" w:rsidRPr="00A6034C">
              <w:rPr>
                <w:rFonts w:asciiTheme="minorHAnsi" w:hAnsiTheme="minorHAnsi"/>
                <w:bCs/>
                <w:sz w:val="18"/>
                <w:szCs w:val="18"/>
                <w:lang w:eastAsia="en-GB"/>
              </w:rPr>
            </w:r>
            <w:r w:rsidR="00A65430" w:rsidRPr="00A6034C">
              <w:rPr>
                <w:rFonts w:asciiTheme="minorHAnsi" w:hAnsiTheme="minorHAnsi"/>
                <w:bCs/>
                <w:sz w:val="18"/>
                <w:szCs w:val="18"/>
                <w:lang w:eastAsia="en-GB"/>
              </w:rPr>
              <w:fldChar w:fldCharType="separate"/>
            </w:r>
            <w:r w:rsidR="00BA25CD">
              <w:rPr>
                <w:rFonts w:asciiTheme="minorHAnsi" w:hAnsiTheme="minorHAnsi"/>
                <w:bCs/>
                <w:sz w:val="18"/>
                <w:szCs w:val="18"/>
                <w:lang w:eastAsia="en-GB"/>
              </w:rPr>
              <w:t>[31]</w:t>
            </w:r>
            <w:r w:rsidR="00A65430" w:rsidRPr="00A6034C">
              <w:rPr>
                <w:rFonts w:asciiTheme="minorHAnsi" w:hAnsiTheme="minorHAnsi"/>
                <w:bCs/>
                <w:sz w:val="18"/>
                <w:szCs w:val="18"/>
                <w:lang w:eastAsia="en-GB"/>
              </w:rPr>
              <w:fldChar w:fldCharType="end"/>
            </w:r>
            <w:r w:rsidRPr="00A6034C">
              <w:rPr>
                <w:rFonts w:asciiTheme="minorHAnsi" w:hAnsiTheme="minorHAnsi"/>
                <w:bCs/>
                <w:sz w:val="18"/>
                <w:szCs w:val="18"/>
                <w:lang w:eastAsia="en-GB"/>
              </w:rPr>
              <w:t>.</w:t>
            </w:r>
          </w:p>
        </w:tc>
      </w:tr>
      <w:tr w:rsidR="00935B67" w:rsidRPr="00275FBD" w14:paraId="53E1148D" w14:textId="77777777" w:rsidTr="00935B67">
        <w:trPr>
          <w:trHeight w:val="559"/>
        </w:trPr>
        <w:tc>
          <w:tcPr>
            <w:tcW w:w="1418" w:type="dxa"/>
            <w:shd w:val="clear" w:color="auto" w:fill="auto"/>
            <w:noWrap/>
          </w:tcPr>
          <w:p w14:paraId="68200AF3"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sz w:val="18"/>
                <w:szCs w:val="18"/>
                <w:lang w:eastAsia="en-GB"/>
              </w:rPr>
              <w:t>PSR3 5.2-014</w:t>
            </w:r>
          </w:p>
        </w:tc>
        <w:tc>
          <w:tcPr>
            <w:tcW w:w="714" w:type="dxa"/>
            <w:shd w:val="clear" w:color="auto" w:fill="auto"/>
          </w:tcPr>
          <w:p w14:paraId="3050FBEC"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sz w:val="18"/>
                <w:szCs w:val="18"/>
                <w:lang w:eastAsia="en-GB"/>
              </w:rPr>
              <w:t>M</w:t>
            </w:r>
          </w:p>
        </w:tc>
        <w:tc>
          <w:tcPr>
            <w:tcW w:w="1020" w:type="dxa"/>
            <w:shd w:val="clear" w:color="auto" w:fill="auto"/>
          </w:tcPr>
          <w:p w14:paraId="2DDD58F0"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sz w:val="18"/>
                <w:szCs w:val="18"/>
                <w:lang w:eastAsia="en-GB"/>
              </w:rPr>
              <w:t>3</w:t>
            </w:r>
          </w:p>
        </w:tc>
        <w:tc>
          <w:tcPr>
            <w:tcW w:w="7255" w:type="dxa"/>
            <w:shd w:val="clear" w:color="auto" w:fill="auto"/>
          </w:tcPr>
          <w:p w14:paraId="1FA9BE9D" w14:textId="054E9535"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 xml:space="preserve">SFP AMP: It is recommended to develop similar AMP, as already prepared for future SFDS (NEK, 2021), for spent fuel pool (SFP) where all spent fuel </w:t>
            </w:r>
            <w:r w:rsidR="00053054" w:rsidRPr="00A6034C">
              <w:rPr>
                <w:rFonts w:asciiTheme="minorHAnsi" w:hAnsiTheme="minorHAnsi"/>
                <w:color w:val="000000"/>
                <w:sz w:val="18"/>
                <w:szCs w:val="18"/>
                <w:lang w:eastAsia="en-GB"/>
              </w:rPr>
              <w:t>is</w:t>
            </w:r>
            <w:r w:rsidRPr="00A6034C">
              <w:rPr>
                <w:rFonts w:asciiTheme="minorHAnsi" w:hAnsiTheme="minorHAnsi"/>
                <w:color w:val="000000"/>
                <w:sz w:val="18"/>
                <w:szCs w:val="18"/>
                <w:lang w:eastAsia="en-GB"/>
              </w:rPr>
              <w:t xml:space="preserve"> currently stored and will be also in the future. Currently there is no such separate AMP for SF pool and different related parts included in several documents.</w:t>
            </w:r>
          </w:p>
        </w:tc>
        <w:tc>
          <w:tcPr>
            <w:tcW w:w="1873" w:type="dxa"/>
            <w:vAlign w:val="center"/>
          </w:tcPr>
          <w:p w14:paraId="4E025531"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sz w:val="18"/>
                <w:szCs w:val="18"/>
                <w:lang w:eastAsia="en-GB"/>
              </w:rPr>
              <w:t>5.1.2</w:t>
            </w:r>
          </w:p>
        </w:tc>
        <w:tc>
          <w:tcPr>
            <w:tcW w:w="2119" w:type="dxa"/>
          </w:tcPr>
          <w:p w14:paraId="4A8B0F91"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bookmarkEnd w:id="178"/>
      <w:tr w:rsidR="00935B67" w:rsidRPr="00275FBD" w14:paraId="7767E07D" w14:textId="77777777" w:rsidTr="00935B67">
        <w:trPr>
          <w:trHeight w:val="559"/>
        </w:trPr>
        <w:tc>
          <w:tcPr>
            <w:tcW w:w="14399" w:type="dxa"/>
            <w:gridSpan w:val="6"/>
            <w:shd w:val="clear" w:color="auto" w:fill="auto"/>
            <w:noWrap/>
          </w:tcPr>
          <w:p w14:paraId="7CDE4E1E"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
                <w:bCs/>
                <w:sz w:val="22"/>
                <w:szCs w:val="22"/>
                <w:lang w:eastAsia="en-GB"/>
              </w:rPr>
              <w:t>“RE” Issues</w:t>
            </w:r>
          </w:p>
        </w:tc>
      </w:tr>
      <w:tr w:rsidR="00935B67" w:rsidRPr="00275FBD" w14:paraId="3C015DE9" w14:textId="77777777" w:rsidTr="00935B67">
        <w:trPr>
          <w:trHeight w:val="559"/>
        </w:trPr>
        <w:tc>
          <w:tcPr>
            <w:tcW w:w="1418" w:type="dxa"/>
            <w:shd w:val="clear" w:color="auto" w:fill="auto"/>
            <w:noWrap/>
          </w:tcPr>
          <w:p w14:paraId="671C0488"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1.3-002</w:t>
            </w:r>
          </w:p>
        </w:tc>
        <w:tc>
          <w:tcPr>
            <w:tcW w:w="714" w:type="dxa"/>
            <w:shd w:val="clear" w:color="auto" w:fill="auto"/>
          </w:tcPr>
          <w:p w14:paraId="38E6CF9D"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09B79DB2"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3</w:t>
            </w:r>
          </w:p>
        </w:tc>
        <w:tc>
          <w:tcPr>
            <w:tcW w:w="7255" w:type="dxa"/>
            <w:shd w:val="clear" w:color="auto" w:fill="auto"/>
          </w:tcPr>
          <w:p w14:paraId="6429591A"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8007-MTR discrepancy in database. Different PAOTs in PQE and EQMEL. Review and corrections are needed.</w:t>
            </w:r>
          </w:p>
        </w:tc>
        <w:tc>
          <w:tcPr>
            <w:tcW w:w="1873" w:type="dxa"/>
          </w:tcPr>
          <w:p w14:paraId="214C376E"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4.3.3</w:t>
            </w:r>
          </w:p>
        </w:tc>
        <w:tc>
          <w:tcPr>
            <w:tcW w:w="2119" w:type="dxa"/>
          </w:tcPr>
          <w:p w14:paraId="03F7298B"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w:t>
            </w:r>
          </w:p>
        </w:tc>
      </w:tr>
      <w:tr w:rsidR="00935B67" w:rsidRPr="00275FBD" w14:paraId="24E30F29" w14:textId="77777777" w:rsidTr="00935B67">
        <w:trPr>
          <w:trHeight w:val="559"/>
        </w:trPr>
        <w:tc>
          <w:tcPr>
            <w:tcW w:w="1418" w:type="dxa"/>
            <w:shd w:val="clear" w:color="auto" w:fill="auto"/>
            <w:noWrap/>
          </w:tcPr>
          <w:p w14:paraId="1B7C9820"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2.1-008</w:t>
            </w:r>
          </w:p>
        </w:tc>
        <w:tc>
          <w:tcPr>
            <w:tcW w:w="714" w:type="dxa"/>
            <w:shd w:val="clear" w:color="auto" w:fill="auto"/>
          </w:tcPr>
          <w:p w14:paraId="15E4CD5B"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05A6EBB6"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3</w:t>
            </w:r>
          </w:p>
        </w:tc>
        <w:tc>
          <w:tcPr>
            <w:tcW w:w="7255" w:type="dxa"/>
            <w:shd w:val="clear" w:color="auto" w:fill="auto"/>
          </w:tcPr>
          <w:p w14:paraId="6FAD5BD0"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Independence of technical specifications and DEC technical specifications. For the same safety-related passive autocatalytic recombiners, two different set of ACTIONS are considered within TS and DEC TS in case of their inoperability in MODES 1 and 2. Review and corrections are needed.</w:t>
            </w:r>
          </w:p>
        </w:tc>
        <w:tc>
          <w:tcPr>
            <w:tcW w:w="1873" w:type="dxa"/>
          </w:tcPr>
          <w:p w14:paraId="68A82B54"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4.3.3</w:t>
            </w:r>
          </w:p>
        </w:tc>
        <w:tc>
          <w:tcPr>
            <w:tcW w:w="2119" w:type="dxa"/>
          </w:tcPr>
          <w:p w14:paraId="16931D98"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w:t>
            </w:r>
          </w:p>
        </w:tc>
      </w:tr>
      <w:tr w:rsidR="00935B67" w:rsidRPr="00275FBD" w14:paraId="2611C23E" w14:textId="77777777" w:rsidTr="00935B67">
        <w:trPr>
          <w:trHeight w:val="559"/>
        </w:trPr>
        <w:tc>
          <w:tcPr>
            <w:tcW w:w="1418" w:type="dxa"/>
            <w:shd w:val="clear" w:color="auto" w:fill="auto"/>
            <w:noWrap/>
          </w:tcPr>
          <w:p w14:paraId="35C9618D"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4.3-009</w:t>
            </w:r>
          </w:p>
        </w:tc>
        <w:tc>
          <w:tcPr>
            <w:tcW w:w="714" w:type="dxa"/>
            <w:shd w:val="clear" w:color="auto" w:fill="auto"/>
          </w:tcPr>
          <w:p w14:paraId="09B026E8"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45D14D1A"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3</w:t>
            </w:r>
          </w:p>
        </w:tc>
        <w:tc>
          <w:tcPr>
            <w:tcW w:w="7255" w:type="dxa"/>
            <w:shd w:val="clear" w:color="auto" w:fill="auto"/>
          </w:tcPr>
          <w:p w14:paraId="0987A87A" w14:textId="2EBE5174"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Review of ADP-1.1.122 “IZDAJA, PRIPRAVA IN PLANIRANJE DELOVNEGA NALOGA</w:t>
            </w:r>
            <w:proofErr w:type="gramStart"/>
            <w:r w:rsidRPr="00A6034C">
              <w:rPr>
                <w:rFonts w:asciiTheme="minorHAnsi" w:hAnsiTheme="minorHAnsi"/>
                <w:color w:val="000000"/>
                <w:sz w:val="18"/>
                <w:szCs w:val="18"/>
                <w:lang w:eastAsia="en-GB"/>
              </w:rPr>
              <w:t>” :</w:t>
            </w:r>
            <w:proofErr w:type="gramEnd"/>
            <w:r w:rsidRPr="00A6034C">
              <w:rPr>
                <w:rFonts w:asciiTheme="minorHAnsi" w:hAnsiTheme="minorHAnsi"/>
                <w:color w:val="000000"/>
                <w:sz w:val="18"/>
                <w:szCs w:val="18"/>
                <w:lang w:eastAsia="en-GB"/>
              </w:rPr>
              <w:t xml:space="preserve"> In next revision of ADP-1.1.122 implement safeguard to prevent use of obsolete documentation in WO process.</w:t>
            </w:r>
          </w:p>
        </w:tc>
        <w:tc>
          <w:tcPr>
            <w:tcW w:w="1873" w:type="dxa"/>
          </w:tcPr>
          <w:p w14:paraId="3457157B"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4.3.3</w:t>
            </w:r>
          </w:p>
        </w:tc>
        <w:tc>
          <w:tcPr>
            <w:tcW w:w="2119" w:type="dxa"/>
          </w:tcPr>
          <w:p w14:paraId="0BDFDC44"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w:t>
            </w:r>
          </w:p>
        </w:tc>
      </w:tr>
      <w:tr w:rsidR="00935B67" w:rsidRPr="00275FBD" w14:paraId="6440CF7B" w14:textId="77777777" w:rsidTr="00935B67">
        <w:trPr>
          <w:trHeight w:val="559"/>
        </w:trPr>
        <w:tc>
          <w:tcPr>
            <w:tcW w:w="1418" w:type="dxa"/>
            <w:shd w:val="clear" w:color="auto" w:fill="auto"/>
            <w:noWrap/>
          </w:tcPr>
          <w:p w14:paraId="12559E71"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lastRenderedPageBreak/>
              <w:t>PSR3 4.5-001</w:t>
            </w:r>
          </w:p>
        </w:tc>
        <w:tc>
          <w:tcPr>
            <w:tcW w:w="714" w:type="dxa"/>
            <w:shd w:val="clear" w:color="auto" w:fill="auto"/>
          </w:tcPr>
          <w:p w14:paraId="79AC0753"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57A1F6C8"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2</w:t>
            </w:r>
          </w:p>
        </w:tc>
        <w:tc>
          <w:tcPr>
            <w:tcW w:w="7255" w:type="dxa"/>
            <w:shd w:val="clear" w:color="auto" w:fill="auto"/>
          </w:tcPr>
          <w:p w14:paraId="7B854B9E" w14:textId="5647896F" w:rsidR="00935B67" w:rsidRPr="00A6034C" w:rsidRDefault="00935B67" w:rsidP="00935B67">
            <w:pPr>
              <w:jc w:val="left"/>
              <w:rPr>
                <w:rFonts w:asciiTheme="minorHAnsi" w:hAnsiTheme="minorHAnsi"/>
                <w:color w:val="000000"/>
                <w:sz w:val="18"/>
                <w:szCs w:val="18"/>
              </w:rPr>
            </w:pPr>
            <w:r w:rsidRPr="00A6034C">
              <w:rPr>
                <w:rFonts w:asciiTheme="minorHAnsi" w:hAnsiTheme="minorHAnsi"/>
                <w:color w:val="000000"/>
                <w:sz w:val="18"/>
                <w:szCs w:val="18"/>
                <w:lang w:eastAsia="en-GB"/>
              </w:rPr>
              <w:t>Accidental releases into Sava river. Presently the Threat Assessment covers, to a certain extent, only expected liquid discharges into Sava river. Accidental releases are not covered at all. As the Threat Assessment provides the foundation for emergency preparedness and response, the absence of this type of threat prevents adequate planning. Detailed review and update is needed.</w:t>
            </w:r>
          </w:p>
        </w:tc>
        <w:tc>
          <w:tcPr>
            <w:tcW w:w="1873" w:type="dxa"/>
          </w:tcPr>
          <w:p w14:paraId="43B2DAFE"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4.3.3</w:t>
            </w:r>
          </w:p>
        </w:tc>
        <w:tc>
          <w:tcPr>
            <w:tcW w:w="2119" w:type="dxa"/>
          </w:tcPr>
          <w:p w14:paraId="3F882002"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III</w:t>
            </w:r>
          </w:p>
        </w:tc>
      </w:tr>
      <w:tr w:rsidR="00935B67" w:rsidRPr="00275FBD" w14:paraId="76509826" w14:textId="77777777" w:rsidTr="00935B67">
        <w:trPr>
          <w:trHeight w:val="559"/>
        </w:trPr>
        <w:tc>
          <w:tcPr>
            <w:tcW w:w="1418" w:type="dxa"/>
            <w:shd w:val="clear" w:color="auto" w:fill="auto"/>
            <w:noWrap/>
          </w:tcPr>
          <w:p w14:paraId="25648AF6"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5.1-013</w:t>
            </w:r>
          </w:p>
        </w:tc>
        <w:tc>
          <w:tcPr>
            <w:tcW w:w="714" w:type="dxa"/>
            <w:shd w:val="clear" w:color="auto" w:fill="auto"/>
          </w:tcPr>
          <w:p w14:paraId="1D33BAB6"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L</w:t>
            </w:r>
          </w:p>
        </w:tc>
        <w:tc>
          <w:tcPr>
            <w:tcW w:w="1020" w:type="dxa"/>
            <w:shd w:val="clear" w:color="auto" w:fill="auto"/>
          </w:tcPr>
          <w:p w14:paraId="648EAC8F"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2</w:t>
            </w:r>
          </w:p>
        </w:tc>
        <w:tc>
          <w:tcPr>
            <w:tcW w:w="7255" w:type="dxa"/>
            <w:shd w:val="clear" w:color="auto" w:fill="auto"/>
          </w:tcPr>
          <w:p w14:paraId="507EDEFD"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 xml:space="preserve">Aquatic plants should belong to the aquatic biota and therefore be sampled and </w:t>
            </w:r>
            <w:proofErr w:type="spellStart"/>
            <w:r w:rsidRPr="00A6034C">
              <w:rPr>
                <w:rFonts w:asciiTheme="minorHAnsi" w:hAnsiTheme="minorHAnsi"/>
                <w:color w:val="000000"/>
                <w:sz w:val="18"/>
                <w:szCs w:val="18"/>
                <w:lang w:eastAsia="en-GB"/>
              </w:rPr>
              <w:t>analyzed</w:t>
            </w:r>
            <w:proofErr w:type="spellEnd"/>
            <w:r w:rsidRPr="00A6034C">
              <w:rPr>
                <w:rFonts w:asciiTheme="minorHAnsi" w:hAnsiTheme="minorHAnsi"/>
                <w:color w:val="000000"/>
                <w:sz w:val="18"/>
                <w:szCs w:val="18"/>
                <w:lang w:eastAsia="en-GB"/>
              </w:rPr>
              <w:t>. It is the responsibility of the monitoring contractors to include aquatic plants in the sampling. The sampling and measurement frequencies shall be added to the RETS tables. Aquatic plants are considered bioindicators and their analysis should be considered and evaluated in the monitoring strategy as it is prescribed in Rules on the monitoring of radioactivity – JV10. A similar conclusion applies to terrestrial bioindicators.</w:t>
            </w:r>
          </w:p>
        </w:tc>
        <w:tc>
          <w:tcPr>
            <w:tcW w:w="1873" w:type="dxa"/>
          </w:tcPr>
          <w:p w14:paraId="2E3D5F1C"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4.3.3</w:t>
            </w:r>
          </w:p>
        </w:tc>
        <w:tc>
          <w:tcPr>
            <w:tcW w:w="2119" w:type="dxa"/>
          </w:tcPr>
          <w:p w14:paraId="03768ECA"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584ED530" w14:textId="77777777" w:rsidTr="00935B67">
        <w:trPr>
          <w:trHeight w:val="559"/>
        </w:trPr>
        <w:tc>
          <w:tcPr>
            <w:tcW w:w="1418" w:type="dxa"/>
            <w:shd w:val="clear" w:color="auto" w:fill="auto"/>
            <w:noWrap/>
          </w:tcPr>
          <w:p w14:paraId="0CE9CF90"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5.2-003</w:t>
            </w:r>
          </w:p>
        </w:tc>
        <w:tc>
          <w:tcPr>
            <w:tcW w:w="714" w:type="dxa"/>
            <w:shd w:val="clear" w:color="auto" w:fill="auto"/>
          </w:tcPr>
          <w:p w14:paraId="00CC6E0E"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H</w:t>
            </w:r>
          </w:p>
        </w:tc>
        <w:tc>
          <w:tcPr>
            <w:tcW w:w="1020" w:type="dxa"/>
            <w:shd w:val="clear" w:color="auto" w:fill="auto"/>
          </w:tcPr>
          <w:p w14:paraId="3DA6BF0A"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2</w:t>
            </w:r>
          </w:p>
        </w:tc>
        <w:tc>
          <w:tcPr>
            <w:tcW w:w="7255" w:type="dxa"/>
            <w:shd w:val="clear" w:color="auto" w:fill="auto"/>
          </w:tcPr>
          <w:p w14:paraId="40FBC610" w14:textId="064F809C"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DB WAC:  Develop and approve the WAC as required now in article 20 of JV7 (</w:t>
            </w:r>
            <w:proofErr w:type="spellStart"/>
            <w:r w:rsidRPr="00A6034C">
              <w:rPr>
                <w:rFonts w:asciiTheme="minorHAnsi" w:hAnsiTheme="minorHAnsi"/>
                <w:color w:val="000000"/>
                <w:sz w:val="18"/>
                <w:szCs w:val="18"/>
                <w:lang w:eastAsia="en-GB"/>
              </w:rPr>
              <w:t>Pravilnik</w:t>
            </w:r>
            <w:proofErr w:type="spellEnd"/>
            <w:r w:rsidRPr="00A6034C">
              <w:rPr>
                <w:rFonts w:asciiTheme="minorHAnsi" w:hAnsiTheme="minorHAnsi"/>
                <w:color w:val="000000"/>
                <w:sz w:val="18"/>
                <w:szCs w:val="18"/>
                <w:lang w:eastAsia="en-GB"/>
              </w:rPr>
              <w:t xml:space="preserve"> o </w:t>
            </w:r>
            <w:proofErr w:type="spellStart"/>
            <w:r w:rsidRPr="00A6034C">
              <w:rPr>
                <w:rFonts w:asciiTheme="minorHAnsi" w:hAnsiTheme="minorHAnsi"/>
                <w:color w:val="000000"/>
                <w:sz w:val="18"/>
                <w:szCs w:val="18"/>
                <w:lang w:eastAsia="en-GB"/>
              </w:rPr>
              <w:t>ravnanju</w:t>
            </w:r>
            <w:proofErr w:type="spellEnd"/>
            <w:r w:rsidRPr="00A6034C">
              <w:rPr>
                <w:rFonts w:asciiTheme="minorHAnsi" w:hAnsiTheme="minorHAnsi"/>
                <w:color w:val="000000"/>
                <w:sz w:val="18"/>
                <w:szCs w:val="18"/>
                <w:lang w:eastAsia="en-GB"/>
              </w:rPr>
              <w:t xml:space="preserve"> z radioaktivnimi odpadki in </w:t>
            </w:r>
            <w:proofErr w:type="spellStart"/>
            <w:r w:rsidRPr="00A6034C">
              <w:rPr>
                <w:rFonts w:asciiTheme="minorHAnsi" w:hAnsiTheme="minorHAnsi"/>
                <w:color w:val="000000"/>
                <w:sz w:val="18"/>
                <w:szCs w:val="18"/>
                <w:lang w:eastAsia="en-GB"/>
              </w:rPr>
              <w:t>izrabljenim</w:t>
            </w:r>
            <w:proofErr w:type="spellEnd"/>
            <w:r w:rsidRPr="00A6034C">
              <w:rPr>
                <w:rFonts w:asciiTheme="minorHAnsi" w:hAnsiTheme="minorHAnsi"/>
                <w:color w:val="000000"/>
                <w:sz w:val="18"/>
                <w:szCs w:val="18"/>
                <w:lang w:eastAsia="en-GB"/>
              </w:rPr>
              <w:t xml:space="preserve"> </w:t>
            </w:r>
            <w:proofErr w:type="spellStart"/>
            <w:r w:rsidRPr="00A6034C">
              <w:rPr>
                <w:rFonts w:asciiTheme="minorHAnsi" w:hAnsiTheme="minorHAnsi"/>
                <w:color w:val="000000"/>
                <w:sz w:val="18"/>
                <w:szCs w:val="18"/>
                <w:lang w:eastAsia="en-GB"/>
              </w:rPr>
              <w:t>gorivom</w:t>
            </w:r>
            <w:proofErr w:type="spellEnd"/>
            <w:r w:rsidRPr="00A6034C">
              <w:rPr>
                <w:rFonts w:asciiTheme="minorHAnsi" w:hAnsiTheme="minorHAnsi"/>
                <w:color w:val="000000"/>
                <w:sz w:val="18"/>
                <w:szCs w:val="18"/>
                <w:lang w:eastAsia="en-GB"/>
              </w:rPr>
              <w:t xml:space="preserve"> (</w:t>
            </w:r>
            <w:proofErr w:type="spellStart"/>
            <w:r w:rsidRPr="00A6034C">
              <w:rPr>
                <w:rFonts w:asciiTheme="minorHAnsi" w:hAnsiTheme="minorHAnsi"/>
                <w:color w:val="000000"/>
                <w:sz w:val="18"/>
                <w:szCs w:val="18"/>
                <w:lang w:eastAsia="en-GB"/>
              </w:rPr>
              <w:t>Uradni</w:t>
            </w:r>
            <w:proofErr w:type="spellEnd"/>
            <w:r w:rsidRPr="00A6034C">
              <w:rPr>
                <w:rFonts w:asciiTheme="minorHAnsi" w:hAnsiTheme="minorHAnsi"/>
                <w:color w:val="000000"/>
                <w:sz w:val="18"/>
                <w:szCs w:val="18"/>
                <w:lang w:eastAsia="en-GB"/>
              </w:rPr>
              <w:t xml:space="preserve"> list RS, </w:t>
            </w:r>
            <w:proofErr w:type="spellStart"/>
            <w:r w:rsidRPr="00A6034C">
              <w:rPr>
                <w:rFonts w:asciiTheme="minorHAnsi" w:hAnsiTheme="minorHAnsi"/>
                <w:color w:val="000000"/>
                <w:sz w:val="18"/>
                <w:szCs w:val="18"/>
                <w:lang w:eastAsia="en-GB"/>
              </w:rPr>
              <w:t>št</w:t>
            </w:r>
            <w:proofErr w:type="spellEnd"/>
            <w:r w:rsidRPr="00A6034C">
              <w:rPr>
                <w:rFonts w:asciiTheme="minorHAnsi" w:hAnsiTheme="minorHAnsi"/>
                <w:color w:val="000000"/>
                <w:sz w:val="18"/>
                <w:szCs w:val="18"/>
                <w:lang w:eastAsia="en-GB"/>
              </w:rPr>
              <w:t>. 125/21), 2021) for Decontamination building (DB) in which also some RW packages are stored. If relevant, the WAC for RWSB could be reassessed and used.</w:t>
            </w:r>
          </w:p>
        </w:tc>
        <w:tc>
          <w:tcPr>
            <w:tcW w:w="1873" w:type="dxa"/>
          </w:tcPr>
          <w:p w14:paraId="15EA3A8B"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4.3.3</w:t>
            </w:r>
          </w:p>
        </w:tc>
        <w:tc>
          <w:tcPr>
            <w:tcW w:w="2119" w:type="dxa"/>
          </w:tcPr>
          <w:p w14:paraId="55D49B18"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w:t>
            </w:r>
          </w:p>
        </w:tc>
      </w:tr>
      <w:tr w:rsidR="00935B67" w:rsidRPr="00275FBD" w14:paraId="66AC2910" w14:textId="77777777" w:rsidTr="00935B67">
        <w:trPr>
          <w:trHeight w:val="559"/>
        </w:trPr>
        <w:tc>
          <w:tcPr>
            <w:tcW w:w="1418" w:type="dxa"/>
            <w:shd w:val="clear" w:color="auto" w:fill="auto"/>
            <w:noWrap/>
          </w:tcPr>
          <w:p w14:paraId="63557ABC"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1.1-001</w:t>
            </w:r>
          </w:p>
        </w:tc>
        <w:tc>
          <w:tcPr>
            <w:tcW w:w="714" w:type="dxa"/>
            <w:shd w:val="clear" w:color="auto" w:fill="auto"/>
          </w:tcPr>
          <w:p w14:paraId="61527881"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H</w:t>
            </w:r>
          </w:p>
        </w:tc>
        <w:tc>
          <w:tcPr>
            <w:tcW w:w="1020" w:type="dxa"/>
            <w:shd w:val="clear" w:color="auto" w:fill="auto"/>
          </w:tcPr>
          <w:p w14:paraId="33E5D085"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2,3</w:t>
            </w:r>
          </w:p>
        </w:tc>
        <w:tc>
          <w:tcPr>
            <w:tcW w:w="7255" w:type="dxa"/>
            <w:shd w:val="clear" w:color="auto" w:fill="auto"/>
          </w:tcPr>
          <w:p w14:paraId="127D4820" w14:textId="77777777" w:rsidR="00935B67" w:rsidRPr="00A6034C" w:rsidRDefault="00935B67" w:rsidP="00935B67">
            <w:pPr>
              <w:jc w:val="left"/>
              <w:rPr>
                <w:rFonts w:asciiTheme="minorHAnsi" w:hAnsiTheme="minorHAnsi"/>
                <w:color w:val="000000"/>
                <w:sz w:val="18"/>
                <w:szCs w:val="18"/>
              </w:rPr>
            </w:pPr>
            <w:r w:rsidRPr="00A6034C">
              <w:rPr>
                <w:rFonts w:asciiTheme="minorHAnsi" w:hAnsiTheme="minorHAnsi"/>
                <w:color w:val="000000"/>
                <w:sz w:val="18"/>
                <w:szCs w:val="18"/>
                <w:lang w:eastAsia="en-GB"/>
              </w:rPr>
              <w:t>WENRA SRL F4.8 not satisfied. Detailed review is needed. WENRA F4.8 requires Isolation of the containment shall be possible in DEC. Issue should be resolved within SF-5 (safety analyses).</w:t>
            </w:r>
          </w:p>
        </w:tc>
        <w:tc>
          <w:tcPr>
            <w:tcW w:w="1873" w:type="dxa"/>
          </w:tcPr>
          <w:p w14:paraId="6B44A3E0"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4.1.3</w:t>
            </w:r>
          </w:p>
        </w:tc>
        <w:tc>
          <w:tcPr>
            <w:tcW w:w="2119" w:type="dxa"/>
          </w:tcPr>
          <w:p w14:paraId="434FC7AE"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III</w:t>
            </w:r>
          </w:p>
        </w:tc>
      </w:tr>
      <w:tr w:rsidR="00935B67" w:rsidRPr="00275FBD" w14:paraId="693E8838" w14:textId="77777777" w:rsidTr="00935B67">
        <w:trPr>
          <w:trHeight w:val="559"/>
        </w:trPr>
        <w:tc>
          <w:tcPr>
            <w:tcW w:w="1418" w:type="dxa"/>
            <w:shd w:val="clear" w:color="auto" w:fill="auto"/>
            <w:noWrap/>
          </w:tcPr>
          <w:p w14:paraId="75B03642"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1.1-103</w:t>
            </w:r>
          </w:p>
        </w:tc>
        <w:tc>
          <w:tcPr>
            <w:tcW w:w="714" w:type="dxa"/>
            <w:shd w:val="clear" w:color="auto" w:fill="auto"/>
          </w:tcPr>
          <w:p w14:paraId="041E6DF4"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L</w:t>
            </w:r>
          </w:p>
        </w:tc>
        <w:tc>
          <w:tcPr>
            <w:tcW w:w="1020" w:type="dxa"/>
            <w:shd w:val="clear" w:color="auto" w:fill="auto"/>
          </w:tcPr>
          <w:p w14:paraId="1E6CD361"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2</w:t>
            </w:r>
          </w:p>
        </w:tc>
        <w:tc>
          <w:tcPr>
            <w:tcW w:w="7255" w:type="dxa"/>
            <w:shd w:val="clear" w:color="auto" w:fill="auto"/>
          </w:tcPr>
          <w:p w14:paraId="4FF5EA62" w14:textId="77777777" w:rsidR="00935B67" w:rsidRPr="00A6034C" w:rsidRDefault="00935B67" w:rsidP="00935B67">
            <w:pPr>
              <w:jc w:val="left"/>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IAEA SSG 63 requirement 6.8, Development of the ALARA approach for inspection of casks/cannisters. Detailed review is needed.</w:t>
            </w:r>
          </w:p>
        </w:tc>
        <w:tc>
          <w:tcPr>
            <w:tcW w:w="1873" w:type="dxa"/>
          </w:tcPr>
          <w:p w14:paraId="282D89A5"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4.1.3</w:t>
            </w:r>
          </w:p>
        </w:tc>
        <w:tc>
          <w:tcPr>
            <w:tcW w:w="2119" w:type="dxa"/>
          </w:tcPr>
          <w:p w14:paraId="760642D3"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313B179A" w14:textId="77777777" w:rsidTr="00935B67">
        <w:trPr>
          <w:trHeight w:val="559"/>
        </w:trPr>
        <w:tc>
          <w:tcPr>
            <w:tcW w:w="1418" w:type="dxa"/>
            <w:shd w:val="clear" w:color="auto" w:fill="auto"/>
            <w:noWrap/>
          </w:tcPr>
          <w:p w14:paraId="1EFCB805"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4.3-003</w:t>
            </w:r>
          </w:p>
        </w:tc>
        <w:tc>
          <w:tcPr>
            <w:tcW w:w="714" w:type="dxa"/>
            <w:shd w:val="clear" w:color="auto" w:fill="auto"/>
          </w:tcPr>
          <w:p w14:paraId="602C4BF7"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1E6B2CC2"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3</w:t>
            </w:r>
          </w:p>
        </w:tc>
        <w:tc>
          <w:tcPr>
            <w:tcW w:w="7255" w:type="dxa"/>
            <w:shd w:val="clear" w:color="auto" w:fill="auto"/>
          </w:tcPr>
          <w:p w14:paraId="10A0C2C8" w14:textId="3305A2D6" w:rsidR="00935B67" w:rsidRPr="00A6034C" w:rsidRDefault="00935B67" w:rsidP="00935B67">
            <w:pPr>
              <w:jc w:val="left"/>
              <w:rPr>
                <w:rFonts w:asciiTheme="minorHAnsi" w:hAnsiTheme="minorHAnsi"/>
                <w:color w:val="000000"/>
                <w:sz w:val="18"/>
                <w:szCs w:val="18"/>
              </w:rPr>
            </w:pPr>
            <w:r w:rsidRPr="00A6034C">
              <w:rPr>
                <w:rFonts w:asciiTheme="minorHAnsi" w:hAnsiTheme="minorHAnsi"/>
                <w:color w:val="000000" w:themeColor="text1"/>
                <w:sz w:val="18"/>
                <w:szCs w:val="18"/>
                <w:lang w:eastAsia="en-GB"/>
              </w:rPr>
              <w:t>Review of AOP-3.6.INS-3 “</w:t>
            </w:r>
            <w:proofErr w:type="spellStart"/>
            <w:r w:rsidRPr="00A6034C">
              <w:rPr>
                <w:rFonts w:asciiTheme="minorHAnsi" w:hAnsiTheme="minorHAnsi"/>
                <w:color w:val="000000" w:themeColor="text1"/>
                <w:sz w:val="18"/>
                <w:szCs w:val="18"/>
                <w:lang w:eastAsia="en-GB"/>
              </w:rPr>
              <w:t>Nemožnost</w:t>
            </w:r>
            <w:proofErr w:type="spellEnd"/>
            <w:r w:rsidRPr="00A6034C">
              <w:rPr>
                <w:rFonts w:asciiTheme="minorHAnsi" w:hAnsiTheme="minorHAnsi"/>
                <w:color w:val="000000" w:themeColor="text1"/>
                <w:sz w:val="18"/>
                <w:szCs w:val="18"/>
                <w:lang w:eastAsia="en-GB"/>
              </w:rPr>
              <w:t xml:space="preserve"> </w:t>
            </w:r>
            <w:proofErr w:type="spellStart"/>
            <w:r w:rsidRPr="00A6034C">
              <w:rPr>
                <w:rFonts w:asciiTheme="minorHAnsi" w:hAnsiTheme="minorHAnsi"/>
                <w:color w:val="000000" w:themeColor="text1"/>
                <w:sz w:val="18"/>
                <w:szCs w:val="18"/>
                <w:lang w:eastAsia="en-GB"/>
              </w:rPr>
              <w:t>bivanja</w:t>
            </w:r>
            <w:proofErr w:type="spellEnd"/>
            <w:r w:rsidRPr="00A6034C">
              <w:rPr>
                <w:rFonts w:asciiTheme="minorHAnsi" w:hAnsiTheme="minorHAnsi"/>
                <w:color w:val="000000" w:themeColor="text1"/>
                <w:sz w:val="18"/>
                <w:szCs w:val="18"/>
                <w:lang w:eastAsia="en-GB"/>
              </w:rPr>
              <w:t xml:space="preserve"> </w:t>
            </w:r>
            <w:proofErr w:type="spellStart"/>
            <w:r w:rsidRPr="00A6034C">
              <w:rPr>
                <w:rFonts w:asciiTheme="minorHAnsi" w:hAnsiTheme="minorHAnsi"/>
                <w:color w:val="000000" w:themeColor="text1"/>
                <w:sz w:val="18"/>
                <w:szCs w:val="18"/>
                <w:lang w:eastAsia="en-GB"/>
              </w:rPr>
              <w:t>ali</w:t>
            </w:r>
            <w:proofErr w:type="spellEnd"/>
            <w:r w:rsidRPr="00A6034C">
              <w:rPr>
                <w:rFonts w:asciiTheme="minorHAnsi" w:hAnsiTheme="minorHAnsi"/>
                <w:color w:val="000000" w:themeColor="text1"/>
                <w:sz w:val="18"/>
                <w:szCs w:val="18"/>
                <w:lang w:eastAsia="en-GB"/>
              </w:rPr>
              <w:t xml:space="preserve"> </w:t>
            </w:r>
            <w:proofErr w:type="spellStart"/>
            <w:r w:rsidR="00290F1E" w:rsidRPr="00A6034C">
              <w:rPr>
                <w:rFonts w:asciiTheme="minorHAnsi" w:hAnsiTheme="minorHAnsi"/>
                <w:color w:val="000000" w:themeColor="text1"/>
                <w:sz w:val="18"/>
                <w:szCs w:val="18"/>
                <w:lang w:eastAsia="en-GB"/>
              </w:rPr>
              <w:t>upravljanja</w:t>
            </w:r>
            <w:proofErr w:type="spellEnd"/>
            <w:r w:rsidR="00290F1E" w:rsidRPr="00A6034C">
              <w:rPr>
                <w:rFonts w:asciiTheme="minorHAnsi" w:hAnsiTheme="minorHAnsi"/>
                <w:color w:val="000000" w:themeColor="text1"/>
                <w:sz w:val="18"/>
                <w:szCs w:val="18"/>
                <w:lang w:eastAsia="en-GB"/>
              </w:rPr>
              <w:t xml:space="preserve"> v</w:t>
            </w:r>
            <w:r w:rsidRPr="00A6034C">
              <w:rPr>
                <w:rFonts w:asciiTheme="minorHAnsi" w:hAnsiTheme="minorHAnsi"/>
                <w:color w:val="000000" w:themeColor="text1"/>
                <w:sz w:val="18"/>
                <w:szCs w:val="18"/>
                <w:lang w:eastAsia="en-GB"/>
              </w:rPr>
              <w:t xml:space="preserve"> </w:t>
            </w:r>
            <w:proofErr w:type="spellStart"/>
            <w:r w:rsidRPr="00A6034C">
              <w:rPr>
                <w:rFonts w:asciiTheme="minorHAnsi" w:hAnsiTheme="minorHAnsi"/>
                <w:color w:val="000000" w:themeColor="text1"/>
                <w:sz w:val="18"/>
                <w:szCs w:val="18"/>
                <w:lang w:eastAsia="en-GB"/>
              </w:rPr>
              <w:t>kontrolni</w:t>
            </w:r>
            <w:proofErr w:type="spellEnd"/>
            <w:r w:rsidRPr="00A6034C">
              <w:rPr>
                <w:rFonts w:asciiTheme="minorHAnsi" w:hAnsiTheme="minorHAnsi"/>
                <w:color w:val="000000" w:themeColor="text1"/>
                <w:sz w:val="18"/>
                <w:szCs w:val="18"/>
                <w:lang w:eastAsia="en-GB"/>
              </w:rPr>
              <w:t xml:space="preserve"> </w:t>
            </w:r>
            <w:proofErr w:type="spellStart"/>
            <w:r w:rsidRPr="00A6034C">
              <w:rPr>
                <w:rFonts w:asciiTheme="minorHAnsi" w:hAnsiTheme="minorHAnsi"/>
                <w:color w:val="000000" w:themeColor="text1"/>
                <w:sz w:val="18"/>
                <w:szCs w:val="18"/>
                <w:lang w:eastAsia="en-GB"/>
              </w:rPr>
              <w:t>sobi</w:t>
            </w:r>
            <w:proofErr w:type="spellEnd"/>
            <w:proofErr w:type="gramStart"/>
            <w:r w:rsidRPr="00A6034C">
              <w:rPr>
                <w:rFonts w:asciiTheme="minorHAnsi" w:hAnsiTheme="minorHAnsi"/>
                <w:color w:val="000000" w:themeColor="text1"/>
                <w:sz w:val="18"/>
                <w:szCs w:val="18"/>
                <w:lang w:eastAsia="en-GB"/>
              </w:rPr>
              <w:t>” :</w:t>
            </w:r>
            <w:proofErr w:type="gramEnd"/>
            <w:r w:rsidRPr="00A6034C">
              <w:rPr>
                <w:rFonts w:asciiTheme="minorHAnsi" w:hAnsiTheme="minorHAnsi"/>
                <w:color w:val="000000" w:themeColor="text1"/>
                <w:sz w:val="18"/>
                <w:szCs w:val="18"/>
                <w:lang w:eastAsia="en-GB"/>
              </w:rPr>
              <w:t xml:space="preserve"> Perform Hazard assessment of NEK plant area for purpose of definition of internal hazards, determination of safest route from MCR to ECR and to provide clear guidelines for route determination in case of emergency (IAEA SSR-2/2; Requirement 18; 5.4). Detailed review is needed.</w:t>
            </w:r>
          </w:p>
        </w:tc>
        <w:tc>
          <w:tcPr>
            <w:tcW w:w="1873" w:type="dxa"/>
          </w:tcPr>
          <w:p w14:paraId="025D1DE5"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4.1.3</w:t>
            </w:r>
          </w:p>
        </w:tc>
        <w:tc>
          <w:tcPr>
            <w:tcW w:w="2119" w:type="dxa"/>
          </w:tcPr>
          <w:p w14:paraId="49508640"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24A4B667" w14:textId="77777777" w:rsidTr="00935B67">
        <w:trPr>
          <w:trHeight w:val="559"/>
        </w:trPr>
        <w:tc>
          <w:tcPr>
            <w:tcW w:w="1418" w:type="dxa"/>
            <w:shd w:val="clear" w:color="auto" w:fill="auto"/>
            <w:noWrap/>
          </w:tcPr>
          <w:p w14:paraId="43052AF7"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1.1-112</w:t>
            </w:r>
          </w:p>
        </w:tc>
        <w:tc>
          <w:tcPr>
            <w:tcW w:w="714" w:type="dxa"/>
            <w:shd w:val="clear" w:color="auto" w:fill="auto"/>
          </w:tcPr>
          <w:p w14:paraId="384E0C2A"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L</w:t>
            </w:r>
          </w:p>
        </w:tc>
        <w:tc>
          <w:tcPr>
            <w:tcW w:w="1020" w:type="dxa"/>
            <w:shd w:val="clear" w:color="auto" w:fill="auto"/>
          </w:tcPr>
          <w:p w14:paraId="25357735"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3</w:t>
            </w:r>
          </w:p>
        </w:tc>
        <w:tc>
          <w:tcPr>
            <w:tcW w:w="7255" w:type="dxa"/>
            <w:shd w:val="clear" w:color="auto" w:fill="auto"/>
          </w:tcPr>
          <w:p w14:paraId="0F2AFED4"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PSR2-1.1-49: GL 2003-01 (MCR habitability), Implement full compliance to this GL, and update USAR Appendix 3A, and RCP3 accordingly. Link to issue PSR3-1.2-25.</w:t>
            </w:r>
          </w:p>
        </w:tc>
        <w:tc>
          <w:tcPr>
            <w:tcW w:w="1873" w:type="dxa"/>
          </w:tcPr>
          <w:p w14:paraId="7F7EC4EF"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4.3.2</w:t>
            </w:r>
          </w:p>
        </w:tc>
        <w:tc>
          <w:tcPr>
            <w:tcW w:w="2119" w:type="dxa"/>
          </w:tcPr>
          <w:p w14:paraId="3D55EE53"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57DCD915" w14:textId="77777777" w:rsidTr="00935B67">
        <w:trPr>
          <w:trHeight w:val="559"/>
        </w:trPr>
        <w:tc>
          <w:tcPr>
            <w:tcW w:w="1418" w:type="dxa"/>
            <w:shd w:val="clear" w:color="auto" w:fill="auto"/>
            <w:noWrap/>
          </w:tcPr>
          <w:p w14:paraId="5DF6557F"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lastRenderedPageBreak/>
              <w:t>PSR3 1.2-016</w:t>
            </w:r>
          </w:p>
        </w:tc>
        <w:tc>
          <w:tcPr>
            <w:tcW w:w="714" w:type="dxa"/>
            <w:shd w:val="clear" w:color="auto" w:fill="auto"/>
          </w:tcPr>
          <w:p w14:paraId="4E3ADF4C"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4395519B"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2,3</w:t>
            </w:r>
          </w:p>
        </w:tc>
        <w:tc>
          <w:tcPr>
            <w:tcW w:w="7255" w:type="dxa"/>
            <w:shd w:val="clear" w:color="auto" w:fill="auto"/>
          </w:tcPr>
          <w:p w14:paraId="52688FD5"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Shield building: Low potential durability due to loss of protective coating functionality. Detailed review is needed.</w:t>
            </w:r>
          </w:p>
        </w:tc>
        <w:tc>
          <w:tcPr>
            <w:tcW w:w="1873" w:type="dxa"/>
          </w:tcPr>
          <w:p w14:paraId="1062C722"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4.3.2</w:t>
            </w:r>
          </w:p>
        </w:tc>
        <w:tc>
          <w:tcPr>
            <w:tcW w:w="2119" w:type="dxa"/>
          </w:tcPr>
          <w:p w14:paraId="387E1448"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37FA5A7F" w14:textId="77777777" w:rsidTr="00935B67">
        <w:trPr>
          <w:trHeight w:val="559"/>
        </w:trPr>
        <w:tc>
          <w:tcPr>
            <w:tcW w:w="1418" w:type="dxa"/>
            <w:shd w:val="clear" w:color="auto" w:fill="auto"/>
            <w:noWrap/>
          </w:tcPr>
          <w:p w14:paraId="4E80ED0B"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1.2-017</w:t>
            </w:r>
          </w:p>
        </w:tc>
        <w:tc>
          <w:tcPr>
            <w:tcW w:w="714" w:type="dxa"/>
            <w:shd w:val="clear" w:color="auto" w:fill="auto"/>
          </w:tcPr>
          <w:p w14:paraId="4312A6D9"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3D97A33B"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3</w:t>
            </w:r>
          </w:p>
        </w:tc>
        <w:tc>
          <w:tcPr>
            <w:tcW w:w="7255" w:type="dxa"/>
            <w:shd w:val="clear" w:color="auto" w:fill="auto"/>
          </w:tcPr>
          <w:p w14:paraId="7D5DE473"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Auxiliary building: Carbonization in the concrete locally. Detailed review is needed.</w:t>
            </w:r>
          </w:p>
        </w:tc>
        <w:tc>
          <w:tcPr>
            <w:tcW w:w="1873" w:type="dxa"/>
          </w:tcPr>
          <w:p w14:paraId="1611FDB3"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4.3.2</w:t>
            </w:r>
          </w:p>
        </w:tc>
        <w:tc>
          <w:tcPr>
            <w:tcW w:w="2119" w:type="dxa"/>
          </w:tcPr>
          <w:p w14:paraId="4B3E817C"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28542C09" w14:textId="77777777" w:rsidTr="00935B67">
        <w:trPr>
          <w:trHeight w:val="559"/>
        </w:trPr>
        <w:tc>
          <w:tcPr>
            <w:tcW w:w="1418" w:type="dxa"/>
            <w:shd w:val="clear" w:color="auto" w:fill="auto"/>
            <w:noWrap/>
          </w:tcPr>
          <w:p w14:paraId="1A6E9BEC"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1.2-018</w:t>
            </w:r>
          </w:p>
        </w:tc>
        <w:tc>
          <w:tcPr>
            <w:tcW w:w="714" w:type="dxa"/>
            <w:shd w:val="clear" w:color="auto" w:fill="auto"/>
          </w:tcPr>
          <w:p w14:paraId="206061C9"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2C942693"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3</w:t>
            </w:r>
          </w:p>
        </w:tc>
        <w:tc>
          <w:tcPr>
            <w:tcW w:w="7255" w:type="dxa"/>
            <w:shd w:val="clear" w:color="auto" w:fill="auto"/>
          </w:tcPr>
          <w:p w14:paraId="4A98A4FA"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Intermediate building: Extremely large number of cracks on the walls and floor locally. Detailed review is needed.</w:t>
            </w:r>
          </w:p>
        </w:tc>
        <w:tc>
          <w:tcPr>
            <w:tcW w:w="1873" w:type="dxa"/>
          </w:tcPr>
          <w:p w14:paraId="5CFDE0E9"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4.3.2</w:t>
            </w:r>
          </w:p>
        </w:tc>
        <w:tc>
          <w:tcPr>
            <w:tcW w:w="2119" w:type="dxa"/>
          </w:tcPr>
          <w:p w14:paraId="12AA3F89"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47F0636D" w14:textId="77777777" w:rsidTr="00935B67">
        <w:trPr>
          <w:trHeight w:val="559"/>
        </w:trPr>
        <w:tc>
          <w:tcPr>
            <w:tcW w:w="1418" w:type="dxa"/>
            <w:shd w:val="clear" w:color="auto" w:fill="auto"/>
            <w:noWrap/>
          </w:tcPr>
          <w:p w14:paraId="402A10C3"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1.2-019</w:t>
            </w:r>
          </w:p>
        </w:tc>
        <w:tc>
          <w:tcPr>
            <w:tcW w:w="714" w:type="dxa"/>
            <w:shd w:val="clear" w:color="auto" w:fill="auto"/>
          </w:tcPr>
          <w:p w14:paraId="28D1EB39"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L</w:t>
            </w:r>
          </w:p>
        </w:tc>
        <w:tc>
          <w:tcPr>
            <w:tcW w:w="1020" w:type="dxa"/>
            <w:shd w:val="clear" w:color="auto" w:fill="auto"/>
          </w:tcPr>
          <w:p w14:paraId="1839B024"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3</w:t>
            </w:r>
          </w:p>
        </w:tc>
        <w:tc>
          <w:tcPr>
            <w:tcW w:w="7255" w:type="dxa"/>
            <w:shd w:val="clear" w:color="auto" w:fill="auto"/>
          </w:tcPr>
          <w:p w14:paraId="78272506"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Control building: Carbonization in the concrete locally, leaking from the roof locally. Detailed review is needed.</w:t>
            </w:r>
          </w:p>
        </w:tc>
        <w:tc>
          <w:tcPr>
            <w:tcW w:w="1873" w:type="dxa"/>
          </w:tcPr>
          <w:p w14:paraId="10C4501E"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4.3.2</w:t>
            </w:r>
          </w:p>
        </w:tc>
        <w:tc>
          <w:tcPr>
            <w:tcW w:w="2119" w:type="dxa"/>
          </w:tcPr>
          <w:p w14:paraId="564248D1"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784CB569" w14:textId="77777777" w:rsidTr="00935B67">
        <w:trPr>
          <w:trHeight w:val="559"/>
        </w:trPr>
        <w:tc>
          <w:tcPr>
            <w:tcW w:w="1418" w:type="dxa"/>
            <w:shd w:val="clear" w:color="auto" w:fill="auto"/>
            <w:noWrap/>
          </w:tcPr>
          <w:p w14:paraId="6C231CD8"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1.2-020</w:t>
            </w:r>
          </w:p>
        </w:tc>
        <w:tc>
          <w:tcPr>
            <w:tcW w:w="714" w:type="dxa"/>
            <w:shd w:val="clear" w:color="auto" w:fill="auto"/>
          </w:tcPr>
          <w:p w14:paraId="1A1678EA"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6B2978CE"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3</w:t>
            </w:r>
          </w:p>
        </w:tc>
        <w:tc>
          <w:tcPr>
            <w:tcW w:w="7255" w:type="dxa"/>
            <w:shd w:val="clear" w:color="auto" w:fill="auto"/>
          </w:tcPr>
          <w:p w14:paraId="310C61D6"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Essential service water discharge: Carbonization in the concrete locally, freezing and thawing cycles in winter. Detailed review is needed.</w:t>
            </w:r>
          </w:p>
        </w:tc>
        <w:tc>
          <w:tcPr>
            <w:tcW w:w="1873" w:type="dxa"/>
          </w:tcPr>
          <w:p w14:paraId="431210E7"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4.3.2</w:t>
            </w:r>
          </w:p>
        </w:tc>
        <w:tc>
          <w:tcPr>
            <w:tcW w:w="2119" w:type="dxa"/>
          </w:tcPr>
          <w:p w14:paraId="271F56AB"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4DEB3746" w14:textId="77777777" w:rsidTr="00935B67">
        <w:trPr>
          <w:trHeight w:val="559"/>
        </w:trPr>
        <w:tc>
          <w:tcPr>
            <w:tcW w:w="1418" w:type="dxa"/>
            <w:shd w:val="clear" w:color="auto" w:fill="auto"/>
            <w:noWrap/>
          </w:tcPr>
          <w:p w14:paraId="31D86E70"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1.2-021</w:t>
            </w:r>
          </w:p>
        </w:tc>
        <w:tc>
          <w:tcPr>
            <w:tcW w:w="714" w:type="dxa"/>
            <w:shd w:val="clear" w:color="auto" w:fill="auto"/>
          </w:tcPr>
          <w:p w14:paraId="57118ABD"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57045C82"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3</w:t>
            </w:r>
          </w:p>
        </w:tc>
        <w:tc>
          <w:tcPr>
            <w:tcW w:w="7255" w:type="dxa"/>
            <w:shd w:val="clear" w:color="auto" w:fill="auto"/>
          </w:tcPr>
          <w:p w14:paraId="5D5DDDFD"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River Dam: Carbonization in the concrete locally, freezing and thawing cycles in winter. Detailed review is needed.</w:t>
            </w:r>
          </w:p>
        </w:tc>
        <w:tc>
          <w:tcPr>
            <w:tcW w:w="1873" w:type="dxa"/>
          </w:tcPr>
          <w:p w14:paraId="751A08ED"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4.3.2</w:t>
            </w:r>
          </w:p>
        </w:tc>
        <w:tc>
          <w:tcPr>
            <w:tcW w:w="2119" w:type="dxa"/>
          </w:tcPr>
          <w:p w14:paraId="02D55A06"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2890BB62" w14:textId="77777777" w:rsidTr="00935B67">
        <w:trPr>
          <w:trHeight w:val="559"/>
        </w:trPr>
        <w:tc>
          <w:tcPr>
            <w:tcW w:w="1418" w:type="dxa"/>
            <w:shd w:val="clear" w:color="auto" w:fill="auto"/>
            <w:noWrap/>
          </w:tcPr>
          <w:p w14:paraId="53B460E2"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1.2-024</w:t>
            </w:r>
          </w:p>
        </w:tc>
        <w:tc>
          <w:tcPr>
            <w:tcW w:w="714" w:type="dxa"/>
            <w:shd w:val="clear" w:color="auto" w:fill="auto"/>
          </w:tcPr>
          <w:p w14:paraId="49F59086"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6CB63706"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3</w:t>
            </w:r>
          </w:p>
        </w:tc>
        <w:tc>
          <w:tcPr>
            <w:tcW w:w="7255" w:type="dxa"/>
            <w:shd w:val="clear" w:color="auto" w:fill="auto"/>
          </w:tcPr>
          <w:p w14:paraId="2569D2EC"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Seismic category II from seismic procedure SP-S702: Not existing in USAR and ED-18 program for seismic qualification. Review and update is needed.</w:t>
            </w:r>
          </w:p>
        </w:tc>
        <w:tc>
          <w:tcPr>
            <w:tcW w:w="1873" w:type="dxa"/>
          </w:tcPr>
          <w:p w14:paraId="67CD773B"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4.3.2</w:t>
            </w:r>
          </w:p>
        </w:tc>
        <w:tc>
          <w:tcPr>
            <w:tcW w:w="2119" w:type="dxa"/>
          </w:tcPr>
          <w:p w14:paraId="506407EC"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w:t>
            </w:r>
          </w:p>
        </w:tc>
      </w:tr>
      <w:tr w:rsidR="00935B67" w:rsidRPr="00275FBD" w14:paraId="087AA7DA" w14:textId="77777777" w:rsidTr="00935B67">
        <w:trPr>
          <w:trHeight w:val="559"/>
        </w:trPr>
        <w:tc>
          <w:tcPr>
            <w:tcW w:w="1418" w:type="dxa"/>
            <w:shd w:val="clear" w:color="auto" w:fill="auto"/>
            <w:noWrap/>
          </w:tcPr>
          <w:p w14:paraId="53715F7D"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1.2-026</w:t>
            </w:r>
          </w:p>
        </w:tc>
        <w:tc>
          <w:tcPr>
            <w:tcW w:w="714" w:type="dxa"/>
            <w:shd w:val="clear" w:color="auto" w:fill="auto"/>
          </w:tcPr>
          <w:p w14:paraId="3F6923CA"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L</w:t>
            </w:r>
          </w:p>
        </w:tc>
        <w:tc>
          <w:tcPr>
            <w:tcW w:w="1020" w:type="dxa"/>
            <w:shd w:val="clear" w:color="auto" w:fill="auto"/>
          </w:tcPr>
          <w:p w14:paraId="3F8ECD02"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2,3</w:t>
            </w:r>
          </w:p>
        </w:tc>
        <w:tc>
          <w:tcPr>
            <w:tcW w:w="7255" w:type="dxa"/>
            <w:shd w:val="clear" w:color="auto" w:fill="auto"/>
          </w:tcPr>
          <w:p w14:paraId="645B8A49"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Action plan for resolution of issues concerning civil structures should be prepared.</w:t>
            </w:r>
          </w:p>
        </w:tc>
        <w:tc>
          <w:tcPr>
            <w:tcW w:w="1873" w:type="dxa"/>
          </w:tcPr>
          <w:p w14:paraId="26D4F414"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4.3.2</w:t>
            </w:r>
          </w:p>
        </w:tc>
        <w:tc>
          <w:tcPr>
            <w:tcW w:w="2119" w:type="dxa"/>
          </w:tcPr>
          <w:p w14:paraId="52A469C6"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w:t>
            </w:r>
          </w:p>
        </w:tc>
      </w:tr>
      <w:tr w:rsidR="00935B67" w:rsidRPr="00275FBD" w14:paraId="66CFA290" w14:textId="77777777" w:rsidTr="00935B67">
        <w:trPr>
          <w:trHeight w:val="559"/>
        </w:trPr>
        <w:tc>
          <w:tcPr>
            <w:tcW w:w="1418" w:type="dxa"/>
            <w:shd w:val="clear" w:color="auto" w:fill="auto"/>
            <w:noWrap/>
          </w:tcPr>
          <w:p w14:paraId="6485FE48"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1.3-001</w:t>
            </w:r>
          </w:p>
        </w:tc>
        <w:tc>
          <w:tcPr>
            <w:tcW w:w="714" w:type="dxa"/>
            <w:shd w:val="clear" w:color="auto" w:fill="auto"/>
          </w:tcPr>
          <w:p w14:paraId="0378F0D1"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51BB418A"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3</w:t>
            </w:r>
          </w:p>
        </w:tc>
        <w:tc>
          <w:tcPr>
            <w:tcW w:w="7255" w:type="dxa"/>
            <w:shd w:val="clear" w:color="auto" w:fill="auto"/>
          </w:tcPr>
          <w:p w14:paraId="17CE2D24"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 xml:space="preserve">Missing DEC document and calculation. ZVNE/SA/ES-TR and corresponding calculation ZVNE/SA/ES-CN are not established yet. </w:t>
            </w:r>
          </w:p>
        </w:tc>
        <w:tc>
          <w:tcPr>
            <w:tcW w:w="1873" w:type="dxa"/>
          </w:tcPr>
          <w:p w14:paraId="5BA68808"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4.3.2</w:t>
            </w:r>
          </w:p>
        </w:tc>
        <w:tc>
          <w:tcPr>
            <w:tcW w:w="2119" w:type="dxa"/>
          </w:tcPr>
          <w:p w14:paraId="1EBD7F76"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70FDB5A2" w14:textId="77777777" w:rsidTr="00935B67">
        <w:trPr>
          <w:trHeight w:val="559"/>
        </w:trPr>
        <w:tc>
          <w:tcPr>
            <w:tcW w:w="1418" w:type="dxa"/>
            <w:shd w:val="clear" w:color="auto" w:fill="auto"/>
            <w:noWrap/>
          </w:tcPr>
          <w:p w14:paraId="469C6034"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1.3-005</w:t>
            </w:r>
          </w:p>
        </w:tc>
        <w:tc>
          <w:tcPr>
            <w:tcW w:w="714" w:type="dxa"/>
            <w:shd w:val="clear" w:color="auto" w:fill="auto"/>
          </w:tcPr>
          <w:p w14:paraId="78238853"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0631C567"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3</w:t>
            </w:r>
          </w:p>
        </w:tc>
        <w:tc>
          <w:tcPr>
            <w:tcW w:w="7255" w:type="dxa"/>
            <w:shd w:val="clear" w:color="auto" w:fill="auto"/>
          </w:tcPr>
          <w:p w14:paraId="3E6EAD73"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Seismic category. SP-S702 [43], rev.10 paragraph 5.9 identifies seismic impact items as seismic category II items. Detailed review is needed.</w:t>
            </w:r>
          </w:p>
        </w:tc>
        <w:tc>
          <w:tcPr>
            <w:tcW w:w="1873" w:type="dxa"/>
          </w:tcPr>
          <w:p w14:paraId="3700F4FC"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4.3.2</w:t>
            </w:r>
          </w:p>
        </w:tc>
        <w:tc>
          <w:tcPr>
            <w:tcW w:w="2119" w:type="dxa"/>
          </w:tcPr>
          <w:p w14:paraId="3AC34A14"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w:t>
            </w:r>
          </w:p>
        </w:tc>
      </w:tr>
      <w:tr w:rsidR="00935B67" w:rsidRPr="00275FBD" w14:paraId="2CEBCF24" w14:textId="77777777" w:rsidTr="00935B67">
        <w:trPr>
          <w:trHeight w:val="559"/>
        </w:trPr>
        <w:tc>
          <w:tcPr>
            <w:tcW w:w="1418" w:type="dxa"/>
            <w:shd w:val="clear" w:color="auto" w:fill="auto"/>
            <w:noWrap/>
          </w:tcPr>
          <w:p w14:paraId="502DF5EC"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lastRenderedPageBreak/>
              <w:t>PSR3 1.3-006</w:t>
            </w:r>
          </w:p>
        </w:tc>
        <w:tc>
          <w:tcPr>
            <w:tcW w:w="714" w:type="dxa"/>
            <w:shd w:val="clear" w:color="auto" w:fill="auto"/>
          </w:tcPr>
          <w:p w14:paraId="0E403222"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4FCFFC32"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3</w:t>
            </w:r>
          </w:p>
        </w:tc>
        <w:tc>
          <w:tcPr>
            <w:tcW w:w="7255" w:type="dxa"/>
            <w:shd w:val="clear" w:color="auto" w:fill="auto"/>
          </w:tcPr>
          <w:p w14:paraId="790AECB1" w14:textId="7A44AE20"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 xml:space="preserve">Seismic specification. The new bunkered building BB2 has been designed and constructed as a part of SUP Phase 3. The floor response spectra have been developed in the framework of design modification 1024-BS-L but are still not transferred to </w:t>
            </w:r>
            <w:r w:rsidR="00290F1E" w:rsidRPr="00A6034C">
              <w:rPr>
                <w:rFonts w:asciiTheme="minorHAnsi" w:hAnsiTheme="minorHAnsi"/>
                <w:color w:val="000000"/>
                <w:sz w:val="18"/>
                <w:szCs w:val="18"/>
                <w:lang w:eastAsia="en-GB"/>
              </w:rPr>
              <w:t>USAR, SP</w:t>
            </w:r>
            <w:r w:rsidRPr="00A6034C">
              <w:rPr>
                <w:rFonts w:asciiTheme="minorHAnsi" w:hAnsiTheme="minorHAnsi"/>
                <w:color w:val="000000"/>
                <w:sz w:val="18"/>
                <w:szCs w:val="18"/>
                <w:lang w:eastAsia="en-GB"/>
              </w:rPr>
              <w:t>-702 and ED-18.</w:t>
            </w:r>
          </w:p>
        </w:tc>
        <w:tc>
          <w:tcPr>
            <w:tcW w:w="1873" w:type="dxa"/>
          </w:tcPr>
          <w:p w14:paraId="33273D09"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4.3.2</w:t>
            </w:r>
          </w:p>
        </w:tc>
        <w:tc>
          <w:tcPr>
            <w:tcW w:w="2119" w:type="dxa"/>
          </w:tcPr>
          <w:p w14:paraId="035D49FB"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w:t>
            </w:r>
          </w:p>
        </w:tc>
      </w:tr>
      <w:tr w:rsidR="00935B67" w:rsidRPr="00275FBD" w14:paraId="36B0672A" w14:textId="77777777" w:rsidTr="00935B67">
        <w:trPr>
          <w:trHeight w:val="559"/>
        </w:trPr>
        <w:tc>
          <w:tcPr>
            <w:tcW w:w="1418" w:type="dxa"/>
            <w:shd w:val="clear" w:color="auto" w:fill="auto"/>
            <w:noWrap/>
          </w:tcPr>
          <w:p w14:paraId="6D767151"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2.1-006</w:t>
            </w:r>
          </w:p>
        </w:tc>
        <w:tc>
          <w:tcPr>
            <w:tcW w:w="714" w:type="dxa"/>
            <w:shd w:val="clear" w:color="auto" w:fill="auto"/>
          </w:tcPr>
          <w:p w14:paraId="73E61713"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L</w:t>
            </w:r>
          </w:p>
        </w:tc>
        <w:tc>
          <w:tcPr>
            <w:tcW w:w="1020" w:type="dxa"/>
            <w:shd w:val="clear" w:color="auto" w:fill="auto"/>
          </w:tcPr>
          <w:p w14:paraId="5D102E42"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3</w:t>
            </w:r>
          </w:p>
        </w:tc>
        <w:tc>
          <w:tcPr>
            <w:tcW w:w="7255" w:type="dxa"/>
            <w:shd w:val="clear" w:color="auto" w:fill="auto"/>
          </w:tcPr>
          <w:p w14:paraId="50CB8BA4"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Verification of DEC B safety analysis and MAAP modelling assumptions. The background for considering availability of SG PORVs in the DEC B safety analysis is questionable. Detailed review is needed.</w:t>
            </w:r>
          </w:p>
        </w:tc>
        <w:tc>
          <w:tcPr>
            <w:tcW w:w="1873" w:type="dxa"/>
          </w:tcPr>
          <w:p w14:paraId="2BB90179"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4.3.2</w:t>
            </w:r>
          </w:p>
        </w:tc>
        <w:tc>
          <w:tcPr>
            <w:tcW w:w="2119" w:type="dxa"/>
          </w:tcPr>
          <w:p w14:paraId="737A5233"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7BE5BE82" w14:textId="77777777" w:rsidTr="00935B67">
        <w:trPr>
          <w:trHeight w:val="559"/>
        </w:trPr>
        <w:tc>
          <w:tcPr>
            <w:tcW w:w="1418" w:type="dxa"/>
            <w:shd w:val="clear" w:color="auto" w:fill="auto"/>
            <w:noWrap/>
          </w:tcPr>
          <w:p w14:paraId="28727AAB"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2.1-007</w:t>
            </w:r>
          </w:p>
        </w:tc>
        <w:tc>
          <w:tcPr>
            <w:tcW w:w="714" w:type="dxa"/>
            <w:shd w:val="clear" w:color="auto" w:fill="auto"/>
          </w:tcPr>
          <w:p w14:paraId="4AD8C5BE"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7926D8C5"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3</w:t>
            </w:r>
          </w:p>
        </w:tc>
        <w:tc>
          <w:tcPr>
            <w:tcW w:w="7255" w:type="dxa"/>
            <w:shd w:val="clear" w:color="auto" w:fill="auto"/>
          </w:tcPr>
          <w:p w14:paraId="6256FA18"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Finalize verification of equipment survivability study. Projects related to safety upgrade program are based on the preliminary equipment survivability study.</w:t>
            </w:r>
          </w:p>
        </w:tc>
        <w:tc>
          <w:tcPr>
            <w:tcW w:w="1873" w:type="dxa"/>
          </w:tcPr>
          <w:p w14:paraId="3DC56693"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4.3.2</w:t>
            </w:r>
          </w:p>
        </w:tc>
        <w:tc>
          <w:tcPr>
            <w:tcW w:w="2119" w:type="dxa"/>
          </w:tcPr>
          <w:p w14:paraId="58FCF8E8"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44575656" w14:textId="77777777" w:rsidTr="00935B67">
        <w:trPr>
          <w:trHeight w:val="559"/>
        </w:trPr>
        <w:tc>
          <w:tcPr>
            <w:tcW w:w="1418" w:type="dxa"/>
            <w:shd w:val="clear" w:color="auto" w:fill="auto"/>
            <w:noWrap/>
          </w:tcPr>
          <w:p w14:paraId="37CA8673"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2.3-005</w:t>
            </w:r>
          </w:p>
        </w:tc>
        <w:tc>
          <w:tcPr>
            <w:tcW w:w="714" w:type="dxa"/>
            <w:shd w:val="clear" w:color="auto" w:fill="auto"/>
          </w:tcPr>
          <w:p w14:paraId="6F94C1F7"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38E218EB"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3</w:t>
            </w:r>
          </w:p>
        </w:tc>
        <w:tc>
          <w:tcPr>
            <w:tcW w:w="7255" w:type="dxa"/>
            <w:shd w:val="clear" w:color="auto" w:fill="auto"/>
          </w:tcPr>
          <w:p w14:paraId="54E2B055"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Non-compliance with the GL 03-001. NEK is not in compliance with the required actions of the GL 03-001 “Control Room Habitability. Detailed review is needed.</w:t>
            </w:r>
          </w:p>
        </w:tc>
        <w:tc>
          <w:tcPr>
            <w:tcW w:w="1873" w:type="dxa"/>
          </w:tcPr>
          <w:p w14:paraId="1793993A"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4.3.2</w:t>
            </w:r>
          </w:p>
        </w:tc>
        <w:tc>
          <w:tcPr>
            <w:tcW w:w="2119" w:type="dxa"/>
          </w:tcPr>
          <w:p w14:paraId="146A1293"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2E1EA5F3" w14:textId="77777777" w:rsidTr="00935B67">
        <w:trPr>
          <w:trHeight w:val="559"/>
        </w:trPr>
        <w:tc>
          <w:tcPr>
            <w:tcW w:w="1418" w:type="dxa"/>
            <w:shd w:val="clear" w:color="auto" w:fill="auto"/>
            <w:noWrap/>
          </w:tcPr>
          <w:p w14:paraId="6597FF46"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Calibri" w:hAnsi="Calibri"/>
                <w:color w:val="000000" w:themeColor="text1"/>
                <w:sz w:val="18"/>
                <w:szCs w:val="18"/>
                <w:lang w:eastAsia="en-GB"/>
              </w:rPr>
              <w:t>PSR3 3.1-004</w:t>
            </w:r>
          </w:p>
        </w:tc>
        <w:tc>
          <w:tcPr>
            <w:tcW w:w="714" w:type="dxa"/>
            <w:shd w:val="clear" w:color="auto" w:fill="auto"/>
          </w:tcPr>
          <w:p w14:paraId="13291F10"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Calibri" w:hAnsi="Calibri"/>
                <w:color w:val="000000" w:themeColor="text1"/>
                <w:sz w:val="18"/>
                <w:szCs w:val="18"/>
                <w:lang w:eastAsia="en-GB"/>
              </w:rPr>
              <w:t>H</w:t>
            </w:r>
          </w:p>
        </w:tc>
        <w:tc>
          <w:tcPr>
            <w:tcW w:w="1020" w:type="dxa"/>
            <w:shd w:val="clear" w:color="auto" w:fill="auto"/>
          </w:tcPr>
          <w:p w14:paraId="2B995B3E"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Calibri" w:hAnsi="Calibri"/>
                <w:color w:val="000000" w:themeColor="text1"/>
                <w:sz w:val="18"/>
                <w:szCs w:val="18"/>
                <w:lang w:eastAsia="en-GB"/>
              </w:rPr>
              <w:t>3</w:t>
            </w:r>
          </w:p>
        </w:tc>
        <w:tc>
          <w:tcPr>
            <w:tcW w:w="7255" w:type="dxa"/>
            <w:shd w:val="clear" w:color="auto" w:fill="auto"/>
            <w:vAlign w:val="center"/>
          </w:tcPr>
          <w:p w14:paraId="354E165E" w14:textId="77777777" w:rsidR="00935B67" w:rsidRPr="00A6034C" w:rsidRDefault="00935B67" w:rsidP="00935B67">
            <w:pPr>
              <w:jc w:val="left"/>
              <w:rPr>
                <w:rFonts w:asciiTheme="minorHAnsi" w:hAnsiTheme="minorHAnsi"/>
                <w:color w:val="000000"/>
                <w:sz w:val="18"/>
                <w:szCs w:val="18"/>
                <w:lang w:eastAsia="en-GB"/>
              </w:rPr>
            </w:pPr>
            <w:r w:rsidRPr="00A6034C">
              <w:rPr>
                <w:rFonts w:ascii="Calibri" w:hAnsi="Calibri"/>
                <w:color w:val="000000" w:themeColor="text1"/>
                <w:sz w:val="18"/>
                <w:szCs w:val="18"/>
                <w:lang w:eastAsia="en-GB"/>
              </w:rPr>
              <w:t>Evaluation of potential corrosion on CC piping in RB; Systems / functions: CC piping in RB; Risk / DOD significance: TL.</w:t>
            </w:r>
          </w:p>
        </w:tc>
        <w:tc>
          <w:tcPr>
            <w:tcW w:w="1873" w:type="dxa"/>
          </w:tcPr>
          <w:p w14:paraId="0FBCDA82" w14:textId="77777777" w:rsidR="00935B67" w:rsidRPr="00A6034C" w:rsidRDefault="00935B67" w:rsidP="00935B67">
            <w:pPr>
              <w:jc w:val="left"/>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4.3.2</w:t>
            </w:r>
          </w:p>
        </w:tc>
        <w:tc>
          <w:tcPr>
            <w:tcW w:w="2119" w:type="dxa"/>
          </w:tcPr>
          <w:p w14:paraId="5B177635" w14:textId="77777777" w:rsidR="00935B67" w:rsidRPr="00A6034C" w:rsidRDefault="00935B67" w:rsidP="00935B67">
            <w:pPr>
              <w:jc w:val="left"/>
              <w:rPr>
                <w:rFonts w:asciiTheme="minorHAnsi" w:hAnsiTheme="minorHAnsi"/>
                <w:bCs/>
                <w:sz w:val="18"/>
                <w:szCs w:val="18"/>
                <w:lang w:eastAsia="en-GB"/>
              </w:rPr>
            </w:pPr>
            <w:r w:rsidRPr="00A6034C">
              <w:rPr>
                <w:rFonts w:asciiTheme="minorHAnsi" w:hAnsiTheme="minorHAnsi"/>
                <w:bCs/>
                <w:sz w:val="18"/>
                <w:szCs w:val="18"/>
                <w:lang w:eastAsia="en-GB"/>
              </w:rPr>
              <w:t>Time implementation: II</w:t>
            </w:r>
          </w:p>
        </w:tc>
      </w:tr>
      <w:tr w:rsidR="00935B67" w:rsidRPr="00275FBD" w14:paraId="2C10159B" w14:textId="77777777" w:rsidTr="00935B67">
        <w:trPr>
          <w:trHeight w:val="559"/>
        </w:trPr>
        <w:tc>
          <w:tcPr>
            <w:tcW w:w="1418" w:type="dxa"/>
            <w:shd w:val="clear" w:color="auto" w:fill="auto"/>
            <w:noWrap/>
          </w:tcPr>
          <w:p w14:paraId="68D114D2"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1.1-004</w:t>
            </w:r>
          </w:p>
        </w:tc>
        <w:tc>
          <w:tcPr>
            <w:tcW w:w="714" w:type="dxa"/>
            <w:shd w:val="clear" w:color="auto" w:fill="auto"/>
          </w:tcPr>
          <w:p w14:paraId="3818A94F"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2524208E"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3</w:t>
            </w:r>
          </w:p>
        </w:tc>
        <w:tc>
          <w:tcPr>
            <w:tcW w:w="7255" w:type="dxa"/>
            <w:shd w:val="clear" w:color="auto" w:fill="auto"/>
          </w:tcPr>
          <w:p w14:paraId="7601ADCA"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No redundant PORV on the steam lines to cope with stuck closed PORV during a SGTR accident. Detailed review is needed.</w:t>
            </w:r>
          </w:p>
        </w:tc>
        <w:tc>
          <w:tcPr>
            <w:tcW w:w="1873" w:type="dxa"/>
          </w:tcPr>
          <w:p w14:paraId="39752627"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4.1.2</w:t>
            </w:r>
          </w:p>
        </w:tc>
        <w:tc>
          <w:tcPr>
            <w:tcW w:w="2119" w:type="dxa"/>
          </w:tcPr>
          <w:p w14:paraId="5E45851A"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075CFDAC" w14:textId="77777777" w:rsidTr="00935B67">
        <w:trPr>
          <w:trHeight w:val="559"/>
        </w:trPr>
        <w:tc>
          <w:tcPr>
            <w:tcW w:w="1418" w:type="dxa"/>
            <w:shd w:val="clear" w:color="auto" w:fill="auto"/>
            <w:noWrap/>
          </w:tcPr>
          <w:p w14:paraId="0019A903"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1.1-094</w:t>
            </w:r>
          </w:p>
        </w:tc>
        <w:tc>
          <w:tcPr>
            <w:tcW w:w="714" w:type="dxa"/>
            <w:shd w:val="clear" w:color="auto" w:fill="auto"/>
          </w:tcPr>
          <w:p w14:paraId="7375996D"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018BD36E"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2</w:t>
            </w:r>
          </w:p>
        </w:tc>
        <w:tc>
          <w:tcPr>
            <w:tcW w:w="7255" w:type="dxa"/>
            <w:shd w:val="clear" w:color="auto" w:fill="auto"/>
          </w:tcPr>
          <w:p w14:paraId="6C3AC234"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color w:val="000000"/>
                <w:sz w:val="18"/>
                <w:szCs w:val="18"/>
                <w:lang w:eastAsia="en-GB"/>
              </w:rPr>
              <w:t>IAEA SSG 15 requirements 5.23, NEK should include in USAR justification and hypothesis related to the impact of transfer of casks between unit and DSB in the calculation of dose site boundaries. Detailed review is needed.</w:t>
            </w:r>
          </w:p>
          <w:p w14:paraId="25393B48" w14:textId="77777777" w:rsidR="00935B67" w:rsidRPr="00A6034C" w:rsidRDefault="00935B67" w:rsidP="00935B67">
            <w:pPr>
              <w:jc w:val="left"/>
              <w:rPr>
                <w:rFonts w:asciiTheme="minorHAnsi" w:hAnsiTheme="minorHAnsi"/>
                <w:color w:val="000000"/>
                <w:sz w:val="18"/>
                <w:szCs w:val="18"/>
                <w:lang w:eastAsia="en-GB"/>
              </w:rPr>
            </w:pPr>
          </w:p>
        </w:tc>
        <w:tc>
          <w:tcPr>
            <w:tcW w:w="1873" w:type="dxa"/>
          </w:tcPr>
          <w:p w14:paraId="1FA3F7E0"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4.1.2</w:t>
            </w:r>
          </w:p>
        </w:tc>
        <w:tc>
          <w:tcPr>
            <w:tcW w:w="2119" w:type="dxa"/>
          </w:tcPr>
          <w:p w14:paraId="7069011F"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III</w:t>
            </w:r>
          </w:p>
        </w:tc>
      </w:tr>
      <w:tr w:rsidR="00935B67" w:rsidRPr="00275FBD" w14:paraId="29FD9F3F" w14:textId="77777777" w:rsidTr="00935B67">
        <w:trPr>
          <w:trHeight w:val="559"/>
        </w:trPr>
        <w:tc>
          <w:tcPr>
            <w:tcW w:w="1418" w:type="dxa"/>
            <w:shd w:val="clear" w:color="auto" w:fill="auto"/>
            <w:noWrap/>
          </w:tcPr>
          <w:p w14:paraId="157C6942"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2.1-001</w:t>
            </w:r>
          </w:p>
        </w:tc>
        <w:tc>
          <w:tcPr>
            <w:tcW w:w="714" w:type="dxa"/>
            <w:shd w:val="clear" w:color="auto" w:fill="auto"/>
          </w:tcPr>
          <w:p w14:paraId="60DEBE2D"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5C329CD6"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1,2,3</w:t>
            </w:r>
          </w:p>
        </w:tc>
        <w:tc>
          <w:tcPr>
            <w:tcW w:w="7255" w:type="dxa"/>
            <w:shd w:val="clear" w:color="auto" w:fill="auto"/>
          </w:tcPr>
          <w:p w14:paraId="1CB7AB71" w14:textId="77777777" w:rsidR="00935B67" w:rsidRPr="00A6034C" w:rsidRDefault="00935B67" w:rsidP="00935B67">
            <w:pPr>
              <w:jc w:val="left"/>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SGTR analyses per new methodology should be considered. Detailed review is needed.</w:t>
            </w:r>
          </w:p>
        </w:tc>
        <w:tc>
          <w:tcPr>
            <w:tcW w:w="1873" w:type="dxa"/>
          </w:tcPr>
          <w:p w14:paraId="4D38BE87"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4.1.2</w:t>
            </w:r>
          </w:p>
        </w:tc>
        <w:tc>
          <w:tcPr>
            <w:tcW w:w="2119" w:type="dxa"/>
          </w:tcPr>
          <w:p w14:paraId="14F22EE4"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74F636D3" w14:textId="77777777" w:rsidTr="00935B67">
        <w:trPr>
          <w:trHeight w:val="559"/>
        </w:trPr>
        <w:tc>
          <w:tcPr>
            <w:tcW w:w="1418" w:type="dxa"/>
            <w:shd w:val="clear" w:color="auto" w:fill="auto"/>
            <w:noWrap/>
          </w:tcPr>
          <w:p w14:paraId="01D2F321" w14:textId="77777777" w:rsidR="00935B67" w:rsidRPr="00A6034C" w:rsidRDefault="00935B67" w:rsidP="00935B67">
            <w:pPr>
              <w:jc w:val="center"/>
              <w:rPr>
                <w:rFonts w:asciiTheme="minorHAnsi" w:hAnsiTheme="minorHAnsi"/>
                <w:color w:val="000000"/>
                <w:sz w:val="18"/>
                <w:szCs w:val="18"/>
                <w:lang w:eastAsia="en-GB"/>
              </w:rPr>
            </w:pPr>
            <w:r w:rsidRPr="00A6034C">
              <w:rPr>
                <w:rFonts w:asciiTheme="minorHAnsi" w:hAnsiTheme="minorHAnsi"/>
                <w:color w:val="000000" w:themeColor="text1"/>
                <w:sz w:val="18"/>
                <w:szCs w:val="18"/>
                <w:lang w:eastAsia="en-GB"/>
              </w:rPr>
              <w:t>PSR3 2.1-014</w:t>
            </w:r>
          </w:p>
        </w:tc>
        <w:tc>
          <w:tcPr>
            <w:tcW w:w="714" w:type="dxa"/>
            <w:shd w:val="clear" w:color="auto" w:fill="auto"/>
          </w:tcPr>
          <w:p w14:paraId="14C5F828"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H</w:t>
            </w:r>
          </w:p>
        </w:tc>
        <w:tc>
          <w:tcPr>
            <w:tcW w:w="1020" w:type="dxa"/>
            <w:shd w:val="clear" w:color="auto" w:fill="auto"/>
          </w:tcPr>
          <w:p w14:paraId="09CDCEBC" w14:textId="77777777" w:rsidR="00935B67" w:rsidRPr="00A6034C" w:rsidRDefault="00935B67" w:rsidP="00935B67">
            <w:pPr>
              <w:jc w:val="center"/>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3,5</w:t>
            </w:r>
          </w:p>
        </w:tc>
        <w:tc>
          <w:tcPr>
            <w:tcW w:w="7255" w:type="dxa"/>
            <w:shd w:val="clear" w:color="auto" w:fill="auto"/>
          </w:tcPr>
          <w:p w14:paraId="3780AF41" w14:textId="77777777" w:rsidR="00935B67" w:rsidRPr="00A6034C" w:rsidRDefault="00935B67" w:rsidP="00935B67">
            <w:pPr>
              <w:jc w:val="left"/>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 xml:space="preserve">Integrated risk informed </w:t>
            </w:r>
            <w:proofErr w:type="gramStart"/>
            <w:r w:rsidRPr="00A6034C">
              <w:rPr>
                <w:rFonts w:asciiTheme="minorHAnsi" w:hAnsiTheme="minorHAnsi"/>
                <w:color w:val="000000" w:themeColor="text1"/>
                <w:sz w:val="18"/>
                <w:szCs w:val="18"/>
                <w:lang w:eastAsia="en-GB"/>
              </w:rPr>
              <w:t>decision making</w:t>
            </w:r>
            <w:proofErr w:type="gramEnd"/>
            <w:r w:rsidRPr="00A6034C">
              <w:rPr>
                <w:rFonts w:asciiTheme="minorHAnsi" w:hAnsiTheme="minorHAnsi"/>
                <w:color w:val="000000" w:themeColor="text1"/>
                <w:sz w:val="18"/>
                <w:szCs w:val="18"/>
                <w:lang w:eastAsia="en-GB"/>
              </w:rPr>
              <w:t xml:space="preserve"> process: there is no evidence in the licensing documents that NEK uses integrated risk informed decision making process. Detailed review is needed.</w:t>
            </w:r>
          </w:p>
        </w:tc>
        <w:tc>
          <w:tcPr>
            <w:tcW w:w="1873" w:type="dxa"/>
          </w:tcPr>
          <w:p w14:paraId="5ED029DA"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4.1.2</w:t>
            </w:r>
          </w:p>
        </w:tc>
        <w:tc>
          <w:tcPr>
            <w:tcW w:w="2119" w:type="dxa"/>
          </w:tcPr>
          <w:p w14:paraId="72E276D8"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III</w:t>
            </w:r>
          </w:p>
        </w:tc>
      </w:tr>
      <w:tr w:rsidR="00935B67" w:rsidRPr="00275FBD" w14:paraId="23D6F877" w14:textId="77777777" w:rsidTr="00935B67">
        <w:trPr>
          <w:trHeight w:val="559"/>
        </w:trPr>
        <w:tc>
          <w:tcPr>
            <w:tcW w:w="1418" w:type="dxa"/>
            <w:shd w:val="clear" w:color="auto" w:fill="auto"/>
            <w:noWrap/>
          </w:tcPr>
          <w:p w14:paraId="24A22E52"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lastRenderedPageBreak/>
              <w:t>PSR3 SNSA-FPSA-1</w:t>
            </w:r>
          </w:p>
        </w:tc>
        <w:tc>
          <w:tcPr>
            <w:tcW w:w="714" w:type="dxa"/>
            <w:shd w:val="clear" w:color="auto" w:fill="auto"/>
          </w:tcPr>
          <w:p w14:paraId="7CD7C864"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7D2FA4E7"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1,2,3</w:t>
            </w:r>
          </w:p>
        </w:tc>
        <w:tc>
          <w:tcPr>
            <w:tcW w:w="7255" w:type="dxa"/>
            <w:shd w:val="clear" w:color="auto" w:fill="auto"/>
          </w:tcPr>
          <w:p w14:paraId="27D6266F" w14:textId="77777777" w:rsidR="00935B67" w:rsidRPr="00A6034C" w:rsidRDefault="00935B67" w:rsidP="00935B67">
            <w:pPr>
              <w:jc w:val="left"/>
              <w:rPr>
                <w:rFonts w:asciiTheme="minorHAnsi" w:hAnsiTheme="minorHAnsi"/>
                <w:color w:val="000000"/>
                <w:sz w:val="18"/>
                <w:szCs w:val="18"/>
              </w:rPr>
            </w:pPr>
            <w:r w:rsidRPr="00A6034C">
              <w:rPr>
                <w:rFonts w:asciiTheme="minorHAnsi" w:hAnsiTheme="minorHAnsi"/>
                <w:color w:val="000000"/>
                <w:sz w:val="18"/>
                <w:szCs w:val="18"/>
              </w:rPr>
              <w:t>Fire PSA Update is needed:</w:t>
            </w:r>
            <w:r w:rsidRPr="00A6034C">
              <w:rPr>
                <w:rFonts w:asciiTheme="minorHAnsi" w:hAnsiTheme="minorHAnsi"/>
                <w:color w:val="000000"/>
                <w:sz w:val="18"/>
                <w:szCs w:val="18"/>
              </w:rPr>
              <w:br/>
              <w:t>- Human Reliability Analysis</w:t>
            </w:r>
            <w:r w:rsidRPr="00A6034C">
              <w:rPr>
                <w:rFonts w:asciiTheme="minorHAnsi" w:hAnsiTheme="minorHAnsi"/>
                <w:color w:val="000000"/>
                <w:sz w:val="18"/>
                <w:szCs w:val="18"/>
              </w:rPr>
              <w:br/>
              <w:t>- MCR Abandonment Scenario</w:t>
            </w:r>
            <w:r w:rsidRPr="00A6034C">
              <w:rPr>
                <w:rFonts w:asciiTheme="minorHAnsi" w:hAnsiTheme="minorHAnsi"/>
                <w:color w:val="000000"/>
                <w:sz w:val="18"/>
                <w:szCs w:val="18"/>
              </w:rPr>
              <w:br/>
              <w:t>- Multiple Spurious Operations Scenarios and Hot Short Probabilities</w:t>
            </w:r>
            <w:r w:rsidRPr="00A6034C">
              <w:rPr>
                <w:rFonts w:asciiTheme="minorHAnsi" w:hAnsiTheme="minorHAnsi"/>
                <w:color w:val="000000"/>
                <w:sz w:val="18"/>
                <w:szCs w:val="18"/>
              </w:rPr>
              <w:br/>
              <w:t>- Ignition Frequencies Determination</w:t>
            </w:r>
            <w:r w:rsidRPr="00A6034C">
              <w:rPr>
                <w:rFonts w:asciiTheme="minorHAnsi" w:hAnsiTheme="minorHAnsi"/>
                <w:color w:val="000000"/>
                <w:sz w:val="18"/>
                <w:szCs w:val="18"/>
              </w:rPr>
              <w:br/>
              <w:t>- Quantification and Interpretation of Results</w:t>
            </w:r>
            <w:r w:rsidRPr="00A6034C">
              <w:rPr>
                <w:rFonts w:asciiTheme="minorHAnsi" w:hAnsiTheme="minorHAnsi"/>
                <w:color w:val="000000"/>
                <w:sz w:val="18"/>
                <w:szCs w:val="18"/>
              </w:rPr>
              <w:br/>
              <w:t>- Cable Selection and Circuit Analysis</w:t>
            </w:r>
            <w:r w:rsidRPr="00A6034C">
              <w:rPr>
                <w:rFonts w:asciiTheme="minorHAnsi" w:hAnsiTheme="minorHAnsi"/>
                <w:color w:val="000000"/>
                <w:sz w:val="18"/>
                <w:szCs w:val="18"/>
              </w:rPr>
              <w:br/>
              <w:t>- Fire Modelling - Level 2</w:t>
            </w:r>
          </w:p>
        </w:tc>
        <w:tc>
          <w:tcPr>
            <w:tcW w:w="1873" w:type="dxa"/>
          </w:tcPr>
          <w:p w14:paraId="5D8D352F"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color w:val="000000" w:themeColor="text1"/>
                <w:sz w:val="18"/>
                <w:szCs w:val="18"/>
                <w:lang w:eastAsia="en-GB"/>
              </w:rPr>
              <w:t>4.1.2</w:t>
            </w:r>
          </w:p>
        </w:tc>
        <w:tc>
          <w:tcPr>
            <w:tcW w:w="2119" w:type="dxa"/>
          </w:tcPr>
          <w:p w14:paraId="0D3E2325"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III</w:t>
            </w:r>
          </w:p>
        </w:tc>
      </w:tr>
      <w:tr w:rsidR="00935B67" w:rsidRPr="00275FBD" w14:paraId="63D931AB" w14:textId="77777777" w:rsidTr="00935B67">
        <w:trPr>
          <w:trHeight w:val="559"/>
        </w:trPr>
        <w:tc>
          <w:tcPr>
            <w:tcW w:w="14399" w:type="dxa"/>
            <w:gridSpan w:val="6"/>
            <w:shd w:val="clear" w:color="auto" w:fill="auto"/>
            <w:noWrap/>
          </w:tcPr>
          <w:p w14:paraId="0906C5A6"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
                <w:bCs/>
                <w:sz w:val="22"/>
                <w:szCs w:val="22"/>
                <w:lang w:eastAsia="en-GB"/>
              </w:rPr>
              <w:t>“SF” Issues</w:t>
            </w:r>
          </w:p>
        </w:tc>
      </w:tr>
      <w:tr w:rsidR="00935B67" w:rsidRPr="00275FBD" w14:paraId="67A21895" w14:textId="77777777" w:rsidTr="00935B67">
        <w:trPr>
          <w:trHeight w:val="559"/>
        </w:trPr>
        <w:tc>
          <w:tcPr>
            <w:tcW w:w="1418" w:type="dxa"/>
            <w:shd w:val="clear" w:color="auto" w:fill="auto"/>
            <w:noWrap/>
          </w:tcPr>
          <w:p w14:paraId="1E534816"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PSR3 1.1-105</w:t>
            </w:r>
          </w:p>
        </w:tc>
        <w:tc>
          <w:tcPr>
            <w:tcW w:w="714" w:type="dxa"/>
            <w:shd w:val="clear" w:color="auto" w:fill="auto"/>
          </w:tcPr>
          <w:p w14:paraId="7C013B19"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L</w:t>
            </w:r>
          </w:p>
        </w:tc>
        <w:tc>
          <w:tcPr>
            <w:tcW w:w="1020" w:type="dxa"/>
            <w:shd w:val="clear" w:color="auto" w:fill="auto"/>
          </w:tcPr>
          <w:p w14:paraId="56451662"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4,5</w:t>
            </w:r>
          </w:p>
        </w:tc>
        <w:tc>
          <w:tcPr>
            <w:tcW w:w="7255" w:type="dxa"/>
            <w:shd w:val="clear" w:color="auto" w:fill="auto"/>
          </w:tcPr>
          <w:p w14:paraId="33788173"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b/>
                <w:bCs/>
                <w:color w:val="000000" w:themeColor="text1"/>
                <w:sz w:val="18"/>
                <w:szCs w:val="18"/>
                <w:lang w:eastAsia="en-GB"/>
              </w:rPr>
              <w:t>PSR2-1.1-09: RG 1.47</w:t>
            </w:r>
            <w:r w:rsidRPr="00A6034C">
              <w:rPr>
                <w:rFonts w:asciiTheme="minorHAnsi" w:hAnsiTheme="minorHAnsi"/>
                <w:color w:val="000000" w:themeColor="text1"/>
                <w:sz w:val="18"/>
                <w:szCs w:val="18"/>
                <w:lang w:eastAsia="en-GB"/>
              </w:rPr>
              <w:br/>
              <w:t>USAR Appendix 3A does not reflect the discussion and compliance provided in RCP3 Section 4.1 Item 83, and therefore should be updated accordingly.</w:t>
            </w:r>
            <w:r w:rsidRPr="00A6034C">
              <w:rPr>
                <w:rFonts w:asciiTheme="minorHAnsi" w:hAnsiTheme="minorHAnsi"/>
                <w:color w:val="000000" w:themeColor="text1"/>
                <w:sz w:val="18"/>
                <w:szCs w:val="18"/>
                <w:lang w:eastAsia="en-GB"/>
              </w:rPr>
              <w:br/>
              <w:t>USAR update issue from PSR2. Non-accordance with plant-specific documents.</w:t>
            </w:r>
          </w:p>
        </w:tc>
        <w:tc>
          <w:tcPr>
            <w:tcW w:w="1873" w:type="dxa"/>
          </w:tcPr>
          <w:p w14:paraId="310AD612" w14:textId="77777777" w:rsidR="00935B67" w:rsidRPr="00A6034C" w:rsidRDefault="00935B67" w:rsidP="00935B67">
            <w:pPr>
              <w:jc w:val="left"/>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4.3.3</w:t>
            </w:r>
          </w:p>
        </w:tc>
        <w:tc>
          <w:tcPr>
            <w:tcW w:w="2119" w:type="dxa"/>
          </w:tcPr>
          <w:p w14:paraId="07C33A59"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53AF4AB1" w14:textId="77777777" w:rsidTr="00935B67">
        <w:trPr>
          <w:trHeight w:val="559"/>
        </w:trPr>
        <w:tc>
          <w:tcPr>
            <w:tcW w:w="1418" w:type="dxa"/>
            <w:shd w:val="clear" w:color="auto" w:fill="auto"/>
            <w:noWrap/>
          </w:tcPr>
          <w:p w14:paraId="50960B6E"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PSR3 1.1-107</w:t>
            </w:r>
          </w:p>
        </w:tc>
        <w:tc>
          <w:tcPr>
            <w:tcW w:w="714" w:type="dxa"/>
            <w:shd w:val="clear" w:color="auto" w:fill="auto"/>
          </w:tcPr>
          <w:p w14:paraId="27416C1B"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L</w:t>
            </w:r>
          </w:p>
        </w:tc>
        <w:tc>
          <w:tcPr>
            <w:tcW w:w="1020" w:type="dxa"/>
            <w:shd w:val="clear" w:color="auto" w:fill="auto"/>
          </w:tcPr>
          <w:p w14:paraId="13DD05ED"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4,5</w:t>
            </w:r>
          </w:p>
        </w:tc>
        <w:tc>
          <w:tcPr>
            <w:tcW w:w="7255" w:type="dxa"/>
            <w:shd w:val="clear" w:color="auto" w:fill="auto"/>
          </w:tcPr>
          <w:p w14:paraId="21391ED4"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b/>
                <w:bCs/>
                <w:color w:val="000000" w:themeColor="text1"/>
                <w:sz w:val="18"/>
                <w:szCs w:val="18"/>
                <w:lang w:eastAsia="en-GB"/>
              </w:rPr>
              <w:t>PSR2-1.1-18: UHS operational limits/conditions changes</w:t>
            </w:r>
            <w:r w:rsidRPr="00A6034C">
              <w:rPr>
                <w:rFonts w:asciiTheme="minorHAnsi" w:hAnsiTheme="minorHAnsi"/>
                <w:b/>
                <w:bCs/>
                <w:color w:val="000000" w:themeColor="text1"/>
                <w:sz w:val="18"/>
                <w:szCs w:val="18"/>
                <w:lang w:eastAsia="en-GB"/>
              </w:rPr>
              <w:br/>
            </w:r>
            <w:r w:rsidRPr="00A6034C">
              <w:rPr>
                <w:rFonts w:asciiTheme="minorHAnsi" w:hAnsiTheme="minorHAnsi"/>
                <w:color w:val="000000" w:themeColor="text1"/>
                <w:sz w:val="18"/>
                <w:szCs w:val="18"/>
                <w:lang w:eastAsia="en-GB"/>
              </w:rPr>
              <w:t>SAR section 9.2.5.1 should include temperature limits, since they are already described in section 9.2.1.1 and TS LCO 3.7.5, in accordance with UCP-08-029 which is not yet incorporated.</w:t>
            </w:r>
            <w:r w:rsidRPr="00A6034C">
              <w:rPr>
                <w:rFonts w:asciiTheme="minorHAnsi" w:hAnsiTheme="minorHAnsi"/>
                <w:color w:val="000000" w:themeColor="text1"/>
                <w:sz w:val="18"/>
                <w:szCs w:val="18"/>
                <w:lang w:eastAsia="en-GB"/>
              </w:rPr>
              <w:br/>
              <w:t>USAR update issue from PSR2. Non-accordance with plant-specific documents.</w:t>
            </w:r>
          </w:p>
        </w:tc>
        <w:tc>
          <w:tcPr>
            <w:tcW w:w="1873" w:type="dxa"/>
          </w:tcPr>
          <w:p w14:paraId="27607AAB" w14:textId="77777777" w:rsidR="00935B67" w:rsidRPr="00A6034C" w:rsidRDefault="00935B67" w:rsidP="00935B67">
            <w:pPr>
              <w:jc w:val="left"/>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4.3.3</w:t>
            </w:r>
          </w:p>
        </w:tc>
        <w:tc>
          <w:tcPr>
            <w:tcW w:w="2119" w:type="dxa"/>
          </w:tcPr>
          <w:p w14:paraId="3B4EA8D2"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47059B07" w14:textId="77777777" w:rsidTr="00935B67">
        <w:trPr>
          <w:trHeight w:val="559"/>
        </w:trPr>
        <w:tc>
          <w:tcPr>
            <w:tcW w:w="1418" w:type="dxa"/>
            <w:shd w:val="clear" w:color="auto" w:fill="auto"/>
            <w:noWrap/>
          </w:tcPr>
          <w:p w14:paraId="06D1504E" w14:textId="77777777" w:rsidR="00935B67" w:rsidRPr="00A6034C" w:rsidRDefault="00935B67" w:rsidP="00935B67">
            <w:pPr>
              <w:jc w:val="center"/>
              <w:rPr>
                <w:rFonts w:asciiTheme="minorHAnsi" w:hAnsiTheme="minorHAnsi"/>
                <w:color w:val="000000" w:themeColor="text1"/>
                <w:sz w:val="18"/>
                <w:szCs w:val="18"/>
                <w:lang w:eastAsia="en-GB"/>
              </w:rPr>
            </w:pPr>
            <w:bookmarkStart w:id="179" w:name="_Hlk138004826"/>
            <w:r w:rsidRPr="00A6034C">
              <w:rPr>
                <w:rFonts w:asciiTheme="minorHAnsi" w:hAnsiTheme="minorHAnsi"/>
                <w:color w:val="000000" w:themeColor="text1"/>
                <w:sz w:val="18"/>
                <w:szCs w:val="18"/>
                <w:lang w:eastAsia="en-GB"/>
              </w:rPr>
              <w:t>PSR3 1.3-010</w:t>
            </w:r>
          </w:p>
        </w:tc>
        <w:tc>
          <w:tcPr>
            <w:tcW w:w="714" w:type="dxa"/>
            <w:shd w:val="clear" w:color="auto" w:fill="auto"/>
          </w:tcPr>
          <w:p w14:paraId="2702784F"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24CE3C7A"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4, 5</w:t>
            </w:r>
          </w:p>
        </w:tc>
        <w:tc>
          <w:tcPr>
            <w:tcW w:w="7255" w:type="dxa"/>
            <w:shd w:val="clear" w:color="auto" w:fill="auto"/>
          </w:tcPr>
          <w:p w14:paraId="16F2DCA1" w14:textId="37D8FF48"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b/>
                <w:bCs/>
                <w:color w:val="000000" w:themeColor="text1"/>
                <w:sz w:val="18"/>
                <w:szCs w:val="18"/>
                <w:lang w:eastAsia="en-GB"/>
              </w:rPr>
              <w:t>PI for qualification program</w:t>
            </w:r>
            <w:r w:rsidRPr="00A6034C">
              <w:rPr>
                <w:rFonts w:asciiTheme="minorHAnsi" w:hAnsiTheme="minorHAnsi"/>
                <w:color w:val="000000" w:themeColor="text1"/>
                <w:sz w:val="18"/>
                <w:szCs w:val="18"/>
                <w:lang w:eastAsia="en-GB"/>
              </w:rPr>
              <w:br/>
              <w:t>Performance indicators are missing in programs ED-17 and ED-19. Performance indicators should be established for all qualification programs.</w:t>
            </w:r>
          </w:p>
        </w:tc>
        <w:tc>
          <w:tcPr>
            <w:tcW w:w="1873" w:type="dxa"/>
          </w:tcPr>
          <w:p w14:paraId="7E06CAD3" w14:textId="77777777" w:rsidR="00935B67" w:rsidRPr="00A6034C" w:rsidRDefault="00935B67" w:rsidP="00935B67">
            <w:pPr>
              <w:jc w:val="left"/>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4.3.3</w:t>
            </w:r>
          </w:p>
        </w:tc>
        <w:tc>
          <w:tcPr>
            <w:tcW w:w="2119" w:type="dxa"/>
          </w:tcPr>
          <w:p w14:paraId="65A005A6"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bookmarkEnd w:id="179"/>
      <w:tr w:rsidR="00935B67" w:rsidRPr="00275FBD" w14:paraId="0BD03624" w14:textId="77777777" w:rsidTr="00935B67">
        <w:trPr>
          <w:trHeight w:val="559"/>
        </w:trPr>
        <w:tc>
          <w:tcPr>
            <w:tcW w:w="1418" w:type="dxa"/>
            <w:shd w:val="clear" w:color="auto" w:fill="auto"/>
            <w:noWrap/>
          </w:tcPr>
          <w:p w14:paraId="3D1940B2"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PSR3 3.1-007</w:t>
            </w:r>
          </w:p>
        </w:tc>
        <w:tc>
          <w:tcPr>
            <w:tcW w:w="714" w:type="dxa"/>
            <w:shd w:val="clear" w:color="auto" w:fill="auto"/>
          </w:tcPr>
          <w:p w14:paraId="0CD3CEC0"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34AF464F"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4,5</w:t>
            </w:r>
          </w:p>
        </w:tc>
        <w:tc>
          <w:tcPr>
            <w:tcW w:w="7255" w:type="dxa"/>
            <w:shd w:val="clear" w:color="auto" w:fill="auto"/>
          </w:tcPr>
          <w:p w14:paraId="43292522" w14:textId="77777777" w:rsidR="00935B67" w:rsidRPr="00A6034C" w:rsidRDefault="00935B67" w:rsidP="00935B67">
            <w:pPr>
              <w:jc w:val="left"/>
              <w:rPr>
                <w:rFonts w:asciiTheme="minorHAnsi" w:hAnsiTheme="minorHAnsi"/>
                <w:color w:val="000000" w:themeColor="text1"/>
                <w:sz w:val="18"/>
                <w:szCs w:val="18"/>
                <w:lang w:eastAsia="en-GB"/>
              </w:rPr>
            </w:pPr>
            <w:r w:rsidRPr="00A6034C">
              <w:rPr>
                <w:rFonts w:asciiTheme="minorHAnsi" w:hAnsiTheme="minorHAnsi"/>
                <w:b/>
                <w:bCs/>
                <w:color w:val="000000" w:themeColor="text1"/>
                <w:sz w:val="18"/>
                <w:szCs w:val="18"/>
                <w:lang w:eastAsia="en-GB"/>
              </w:rPr>
              <w:t>TOP inadequately completed</w:t>
            </w:r>
            <w:r w:rsidRPr="00A6034C">
              <w:rPr>
                <w:rFonts w:asciiTheme="minorHAnsi" w:hAnsiTheme="minorHAnsi"/>
                <w:color w:val="000000" w:themeColor="text1"/>
                <w:sz w:val="18"/>
                <w:szCs w:val="18"/>
                <w:lang w:eastAsia="en-GB"/>
              </w:rPr>
              <w:t>: TOP documentation needed for guaranteeing completeness of the plant configuration is not collected, submitted and recorded.</w:t>
            </w:r>
          </w:p>
        </w:tc>
        <w:tc>
          <w:tcPr>
            <w:tcW w:w="1873" w:type="dxa"/>
          </w:tcPr>
          <w:p w14:paraId="1C825A6D" w14:textId="77777777" w:rsidR="00935B67" w:rsidRPr="00A6034C" w:rsidRDefault="00935B67" w:rsidP="00935B67">
            <w:pPr>
              <w:jc w:val="left"/>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4.3.3</w:t>
            </w:r>
          </w:p>
        </w:tc>
        <w:tc>
          <w:tcPr>
            <w:tcW w:w="2119" w:type="dxa"/>
          </w:tcPr>
          <w:p w14:paraId="4FD3CF9A"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III</w:t>
            </w:r>
          </w:p>
        </w:tc>
      </w:tr>
      <w:tr w:rsidR="00935B67" w:rsidRPr="00275FBD" w14:paraId="3560B82F" w14:textId="77777777" w:rsidTr="00935B67">
        <w:trPr>
          <w:trHeight w:val="559"/>
        </w:trPr>
        <w:tc>
          <w:tcPr>
            <w:tcW w:w="1418" w:type="dxa"/>
            <w:shd w:val="clear" w:color="auto" w:fill="auto"/>
            <w:noWrap/>
          </w:tcPr>
          <w:p w14:paraId="4DB9CBD5"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PSR3 3.2-003</w:t>
            </w:r>
          </w:p>
        </w:tc>
        <w:tc>
          <w:tcPr>
            <w:tcW w:w="714" w:type="dxa"/>
            <w:shd w:val="clear" w:color="auto" w:fill="auto"/>
          </w:tcPr>
          <w:p w14:paraId="6BCD9287"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487B3150"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5</w:t>
            </w:r>
          </w:p>
        </w:tc>
        <w:tc>
          <w:tcPr>
            <w:tcW w:w="7255" w:type="dxa"/>
            <w:shd w:val="clear" w:color="auto" w:fill="auto"/>
          </w:tcPr>
          <w:p w14:paraId="391FB609"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b/>
                <w:bCs/>
                <w:color w:val="000000" w:themeColor="text1"/>
                <w:sz w:val="18"/>
                <w:szCs w:val="18"/>
                <w:lang w:eastAsia="en-GB"/>
              </w:rPr>
              <w:t>NEK Technical Specifications inconsistency with JV9 regarding ISEG engineer competence.</w:t>
            </w:r>
            <w:r w:rsidRPr="00A6034C">
              <w:rPr>
                <w:rFonts w:asciiTheme="minorHAnsi" w:hAnsiTheme="minorHAnsi"/>
                <w:color w:val="000000" w:themeColor="text1"/>
                <w:sz w:val="18"/>
                <w:szCs w:val="18"/>
                <w:lang w:eastAsia="en-GB"/>
              </w:rPr>
              <w:t xml:space="preserve">  Update requirements defined in NEK Tech. Specs. In order to be in line with requirements set forth in JV9 Article 12 (5).</w:t>
            </w:r>
            <w:r w:rsidRPr="00A6034C">
              <w:rPr>
                <w:rFonts w:asciiTheme="minorHAnsi" w:hAnsiTheme="minorHAnsi"/>
                <w:color w:val="000000" w:themeColor="text1"/>
                <w:sz w:val="18"/>
                <w:szCs w:val="18"/>
                <w:lang w:eastAsia="en-GB"/>
              </w:rPr>
              <w:br/>
            </w:r>
            <w:r w:rsidRPr="00A6034C">
              <w:rPr>
                <w:rFonts w:asciiTheme="minorHAnsi" w:hAnsiTheme="minorHAnsi"/>
                <w:color w:val="000000" w:themeColor="text1"/>
                <w:sz w:val="18"/>
                <w:szCs w:val="18"/>
                <w:lang w:eastAsia="en-GB"/>
              </w:rPr>
              <w:lastRenderedPageBreak/>
              <w:t>ISEG engineer competence may affect his recognition of relevant operational events or conditions. Also, non-compliance to JV9 needs to be resolved.</w:t>
            </w:r>
          </w:p>
        </w:tc>
        <w:tc>
          <w:tcPr>
            <w:tcW w:w="1873" w:type="dxa"/>
          </w:tcPr>
          <w:p w14:paraId="1097474C" w14:textId="77777777" w:rsidR="00935B67" w:rsidRPr="00A6034C" w:rsidRDefault="00935B67" w:rsidP="00935B67">
            <w:pPr>
              <w:jc w:val="left"/>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lastRenderedPageBreak/>
              <w:t>4.3.3</w:t>
            </w:r>
          </w:p>
        </w:tc>
        <w:tc>
          <w:tcPr>
            <w:tcW w:w="2119" w:type="dxa"/>
          </w:tcPr>
          <w:p w14:paraId="1696E1CA"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w:t>
            </w:r>
          </w:p>
        </w:tc>
      </w:tr>
      <w:tr w:rsidR="00935B67" w:rsidRPr="00275FBD" w14:paraId="57303D45" w14:textId="77777777" w:rsidTr="00935B67">
        <w:trPr>
          <w:trHeight w:val="559"/>
        </w:trPr>
        <w:tc>
          <w:tcPr>
            <w:tcW w:w="1418" w:type="dxa"/>
            <w:shd w:val="clear" w:color="auto" w:fill="auto"/>
            <w:noWrap/>
          </w:tcPr>
          <w:p w14:paraId="5A86A695"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PSR3 4.2-002</w:t>
            </w:r>
          </w:p>
        </w:tc>
        <w:tc>
          <w:tcPr>
            <w:tcW w:w="714" w:type="dxa"/>
            <w:shd w:val="clear" w:color="auto" w:fill="auto"/>
          </w:tcPr>
          <w:p w14:paraId="7AB19537"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09B65F30"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w:t>
            </w:r>
          </w:p>
        </w:tc>
        <w:tc>
          <w:tcPr>
            <w:tcW w:w="7255" w:type="dxa"/>
            <w:shd w:val="clear" w:color="auto" w:fill="auto"/>
          </w:tcPr>
          <w:p w14:paraId="346E5FD2" w14:textId="77777777" w:rsidR="00935B67" w:rsidRPr="00A6034C" w:rsidRDefault="00935B67" w:rsidP="00935B67">
            <w:pPr>
              <w:jc w:val="left"/>
              <w:rPr>
                <w:rFonts w:asciiTheme="minorHAnsi" w:hAnsiTheme="minorHAnsi"/>
                <w:color w:val="000000"/>
                <w:sz w:val="18"/>
                <w:szCs w:val="18"/>
                <w:lang w:eastAsia="en-GB"/>
              </w:rPr>
            </w:pPr>
            <w:proofErr w:type="gramStart"/>
            <w:r w:rsidRPr="00A6034C">
              <w:rPr>
                <w:rFonts w:asciiTheme="minorHAnsi" w:hAnsiTheme="minorHAnsi"/>
                <w:b/>
                <w:bCs/>
                <w:color w:val="000000" w:themeColor="text1"/>
                <w:sz w:val="18"/>
                <w:szCs w:val="18"/>
                <w:lang w:eastAsia="en-GB"/>
              </w:rPr>
              <w:t>WO’s</w:t>
            </w:r>
            <w:proofErr w:type="gramEnd"/>
            <w:r w:rsidRPr="00A6034C">
              <w:rPr>
                <w:rFonts w:asciiTheme="minorHAnsi" w:hAnsiTheme="minorHAnsi"/>
                <w:b/>
                <w:bCs/>
                <w:color w:val="000000" w:themeColor="text1"/>
                <w:sz w:val="18"/>
                <w:szCs w:val="18"/>
                <w:lang w:eastAsia="en-GB"/>
              </w:rPr>
              <w:t xml:space="preserve"> issued without final DMP Installation packages approved.</w:t>
            </w:r>
            <w:r w:rsidRPr="00A6034C">
              <w:rPr>
                <w:rFonts w:asciiTheme="minorHAnsi" w:hAnsiTheme="minorHAnsi"/>
                <w:color w:val="000000" w:themeColor="text1"/>
                <w:sz w:val="18"/>
                <w:szCs w:val="18"/>
                <w:lang w:eastAsia="en-GB"/>
              </w:rPr>
              <w:t xml:space="preserve">  Even though work was approved by SNSA and supported by licensing documentation changes and design changes and independent technical review, that kind of work execution is not in covered with NEK processes and procedures and is violation of NEK process of performing design changes.</w:t>
            </w:r>
          </w:p>
        </w:tc>
        <w:tc>
          <w:tcPr>
            <w:tcW w:w="1873" w:type="dxa"/>
          </w:tcPr>
          <w:p w14:paraId="095EDBA7" w14:textId="77777777" w:rsidR="00935B67" w:rsidRPr="00A6034C" w:rsidRDefault="00935B67" w:rsidP="00935B67">
            <w:pPr>
              <w:jc w:val="left"/>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4.3.3</w:t>
            </w:r>
          </w:p>
        </w:tc>
        <w:tc>
          <w:tcPr>
            <w:tcW w:w="2119" w:type="dxa"/>
          </w:tcPr>
          <w:p w14:paraId="171D3969"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1D21CB5B" w14:textId="77777777" w:rsidTr="00935B67">
        <w:trPr>
          <w:trHeight w:val="559"/>
        </w:trPr>
        <w:tc>
          <w:tcPr>
            <w:tcW w:w="1418" w:type="dxa"/>
            <w:shd w:val="clear" w:color="auto" w:fill="auto"/>
            <w:noWrap/>
          </w:tcPr>
          <w:p w14:paraId="70AB6EE2"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PSR3 4.4-002</w:t>
            </w:r>
          </w:p>
        </w:tc>
        <w:tc>
          <w:tcPr>
            <w:tcW w:w="714" w:type="dxa"/>
            <w:shd w:val="clear" w:color="auto" w:fill="auto"/>
          </w:tcPr>
          <w:p w14:paraId="7BC9C6BD"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06DA3D6B"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w:t>
            </w:r>
          </w:p>
        </w:tc>
        <w:tc>
          <w:tcPr>
            <w:tcW w:w="7255" w:type="dxa"/>
            <w:shd w:val="clear" w:color="auto" w:fill="auto"/>
          </w:tcPr>
          <w:p w14:paraId="7D72F5FA" w14:textId="3B2CE965"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b/>
                <w:bCs/>
                <w:color w:val="000000" w:themeColor="text1"/>
                <w:sz w:val="18"/>
                <w:szCs w:val="18"/>
                <w:lang w:eastAsia="en-GB"/>
              </w:rPr>
              <w:t>USAR Chapter 13.1 inconsistencies with JV4 and NEK organization and Chapter 13.2.3 reference update.</w:t>
            </w:r>
            <w:r w:rsidRPr="00A6034C">
              <w:rPr>
                <w:rFonts w:asciiTheme="minorHAnsi" w:hAnsiTheme="minorHAnsi"/>
                <w:color w:val="000000" w:themeColor="text1"/>
                <w:sz w:val="18"/>
                <w:szCs w:val="18"/>
                <w:lang w:eastAsia="en-GB"/>
              </w:rPr>
              <w:t xml:space="preserve">  USAR Chapter 13.1 should be revised to be in compliance with JV4 and NEK organization defined in ADP-1.0.001.  Several references in Chapter 13.2.3 should be updated.</w:t>
            </w:r>
            <w:r w:rsidRPr="00A6034C">
              <w:rPr>
                <w:rFonts w:asciiTheme="minorHAnsi" w:hAnsiTheme="minorHAnsi"/>
                <w:color w:val="000000" w:themeColor="text1"/>
                <w:sz w:val="18"/>
                <w:szCs w:val="18"/>
                <w:lang w:eastAsia="en-GB"/>
              </w:rPr>
              <w:br/>
            </w:r>
            <w:r w:rsidRPr="00A6034C">
              <w:rPr>
                <w:rFonts w:asciiTheme="minorHAnsi" w:hAnsiTheme="minorHAnsi"/>
                <w:b/>
                <w:color w:val="000000" w:themeColor="text1"/>
                <w:sz w:val="18"/>
                <w:szCs w:val="18"/>
                <w:lang w:eastAsia="en-GB"/>
              </w:rPr>
              <w:t>NEK:</w:t>
            </w:r>
            <w:r w:rsidRPr="00A6034C">
              <w:rPr>
                <w:rFonts w:asciiTheme="minorHAnsi" w:hAnsiTheme="minorHAnsi"/>
                <w:color w:val="000000" w:themeColor="text1"/>
                <w:sz w:val="18"/>
                <w:szCs w:val="18"/>
                <w:lang w:eastAsia="en-GB"/>
              </w:rPr>
              <w:t xml:space="preserve"> Issue accepted. USAR Chapter 13.1 should be revised to be in compliance </w:t>
            </w:r>
            <w:r w:rsidRPr="00A6034C">
              <w:rPr>
                <w:rFonts w:asciiTheme="minorHAnsi" w:hAnsiTheme="minorHAnsi"/>
                <w:color w:val="000000" w:themeColor="text1"/>
                <w:sz w:val="18"/>
                <w:szCs w:val="18"/>
                <w:lang w:eastAsia="en-GB"/>
              </w:rPr>
              <w:br/>
              <w:t>with JV4 and NEK organization defined in ADP-1.0.001. Update of USAR Chapter 13.2.3 references.</w:t>
            </w:r>
          </w:p>
        </w:tc>
        <w:tc>
          <w:tcPr>
            <w:tcW w:w="1873" w:type="dxa"/>
          </w:tcPr>
          <w:p w14:paraId="3E537C4B" w14:textId="77777777" w:rsidR="00935B67" w:rsidRPr="00A6034C" w:rsidRDefault="00935B67" w:rsidP="00935B67">
            <w:pPr>
              <w:jc w:val="left"/>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4.3.3</w:t>
            </w:r>
          </w:p>
        </w:tc>
        <w:tc>
          <w:tcPr>
            <w:tcW w:w="2119" w:type="dxa"/>
          </w:tcPr>
          <w:p w14:paraId="23D4287B"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w:t>
            </w:r>
          </w:p>
        </w:tc>
      </w:tr>
      <w:tr w:rsidR="00935B67" w:rsidRPr="00275FBD" w14:paraId="2AD606B5" w14:textId="77777777" w:rsidTr="00935B67">
        <w:trPr>
          <w:trHeight w:val="559"/>
        </w:trPr>
        <w:tc>
          <w:tcPr>
            <w:tcW w:w="1418" w:type="dxa"/>
            <w:shd w:val="clear" w:color="auto" w:fill="auto"/>
            <w:noWrap/>
          </w:tcPr>
          <w:p w14:paraId="34831F47"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PSR3 5.1-006</w:t>
            </w:r>
          </w:p>
        </w:tc>
        <w:tc>
          <w:tcPr>
            <w:tcW w:w="714" w:type="dxa"/>
            <w:shd w:val="clear" w:color="auto" w:fill="auto"/>
          </w:tcPr>
          <w:p w14:paraId="2553A9A2"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L</w:t>
            </w:r>
          </w:p>
        </w:tc>
        <w:tc>
          <w:tcPr>
            <w:tcW w:w="1020" w:type="dxa"/>
            <w:shd w:val="clear" w:color="auto" w:fill="auto"/>
          </w:tcPr>
          <w:p w14:paraId="159F603B"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4,5</w:t>
            </w:r>
          </w:p>
        </w:tc>
        <w:tc>
          <w:tcPr>
            <w:tcW w:w="7255" w:type="dxa"/>
            <w:shd w:val="clear" w:color="auto" w:fill="auto"/>
          </w:tcPr>
          <w:p w14:paraId="1E3B69A3"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b/>
                <w:bCs/>
                <w:color w:val="000000" w:themeColor="text1"/>
                <w:sz w:val="18"/>
                <w:szCs w:val="18"/>
                <w:lang w:eastAsia="en-GB"/>
              </w:rPr>
              <w:t>LLDs.</w:t>
            </w:r>
            <w:r w:rsidRPr="00A6034C">
              <w:rPr>
                <w:rFonts w:asciiTheme="minorHAnsi" w:hAnsiTheme="minorHAnsi"/>
                <w:color w:val="000000" w:themeColor="text1"/>
                <w:sz w:val="18"/>
                <w:szCs w:val="18"/>
                <w:lang w:eastAsia="en-GB"/>
              </w:rPr>
              <w:t xml:space="preserve"> In the procedure PRZ-7.308 "</w:t>
            </w:r>
            <w:proofErr w:type="spellStart"/>
            <w:r w:rsidRPr="00A6034C">
              <w:rPr>
                <w:rFonts w:asciiTheme="minorHAnsi" w:hAnsiTheme="minorHAnsi"/>
                <w:color w:val="000000" w:themeColor="text1"/>
                <w:sz w:val="18"/>
                <w:szCs w:val="18"/>
                <w:lang w:eastAsia="en-GB"/>
              </w:rPr>
              <w:t>Vzorčenje</w:t>
            </w:r>
            <w:proofErr w:type="spellEnd"/>
            <w:r w:rsidRPr="00A6034C">
              <w:rPr>
                <w:rFonts w:asciiTheme="minorHAnsi" w:hAnsiTheme="minorHAnsi"/>
                <w:color w:val="000000" w:themeColor="text1"/>
                <w:sz w:val="18"/>
                <w:szCs w:val="18"/>
                <w:lang w:eastAsia="en-GB"/>
              </w:rPr>
              <w:t xml:space="preserve"> in </w:t>
            </w:r>
            <w:proofErr w:type="spellStart"/>
            <w:r w:rsidRPr="00A6034C">
              <w:rPr>
                <w:rFonts w:asciiTheme="minorHAnsi" w:hAnsiTheme="minorHAnsi"/>
                <w:color w:val="000000" w:themeColor="text1"/>
                <w:sz w:val="18"/>
                <w:szCs w:val="18"/>
                <w:lang w:eastAsia="en-GB"/>
              </w:rPr>
              <w:t>analiza</w:t>
            </w:r>
            <w:proofErr w:type="spellEnd"/>
            <w:r w:rsidRPr="00A6034C">
              <w:rPr>
                <w:rFonts w:asciiTheme="minorHAnsi" w:hAnsiTheme="minorHAnsi"/>
                <w:color w:val="000000" w:themeColor="text1"/>
                <w:sz w:val="18"/>
                <w:szCs w:val="18"/>
                <w:lang w:eastAsia="en-GB"/>
              </w:rPr>
              <w:t xml:space="preserve"> </w:t>
            </w:r>
            <w:proofErr w:type="spellStart"/>
            <w:r w:rsidRPr="00A6034C">
              <w:rPr>
                <w:rFonts w:asciiTheme="minorHAnsi" w:hAnsiTheme="minorHAnsi"/>
                <w:color w:val="000000" w:themeColor="text1"/>
                <w:sz w:val="18"/>
                <w:szCs w:val="18"/>
                <w:lang w:eastAsia="en-GB"/>
              </w:rPr>
              <w:t>vzorca</w:t>
            </w:r>
            <w:proofErr w:type="spellEnd"/>
            <w:r w:rsidRPr="00A6034C">
              <w:rPr>
                <w:rFonts w:asciiTheme="minorHAnsi" w:hAnsiTheme="minorHAnsi"/>
                <w:color w:val="000000" w:themeColor="text1"/>
                <w:sz w:val="18"/>
                <w:szCs w:val="18"/>
                <w:lang w:eastAsia="en-GB"/>
              </w:rPr>
              <w:t xml:space="preserve"> </w:t>
            </w:r>
            <w:proofErr w:type="spellStart"/>
            <w:r w:rsidRPr="00A6034C">
              <w:rPr>
                <w:rFonts w:asciiTheme="minorHAnsi" w:hAnsiTheme="minorHAnsi"/>
                <w:color w:val="000000" w:themeColor="text1"/>
                <w:sz w:val="18"/>
                <w:szCs w:val="18"/>
                <w:lang w:eastAsia="en-GB"/>
              </w:rPr>
              <w:t>bistvene</w:t>
            </w:r>
            <w:proofErr w:type="spellEnd"/>
            <w:r w:rsidRPr="00A6034C">
              <w:rPr>
                <w:rFonts w:asciiTheme="minorHAnsi" w:hAnsiTheme="minorHAnsi"/>
                <w:color w:val="000000" w:themeColor="text1"/>
                <w:sz w:val="18"/>
                <w:szCs w:val="18"/>
                <w:lang w:eastAsia="en-GB"/>
              </w:rPr>
              <w:t xml:space="preserve"> </w:t>
            </w:r>
            <w:proofErr w:type="spellStart"/>
            <w:r w:rsidRPr="00A6034C">
              <w:rPr>
                <w:rFonts w:asciiTheme="minorHAnsi" w:hAnsiTheme="minorHAnsi"/>
                <w:color w:val="000000" w:themeColor="text1"/>
                <w:sz w:val="18"/>
                <w:szCs w:val="18"/>
                <w:lang w:eastAsia="en-GB"/>
              </w:rPr>
              <w:t>oskrbne</w:t>
            </w:r>
            <w:proofErr w:type="spellEnd"/>
            <w:r w:rsidRPr="00A6034C">
              <w:rPr>
                <w:rFonts w:asciiTheme="minorHAnsi" w:hAnsiTheme="minorHAnsi"/>
                <w:color w:val="000000" w:themeColor="text1"/>
                <w:sz w:val="18"/>
                <w:szCs w:val="18"/>
                <w:lang w:eastAsia="en-GB"/>
              </w:rPr>
              <w:t xml:space="preserve"> </w:t>
            </w:r>
            <w:proofErr w:type="spellStart"/>
            <w:r w:rsidRPr="00A6034C">
              <w:rPr>
                <w:rFonts w:asciiTheme="minorHAnsi" w:hAnsiTheme="minorHAnsi"/>
                <w:color w:val="000000" w:themeColor="text1"/>
                <w:sz w:val="18"/>
                <w:szCs w:val="18"/>
                <w:lang w:eastAsia="en-GB"/>
              </w:rPr>
              <w:t>vode</w:t>
            </w:r>
            <w:proofErr w:type="spellEnd"/>
            <w:r w:rsidRPr="00A6034C">
              <w:rPr>
                <w:rFonts w:asciiTheme="minorHAnsi" w:hAnsiTheme="minorHAnsi"/>
                <w:color w:val="000000" w:themeColor="text1"/>
                <w:sz w:val="18"/>
                <w:szCs w:val="18"/>
                <w:lang w:eastAsia="en-GB"/>
              </w:rPr>
              <w:t xml:space="preserve"> v </w:t>
            </w:r>
            <w:proofErr w:type="spellStart"/>
            <w:r w:rsidRPr="00A6034C">
              <w:rPr>
                <w:rFonts w:asciiTheme="minorHAnsi" w:hAnsiTheme="minorHAnsi"/>
                <w:color w:val="000000" w:themeColor="text1"/>
                <w:sz w:val="18"/>
                <w:szCs w:val="18"/>
                <w:lang w:eastAsia="en-GB"/>
              </w:rPr>
              <w:t>izstopnem</w:t>
            </w:r>
            <w:proofErr w:type="spellEnd"/>
            <w:r w:rsidRPr="00A6034C">
              <w:rPr>
                <w:rFonts w:asciiTheme="minorHAnsi" w:hAnsiTheme="minorHAnsi"/>
                <w:color w:val="000000" w:themeColor="text1"/>
                <w:sz w:val="18"/>
                <w:szCs w:val="18"/>
                <w:lang w:eastAsia="en-GB"/>
              </w:rPr>
              <w:t xml:space="preserve"> </w:t>
            </w:r>
            <w:proofErr w:type="spellStart"/>
            <w:r w:rsidRPr="00A6034C">
              <w:rPr>
                <w:rFonts w:asciiTheme="minorHAnsi" w:hAnsiTheme="minorHAnsi"/>
                <w:color w:val="000000" w:themeColor="text1"/>
                <w:sz w:val="18"/>
                <w:szCs w:val="18"/>
                <w:lang w:eastAsia="en-GB"/>
              </w:rPr>
              <w:t>kanalu</w:t>
            </w:r>
            <w:proofErr w:type="spellEnd"/>
            <w:r w:rsidRPr="00A6034C">
              <w:rPr>
                <w:rFonts w:asciiTheme="minorHAnsi" w:hAnsiTheme="minorHAnsi"/>
                <w:color w:val="000000" w:themeColor="text1"/>
                <w:sz w:val="18"/>
                <w:szCs w:val="18"/>
                <w:lang w:eastAsia="en-GB"/>
              </w:rPr>
              <w:t>", NE Krško, 17. 8. 2018. Rev. 4., the LLDs for the analyses of water discharged through the ESW channel are rather high. It should be considered to possibly reduce the LLDs.</w:t>
            </w:r>
            <w:r w:rsidRPr="00A6034C">
              <w:rPr>
                <w:rFonts w:asciiTheme="minorHAnsi" w:hAnsiTheme="minorHAnsi"/>
                <w:color w:val="000000" w:themeColor="text1"/>
                <w:sz w:val="18"/>
                <w:szCs w:val="18"/>
                <w:lang w:eastAsia="en-GB"/>
              </w:rPr>
              <w:br/>
              <w:t>It is understood that NEK will update the procedure and reduce the LLD in question according to the international practice.</w:t>
            </w:r>
          </w:p>
        </w:tc>
        <w:tc>
          <w:tcPr>
            <w:tcW w:w="1873" w:type="dxa"/>
          </w:tcPr>
          <w:p w14:paraId="68506083" w14:textId="77777777" w:rsidR="00935B67" w:rsidRPr="00A6034C" w:rsidRDefault="00935B67" w:rsidP="00935B67">
            <w:pPr>
              <w:jc w:val="left"/>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4.3.3</w:t>
            </w:r>
          </w:p>
        </w:tc>
        <w:tc>
          <w:tcPr>
            <w:tcW w:w="2119" w:type="dxa"/>
          </w:tcPr>
          <w:p w14:paraId="6E937AAC"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w:t>
            </w:r>
          </w:p>
        </w:tc>
      </w:tr>
      <w:tr w:rsidR="00935B67" w:rsidRPr="00275FBD" w14:paraId="7B966FB9" w14:textId="77777777" w:rsidTr="00935B67">
        <w:trPr>
          <w:trHeight w:val="559"/>
        </w:trPr>
        <w:tc>
          <w:tcPr>
            <w:tcW w:w="1418" w:type="dxa"/>
            <w:shd w:val="clear" w:color="auto" w:fill="auto"/>
            <w:noWrap/>
          </w:tcPr>
          <w:p w14:paraId="6FCC08B8"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PSR3 5.1-008</w:t>
            </w:r>
          </w:p>
        </w:tc>
        <w:tc>
          <w:tcPr>
            <w:tcW w:w="714" w:type="dxa"/>
            <w:shd w:val="clear" w:color="auto" w:fill="auto"/>
          </w:tcPr>
          <w:p w14:paraId="0177792D"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L</w:t>
            </w:r>
          </w:p>
        </w:tc>
        <w:tc>
          <w:tcPr>
            <w:tcW w:w="1020" w:type="dxa"/>
            <w:shd w:val="clear" w:color="auto" w:fill="auto"/>
          </w:tcPr>
          <w:p w14:paraId="5F707043"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4,5</w:t>
            </w:r>
          </w:p>
        </w:tc>
        <w:tc>
          <w:tcPr>
            <w:tcW w:w="7255" w:type="dxa"/>
            <w:shd w:val="clear" w:color="auto" w:fill="auto"/>
          </w:tcPr>
          <w:p w14:paraId="778FAE07"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b/>
                <w:bCs/>
                <w:color w:val="000000" w:themeColor="text1"/>
                <w:sz w:val="18"/>
                <w:szCs w:val="18"/>
                <w:lang w:eastAsia="en-GB"/>
              </w:rPr>
              <w:t>The procedure ADP-1.7.023 ver. 7 "</w:t>
            </w:r>
            <w:proofErr w:type="spellStart"/>
            <w:r w:rsidRPr="00A6034C">
              <w:rPr>
                <w:rFonts w:asciiTheme="minorHAnsi" w:hAnsiTheme="minorHAnsi"/>
                <w:b/>
                <w:bCs/>
                <w:color w:val="000000" w:themeColor="text1"/>
                <w:sz w:val="18"/>
                <w:szCs w:val="18"/>
                <w:lang w:eastAsia="en-GB"/>
              </w:rPr>
              <w:t>Nadzor</w:t>
            </w:r>
            <w:proofErr w:type="spellEnd"/>
            <w:r w:rsidRPr="00A6034C">
              <w:rPr>
                <w:rFonts w:asciiTheme="minorHAnsi" w:hAnsiTheme="minorHAnsi"/>
                <w:b/>
                <w:bCs/>
                <w:color w:val="000000" w:themeColor="text1"/>
                <w:sz w:val="18"/>
                <w:szCs w:val="18"/>
                <w:lang w:eastAsia="en-GB"/>
              </w:rPr>
              <w:t xml:space="preserve"> in </w:t>
            </w:r>
            <w:proofErr w:type="spellStart"/>
            <w:r w:rsidRPr="00A6034C">
              <w:rPr>
                <w:rFonts w:asciiTheme="minorHAnsi" w:hAnsiTheme="minorHAnsi"/>
                <w:b/>
                <w:bCs/>
                <w:color w:val="000000" w:themeColor="text1"/>
                <w:sz w:val="18"/>
                <w:szCs w:val="18"/>
                <w:lang w:eastAsia="en-GB"/>
              </w:rPr>
              <w:t>vodenje</w:t>
            </w:r>
            <w:proofErr w:type="spellEnd"/>
            <w:r w:rsidRPr="00A6034C">
              <w:rPr>
                <w:rFonts w:asciiTheme="minorHAnsi" w:hAnsiTheme="minorHAnsi"/>
                <w:b/>
                <w:bCs/>
                <w:color w:val="000000" w:themeColor="text1"/>
                <w:sz w:val="18"/>
                <w:szCs w:val="18"/>
                <w:lang w:eastAsia="en-GB"/>
              </w:rPr>
              <w:t xml:space="preserve"> evidence </w:t>
            </w:r>
            <w:proofErr w:type="spellStart"/>
            <w:r w:rsidRPr="00A6034C">
              <w:rPr>
                <w:rFonts w:asciiTheme="minorHAnsi" w:hAnsiTheme="minorHAnsi"/>
                <w:b/>
                <w:bCs/>
                <w:color w:val="000000" w:themeColor="text1"/>
                <w:sz w:val="18"/>
                <w:szCs w:val="18"/>
                <w:lang w:eastAsia="en-GB"/>
              </w:rPr>
              <w:t>tekočinskih</w:t>
            </w:r>
            <w:proofErr w:type="spellEnd"/>
            <w:r w:rsidRPr="00A6034C">
              <w:rPr>
                <w:rFonts w:asciiTheme="minorHAnsi" w:hAnsiTheme="minorHAnsi"/>
                <w:b/>
                <w:bCs/>
                <w:color w:val="000000" w:themeColor="text1"/>
                <w:sz w:val="18"/>
                <w:szCs w:val="18"/>
                <w:lang w:eastAsia="en-GB"/>
              </w:rPr>
              <w:t xml:space="preserve"> </w:t>
            </w:r>
            <w:proofErr w:type="spellStart"/>
            <w:r w:rsidRPr="00A6034C">
              <w:rPr>
                <w:rFonts w:asciiTheme="minorHAnsi" w:hAnsiTheme="minorHAnsi"/>
                <w:b/>
                <w:bCs/>
                <w:color w:val="000000" w:themeColor="text1"/>
                <w:sz w:val="18"/>
                <w:szCs w:val="18"/>
                <w:lang w:eastAsia="en-GB"/>
              </w:rPr>
              <w:t>radioaktivnih</w:t>
            </w:r>
            <w:proofErr w:type="spellEnd"/>
            <w:r w:rsidRPr="00A6034C">
              <w:rPr>
                <w:rFonts w:asciiTheme="minorHAnsi" w:hAnsiTheme="minorHAnsi"/>
                <w:b/>
                <w:bCs/>
                <w:color w:val="000000" w:themeColor="text1"/>
                <w:sz w:val="18"/>
                <w:szCs w:val="18"/>
                <w:lang w:eastAsia="en-GB"/>
              </w:rPr>
              <w:t xml:space="preserve"> </w:t>
            </w:r>
            <w:proofErr w:type="spellStart"/>
            <w:r w:rsidRPr="00A6034C">
              <w:rPr>
                <w:rFonts w:asciiTheme="minorHAnsi" w:hAnsiTheme="minorHAnsi"/>
                <w:b/>
                <w:bCs/>
                <w:color w:val="000000" w:themeColor="text1"/>
                <w:sz w:val="18"/>
                <w:szCs w:val="18"/>
                <w:lang w:eastAsia="en-GB"/>
              </w:rPr>
              <w:t>odpadkov</w:t>
            </w:r>
            <w:proofErr w:type="spellEnd"/>
            <w:r w:rsidRPr="00A6034C">
              <w:rPr>
                <w:rFonts w:asciiTheme="minorHAnsi" w:hAnsiTheme="minorHAnsi"/>
                <w:b/>
                <w:bCs/>
                <w:color w:val="000000" w:themeColor="text1"/>
                <w:sz w:val="18"/>
                <w:szCs w:val="18"/>
                <w:lang w:eastAsia="en-GB"/>
              </w:rPr>
              <w:t>" does not have the criteria how the liquid effluents are discharged through the ESW canal into the Sava river</w:t>
            </w:r>
            <w:r w:rsidRPr="00A6034C">
              <w:rPr>
                <w:rFonts w:asciiTheme="minorHAnsi" w:hAnsiTheme="minorHAnsi"/>
                <w:color w:val="000000" w:themeColor="text1"/>
                <w:sz w:val="18"/>
                <w:szCs w:val="18"/>
                <w:lang w:eastAsia="en-GB"/>
              </w:rPr>
              <w:t xml:space="preserve">. Only the maximum flow rate is considered. </w:t>
            </w:r>
            <w:r w:rsidRPr="00A6034C">
              <w:rPr>
                <w:rFonts w:asciiTheme="minorHAnsi" w:hAnsiTheme="minorHAnsi"/>
                <w:color w:val="000000" w:themeColor="text1"/>
                <w:sz w:val="18"/>
                <w:szCs w:val="18"/>
                <w:lang w:eastAsia="en-GB"/>
              </w:rPr>
              <w:br/>
              <w:t>It is understood that NEK will update the procedure to address the issue.</w:t>
            </w:r>
          </w:p>
        </w:tc>
        <w:tc>
          <w:tcPr>
            <w:tcW w:w="1873" w:type="dxa"/>
          </w:tcPr>
          <w:p w14:paraId="5E14393A" w14:textId="77777777" w:rsidR="00935B67" w:rsidRPr="00A6034C" w:rsidRDefault="00935B67" w:rsidP="00935B67">
            <w:pPr>
              <w:jc w:val="left"/>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4.3.3</w:t>
            </w:r>
          </w:p>
        </w:tc>
        <w:tc>
          <w:tcPr>
            <w:tcW w:w="2119" w:type="dxa"/>
          </w:tcPr>
          <w:p w14:paraId="48E45B7C"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w:t>
            </w:r>
          </w:p>
        </w:tc>
      </w:tr>
      <w:tr w:rsidR="00935B67" w:rsidRPr="00275FBD" w14:paraId="18752678" w14:textId="77777777" w:rsidTr="00935B67">
        <w:trPr>
          <w:trHeight w:val="559"/>
        </w:trPr>
        <w:tc>
          <w:tcPr>
            <w:tcW w:w="1418" w:type="dxa"/>
            <w:shd w:val="clear" w:color="auto" w:fill="auto"/>
            <w:noWrap/>
          </w:tcPr>
          <w:p w14:paraId="5548F794"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PSR3 7.1-016</w:t>
            </w:r>
          </w:p>
        </w:tc>
        <w:tc>
          <w:tcPr>
            <w:tcW w:w="714" w:type="dxa"/>
            <w:shd w:val="clear" w:color="auto" w:fill="auto"/>
          </w:tcPr>
          <w:p w14:paraId="6B4ECDD7"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493BB295"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w:t>
            </w:r>
          </w:p>
        </w:tc>
        <w:tc>
          <w:tcPr>
            <w:tcW w:w="7255" w:type="dxa"/>
            <w:shd w:val="clear" w:color="auto" w:fill="auto"/>
          </w:tcPr>
          <w:p w14:paraId="123ED32D"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b/>
                <w:bCs/>
                <w:color w:val="000000" w:themeColor="text1"/>
                <w:sz w:val="18"/>
                <w:szCs w:val="18"/>
                <w:lang w:eastAsia="en-GB"/>
              </w:rPr>
              <w:t>Limitation of the working hours of unit staff who perform safety-related functions</w:t>
            </w:r>
            <w:r w:rsidRPr="00A6034C">
              <w:rPr>
                <w:rFonts w:asciiTheme="minorHAnsi" w:hAnsiTheme="minorHAnsi"/>
                <w:color w:val="000000" w:themeColor="text1"/>
                <w:sz w:val="18"/>
                <w:szCs w:val="18"/>
                <w:lang w:eastAsia="en-GB"/>
              </w:rPr>
              <w:t xml:space="preserve">. In the NEK TS 5.2.2 (f) there are requirements for operating personnel work to have a normal 8-hour day, 40-hour week, however there are exceptions allowed in case of unforeseen problems. In the procedure ADP-1.7.001 5.4.3 the TS provisions are followed, however in the reference it is stated that during outage (typically a month and a half) the work of Radiation Protection staff is organized in 12-hour shifts. As the regular outage is neither unforeseen nor on a temporary basis, such exception is a violation of NEK TS. Also, the use of overtime should be considered on </w:t>
            </w:r>
            <w:r w:rsidRPr="00A6034C">
              <w:rPr>
                <w:rFonts w:asciiTheme="minorHAnsi" w:hAnsiTheme="minorHAnsi"/>
                <w:color w:val="000000" w:themeColor="text1"/>
                <w:sz w:val="18"/>
                <w:szCs w:val="18"/>
                <w:lang w:eastAsia="en-GB"/>
              </w:rPr>
              <w:lastRenderedPageBreak/>
              <w:t xml:space="preserve">an individual basis and not for the entire staff on a shift. Also the national regulation (Employment Relationships </w:t>
            </w:r>
            <w:proofErr w:type="gramStart"/>
            <w:r w:rsidRPr="00A6034C">
              <w:rPr>
                <w:rFonts w:asciiTheme="minorHAnsi" w:hAnsiTheme="minorHAnsi"/>
                <w:color w:val="000000" w:themeColor="text1"/>
                <w:sz w:val="18"/>
                <w:szCs w:val="18"/>
                <w:lang w:eastAsia="en-GB"/>
              </w:rPr>
              <w:t>Act )</w:t>
            </w:r>
            <w:proofErr w:type="gramEnd"/>
            <w:r w:rsidRPr="00A6034C">
              <w:rPr>
                <w:rFonts w:asciiTheme="minorHAnsi" w:hAnsiTheme="minorHAnsi"/>
                <w:color w:val="000000" w:themeColor="text1"/>
                <w:sz w:val="18"/>
                <w:szCs w:val="18"/>
                <w:lang w:eastAsia="en-GB"/>
              </w:rPr>
              <w:t xml:space="preserve"> stipulates that the working day with overtime can last maximal 10 hours, with maximum work overtime shall be 8 hours per week, 20 hours per month and 170 hours per year.</w:t>
            </w:r>
          </w:p>
        </w:tc>
        <w:tc>
          <w:tcPr>
            <w:tcW w:w="1873" w:type="dxa"/>
          </w:tcPr>
          <w:p w14:paraId="0F381F0C" w14:textId="77777777" w:rsidR="00935B67" w:rsidRPr="00A6034C" w:rsidRDefault="00935B67" w:rsidP="00935B67">
            <w:pPr>
              <w:jc w:val="left"/>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lastRenderedPageBreak/>
              <w:t>4.3.3</w:t>
            </w:r>
          </w:p>
        </w:tc>
        <w:tc>
          <w:tcPr>
            <w:tcW w:w="2119" w:type="dxa"/>
          </w:tcPr>
          <w:p w14:paraId="770BBD96"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w:t>
            </w:r>
          </w:p>
        </w:tc>
      </w:tr>
      <w:tr w:rsidR="00935B67" w:rsidRPr="00275FBD" w14:paraId="35D4072A" w14:textId="77777777" w:rsidTr="00935B67">
        <w:trPr>
          <w:trHeight w:val="559"/>
        </w:trPr>
        <w:tc>
          <w:tcPr>
            <w:tcW w:w="1418" w:type="dxa"/>
            <w:shd w:val="clear" w:color="auto" w:fill="auto"/>
            <w:noWrap/>
          </w:tcPr>
          <w:p w14:paraId="6151908D"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PSR3 7.1-018</w:t>
            </w:r>
          </w:p>
        </w:tc>
        <w:tc>
          <w:tcPr>
            <w:tcW w:w="714" w:type="dxa"/>
            <w:shd w:val="clear" w:color="auto" w:fill="auto"/>
          </w:tcPr>
          <w:p w14:paraId="11234B97"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12179595"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5</w:t>
            </w:r>
          </w:p>
        </w:tc>
        <w:tc>
          <w:tcPr>
            <w:tcW w:w="7255" w:type="dxa"/>
            <w:shd w:val="clear" w:color="auto" w:fill="auto"/>
          </w:tcPr>
          <w:p w14:paraId="2DD231AC" w14:textId="69BE4AD1" w:rsidR="00935B67" w:rsidRPr="00A6034C" w:rsidRDefault="00935B67" w:rsidP="00935B67">
            <w:pPr>
              <w:jc w:val="left"/>
              <w:rPr>
                <w:rFonts w:asciiTheme="minorHAnsi" w:hAnsiTheme="minorHAnsi"/>
                <w:color w:val="000000"/>
                <w:sz w:val="18"/>
                <w:szCs w:val="18"/>
                <w:lang w:eastAsia="en-GB"/>
              </w:rPr>
            </w:pPr>
            <w:bookmarkStart w:id="180" w:name="_Hlk138003297"/>
            <w:r w:rsidRPr="00A6034C">
              <w:rPr>
                <w:rFonts w:asciiTheme="minorHAnsi" w:hAnsiTheme="minorHAnsi"/>
                <w:b/>
                <w:bCs/>
                <w:color w:val="000000" w:themeColor="text1"/>
                <w:sz w:val="18"/>
                <w:szCs w:val="18"/>
                <w:lang w:eastAsia="en-GB"/>
              </w:rPr>
              <w:t>Insufficient dosimetry records retention period</w:t>
            </w:r>
            <w:bookmarkEnd w:id="180"/>
            <w:r w:rsidRPr="00A6034C">
              <w:rPr>
                <w:rFonts w:asciiTheme="minorHAnsi" w:hAnsiTheme="minorHAnsi"/>
                <w:color w:val="000000" w:themeColor="text1"/>
                <w:sz w:val="18"/>
                <w:szCs w:val="18"/>
                <w:lang w:eastAsia="en-GB"/>
              </w:rPr>
              <w:t xml:space="preserve">. In NEK TS 5.10.3 the records of radiation exposure for all individuals entering radiation control areas shall </w:t>
            </w:r>
            <w:r w:rsidR="00290F1E" w:rsidRPr="00A6034C">
              <w:rPr>
                <w:rFonts w:asciiTheme="minorHAnsi" w:hAnsiTheme="minorHAnsi"/>
                <w:color w:val="000000" w:themeColor="text1"/>
                <w:sz w:val="18"/>
                <w:szCs w:val="18"/>
                <w:lang w:eastAsia="en-GB"/>
              </w:rPr>
              <w:t>be retained</w:t>
            </w:r>
            <w:r w:rsidRPr="00A6034C">
              <w:rPr>
                <w:rFonts w:asciiTheme="minorHAnsi" w:hAnsiTheme="minorHAnsi"/>
                <w:color w:val="000000" w:themeColor="text1"/>
                <w:sz w:val="18"/>
                <w:szCs w:val="18"/>
                <w:lang w:eastAsia="en-GB"/>
              </w:rPr>
              <w:t xml:space="preserve"> for the duration of the unit Operating License. However, Article 49 of the ZVISJV-1 Act stipulates that data on personal doses of exposed worker shall be kept until the worker has or would have reached 75 years of age and, in all cases, until at least 30 years after the worker ceases work involving exposure. The NEK TS should be amended to reflect these requirements.</w:t>
            </w:r>
          </w:p>
        </w:tc>
        <w:tc>
          <w:tcPr>
            <w:tcW w:w="1873" w:type="dxa"/>
          </w:tcPr>
          <w:p w14:paraId="73C86454" w14:textId="77777777" w:rsidR="00935B67" w:rsidRPr="00A6034C" w:rsidRDefault="00935B67" w:rsidP="00935B67">
            <w:pPr>
              <w:jc w:val="left"/>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4.3.3</w:t>
            </w:r>
          </w:p>
        </w:tc>
        <w:tc>
          <w:tcPr>
            <w:tcW w:w="2119" w:type="dxa"/>
          </w:tcPr>
          <w:p w14:paraId="69BDEA57"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14AE253B" w14:textId="77777777" w:rsidTr="00935B67">
        <w:trPr>
          <w:trHeight w:val="559"/>
        </w:trPr>
        <w:tc>
          <w:tcPr>
            <w:tcW w:w="1418" w:type="dxa"/>
            <w:shd w:val="clear" w:color="auto" w:fill="auto"/>
            <w:noWrap/>
          </w:tcPr>
          <w:p w14:paraId="22239DE4"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PSR3 5.2-002</w:t>
            </w:r>
          </w:p>
        </w:tc>
        <w:tc>
          <w:tcPr>
            <w:tcW w:w="714" w:type="dxa"/>
            <w:shd w:val="clear" w:color="auto" w:fill="auto"/>
          </w:tcPr>
          <w:p w14:paraId="4B6D002E"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H</w:t>
            </w:r>
          </w:p>
        </w:tc>
        <w:tc>
          <w:tcPr>
            <w:tcW w:w="1020" w:type="dxa"/>
            <w:shd w:val="clear" w:color="auto" w:fill="auto"/>
          </w:tcPr>
          <w:p w14:paraId="2FACC213"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4,5</w:t>
            </w:r>
          </w:p>
        </w:tc>
        <w:tc>
          <w:tcPr>
            <w:tcW w:w="7255" w:type="dxa"/>
            <w:shd w:val="clear" w:color="auto" w:fill="auto"/>
          </w:tcPr>
          <w:p w14:paraId="119E12D2"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b/>
                <w:bCs/>
                <w:color w:val="000000" w:themeColor="text1"/>
                <w:sz w:val="18"/>
                <w:szCs w:val="18"/>
                <w:lang w:eastAsia="en-GB"/>
              </w:rPr>
              <w:t>SF management programme</w:t>
            </w:r>
            <w:r w:rsidRPr="00A6034C">
              <w:rPr>
                <w:rFonts w:asciiTheme="minorHAnsi" w:hAnsiTheme="minorHAnsi"/>
                <w:color w:val="000000" w:themeColor="text1"/>
                <w:sz w:val="18"/>
                <w:szCs w:val="18"/>
                <w:lang w:eastAsia="en-GB"/>
              </w:rPr>
              <w:t>:  Develop and approve the NEK spent fuel management programme as required by JV7 (</w:t>
            </w:r>
            <w:proofErr w:type="spellStart"/>
            <w:r w:rsidRPr="00A6034C">
              <w:rPr>
                <w:rFonts w:asciiTheme="minorHAnsi" w:hAnsiTheme="minorHAnsi"/>
                <w:color w:val="000000" w:themeColor="text1"/>
                <w:sz w:val="18"/>
                <w:szCs w:val="18"/>
                <w:lang w:eastAsia="en-GB"/>
              </w:rPr>
              <w:t>Pravilnik</w:t>
            </w:r>
            <w:proofErr w:type="spellEnd"/>
            <w:r w:rsidRPr="00A6034C">
              <w:rPr>
                <w:rFonts w:asciiTheme="minorHAnsi" w:hAnsiTheme="minorHAnsi"/>
                <w:color w:val="000000" w:themeColor="text1"/>
                <w:sz w:val="18"/>
                <w:szCs w:val="18"/>
                <w:lang w:eastAsia="en-GB"/>
              </w:rPr>
              <w:t xml:space="preserve"> o </w:t>
            </w:r>
            <w:proofErr w:type="spellStart"/>
            <w:r w:rsidRPr="00A6034C">
              <w:rPr>
                <w:rFonts w:asciiTheme="minorHAnsi" w:hAnsiTheme="minorHAnsi"/>
                <w:color w:val="000000" w:themeColor="text1"/>
                <w:sz w:val="18"/>
                <w:szCs w:val="18"/>
                <w:lang w:eastAsia="en-GB"/>
              </w:rPr>
              <w:t>ravnanju</w:t>
            </w:r>
            <w:proofErr w:type="spellEnd"/>
            <w:r w:rsidRPr="00A6034C">
              <w:rPr>
                <w:rFonts w:asciiTheme="minorHAnsi" w:hAnsiTheme="minorHAnsi"/>
                <w:color w:val="000000" w:themeColor="text1"/>
                <w:sz w:val="18"/>
                <w:szCs w:val="18"/>
                <w:lang w:eastAsia="en-GB"/>
              </w:rPr>
              <w:t xml:space="preserve"> z radioaktivnimi odpadki in </w:t>
            </w:r>
            <w:proofErr w:type="spellStart"/>
            <w:r w:rsidRPr="00A6034C">
              <w:rPr>
                <w:rFonts w:asciiTheme="minorHAnsi" w:hAnsiTheme="minorHAnsi"/>
                <w:color w:val="000000" w:themeColor="text1"/>
                <w:sz w:val="18"/>
                <w:szCs w:val="18"/>
                <w:lang w:eastAsia="en-GB"/>
              </w:rPr>
              <w:t>izrabljenim</w:t>
            </w:r>
            <w:proofErr w:type="spellEnd"/>
            <w:r w:rsidRPr="00A6034C">
              <w:rPr>
                <w:rFonts w:asciiTheme="minorHAnsi" w:hAnsiTheme="minorHAnsi"/>
                <w:color w:val="000000" w:themeColor="text1"/>
                <w:sz w:val="18"/>
                <w:szCs w:val="18"/>
                <w:lang w:eastAsia="en-GB"/>
              </w:rPr>
              <w:t xml:space="preserve"> </w:t>
            </w:r>
            <w:proofErr w:type="spellStart"/>
            <w:r w:rsidRPr="00A6034C">
              <w:rPr>
                <w:rFonts w:asciiTheme="minorHAnsi" w:hAnsiTheme="minorHAnsi"/>
                <w:color w:val="000000" w:themeColor="text1"/>
                <w:sz w:val="18"/>
                <w:szCs w:val="18"/>
                <w:lang w:eastAsia="en-GB"/>
              </w:rPr>
              <w:t>gorivom</w:t>
            </w:r>
            <w:proofErr w:type="spellEnd"/>
            <w:r w:rsidRPr="00A6034C">
              <w:rPr>
                <w:rFonts w:asciiTheme="minorHAnsi" w:hAnsiTheme="minorHAnsi"/>
                <w:color w:val="000000" w:themeColor="text1"/>
                <w:sz w:val="18"/>
                <w:szCs w:val="18"/>
                <w:lang w:eastAsia="en-GB"/>
              </w:rPr>
              <w:t xml:space="preserve"> (</w:t>
            </w:r>
            <w:proofErr w:type="spellStart"/>
            <w:r w:rsidRPr="00A6034C">
              <w:rPr>
                <w:rFonts w:asciiTheme="minorHAnsi" w:hAnsiTheme="minorHAnsi"/>
                <w:color w:val="000000" w:themeColor="text1"/>
                <w:sz w:val="18"/>
                <w:szCs w:val="18"/>
                <w:lang w:eastAsia="en-GB"/>
              </w:rPr>
              <w:t>Uradni</w:t>
            </w:r>
            <w:proofErr w:type="spellEnd"/>
            <w:r w:rsidRPr="00A6034C">
              <w:rPr>
                <w:rFonts w:asciiTheme="minorHAnsi" w:hAnsiTheme="minorHAnsi"/>
                <w:color w:val="000000" w:themeColor="text1"/>
                <w:sz w:val="18"/>
                <w:szCs w:val="18"/>
                <w:lang w:eastAsia="en-GB"/>
              </w:rPr>
              <w:t xml:space="preserve"> list RS, </w:t>
            </w:r>
            <w:proofErr w:type="spellStart"/>
            <w:r w:rsidRPr="00A6034C">
              <w:rPr>
                <w:rFonts w:asciiTheme="minorHAnsi" w:hAnsiTheme="minorHAnsi"/>
                <w:color w:val="000000" w:themeColor="text1"/>
                <w:sz w:val="18"/>
                <w:szCs w:val="18"/>
                <w:lang w:eastAsia="en-GB"/>
              </w:rPr>
              <w:t>št</w:t>
            </w:r>
            <w:proofErr w:type="spellEnd"/>
            <w:r w:rsidRPr="00A6034C">
              <w:rPr>
                <w:rFonts w:asciiTheme="minorHAnsi" w:hAnsiTheme="minorHAnsi"/>
                <w:color w:val="000000" w:themeColor="text1"/>
                <w:sz w:val="18"/>
                <w:szCs w:val="18"/>
                <w:lang w:eastAsia="en-GB"/>
              </w:rPr>
              <w:t>. 125/21</w:t>
            </w:r>
            <w:proofErr w:type="gramStart"/>
            <w:r w:rsidRPr="00A6034C">
              <w:rPr>
                <w:rFonts w:asciiTheme="minorHAnsi" w:hAnsiTheme="minorHAnsi"/>
                <w:color w:val="000000" w:themeColor="text1"/>
                <w:sz w:val="18"/>
                <w:szCs w:val="18"/>
                <w:lang w:eastAsia="en-GB"/>
              </w:rPr>
              <w:t>) ,</w:t>
            </w:r>
            <w:proofErr w:type="gramEnd"/>
            <w:r w:rsidRPr="00A6034C">
              <w:rPr>
                <w:rFonts w:asciiTheme="minorHAnsi" w:hAnsiTheme="minorHAnsi"/>
                <w:color w:val="000000" w:themeColor="text1"/>
                <w:sz w:val="18"/>
                <w:szCs w:val="18"/>
                <w:lang w:eastAsia="en-GB"/>
              </w:rPr>
              <w:t xml:space="preserve"> 2021), article 6, which would be aligned with the National RW and SF management programme (</w:t>
            </w:r>
            <w:proofErr w:type="spellStart"/>
            <w:r w:rsidRPr="00A6034C">
              <w:rPr>
                <w:rFonts w:asciiTheme="minorHAnsi" w:hAnsiTheme="minorHAnsi"/>
                <w:color w:val="000000" w:themeColor="text1"/>
                <w:sz w:val="18"/>
                <w:szCs w:val="18"/>
                <w:lang w:eastAsia="en-GB"/>
              </w:rPr>
              <w:t>Resolucija</w:t>
            </w:r>
            <w:proofErr w:type="spellEnd"/>
            <w:r w:rsidRPr="00A6034C">
              <w:rPr>
                <w:rFonts w:asciiTheme="minorHAnsi" w:hAnsiTheme="minorHAnsi"/>
                <w:color w:val="000000" w:themeColor="text1"/>
                <w:sz w:val="18"/>
                <w:szCs w:val="18"/>
                <w:lang w:eastAsia="en-GB"/>
              </w:rPr>
              <w:t xml:space="preserve"> o </w:t>
            </w:r>
            <w:proofErr w:type="spellStart"/>
            <w:r w:rsidRPr="00A6034C">
              <w:rPr>
                <w:rFonts w:asciiTheme="minorHAnsi" w:hAnsiTheme="minorHAnsi"/>
                <w:color w:val="000000" w:themeColor="text1"/>
                <w:sz w:val="18"/>
                <w:szCs w:val="18"/>
                <w:lang w:eastAsia="en-GB"/>
              </w:rPr>
              <w:t>nacionalnem</w:t>
            </w:r>
            <w:proofErr w:type="spellEnd"/>
            <w:r w:rsidRPr="00A6034C">
              <w:rPr>
                <w:rFonts w:asciiTheme="minorHAnsi" w:hAnsiTheme="minorHAnsi"/>
                <w:color w:val="000000" w:themeColor="text1"/>
                <w:sz w:val="18"/>
                <w:szCs w:val="18"/>
                <w:lang w:eastAsia="en-GB"/>
              </w:rPr>
              <w:t xml:space="preserve"> </w:t>
            </w:r>
            <w:proofErr w:type="spellStart"/>
            <w:r w:rsidRPr="00A6034C">
              <w:rPr>
                <w:rFonts w:asciiTheme="minorHAnsi" w:hAnsiTheme="minorHAnsi"/>
                <w:color w:val="000000" w:themeColor="text1"/>
                <w:sz w:val="18"/>
                <w:szCs w:val="18"/>
                <w:lang w:eastAsia="en-GB"/>
              </w:rPr>
              <w:t>programu</w:t>
            </w:r>
            <w:proofErr w:type="spellEnd"/>
            <w:r w:rsidRPr="00A6034C">
              <w:rPr>
                <w:rFonts w:asciiTheme="minorHAnsi" w:hAnsiTheme="minorHAnsi"/>
                <w:color w:val="000000" w:themeColor="text1"/>
                <w:sz w:val="18"/>
                <w:szCs w:val="18"/>
                <w:lang w:eastAsia="en-GB"/>
              </w:rPr>
              <w:t xml:space="preserve"> </w:t>
            </w:r>
            <w:proofErr w:type="spellStart"/>
            <w:r w:rsidRPr="00A6034C">
              <w:rPr>
                <w:rFonts w:asciiTheme="minorHAnsi" w:hAnsiTheme="minorHAnsi"/>
                <w:color w:val="000000" w:themeColor="text1"/>
                <w:sz w:val="18"/>
                <w:szCs w:val="18"/>
                <w:lang w:eastAsia="en-GB"/>
              </w:rPr>
              <w:t>ravnanja</w:t>
            </w:r>
            <w:proofErr w:type="spellEnd"/>
            <w:r w:rsidRPr="00A6034C">
              <w:rPr>
                <w:rFonts w:asciiTheme="minorHAnsi" w:hAnsiTheme="minorHAnsi"/>
                <w:color w:val="000000" w:themeColor="text1"/>
                <w:sz w:val="18"/>
                <w:szCs w:val="18"/>
                <w:lang w:eastAsia="en-GB"/>
              </w:rPr>
              <w:t xml:space="preserve"> z radioaktivnimi odpadki in </w:t>
            </w:r>
            <w:proofErr w:type="spellStart"/>
            <w:r w:rsidRPr="00A6034C">
              <w:rPr>
                <w:rFonts w:asciiTheme="minorHAnsi" w:hAnsiTheme="minorHAnsi"/>
                <w:color w:val="000000" w:themeColor="text1"/>
                <w:sz w:val="18"/>
                <w:szCs w:val="18"/>
                <w:lang w:eastAsia="en-GB"/>
              </w:rPr>
              <w:t>izrabljenim</w:t>
            </w:r>
            <w:proofErr w:type="spellEnd"/>
            <w:r w:rsidRPr="00A6034C">
              <w:rPr>
                <w:rFonts w:asciiTheme="minorHAnsi" w:hAnsiTheme="minorHAnsi"/>
                <w:color w:val="000000" w:themeColor="text1"/>
                <w:sz w:val="18"/>
                <w:szCs w:val="18"/>
                <w:lang w:eastAsia="en-GB"/>
              </w:rPr>
              <w:t xml:space="preserve"> </w:t>
            </w:r>
            <w:proofErr w:type="spellStart"/>
            <w:r w:rsidRPr="00A6034C">
              <w:rPr>
                <w:rFonts w:asciiTheme="minorHAnsi" w:hAnsiTheme="minorHAnsi"/>
                <w:color w:val="000000" w:themeColor="text1"/>
                <w:sz w:val="18"/>
                <w:szCs w:val="18"/>
                <w:lang w:eastAsia="en-GB"/>
              </w:rPr>
              <w:t>gorivom</w:t>
            </w:r>
            <w:proofErr w:type="spellEnd"/>
            <w:r w:rsidRPr="00A6034C">
              <w:rPr>
                <w:rFonts w:asciiTheme="minorHAnsi" w:hAnsiTheme="minorHAnsi"/>
                <w:color w:val="000000" w:themeColor="text1"/>
                <w:sz w:val="18"/>
                <w:szCs w:val="18"/>
                <w:lang w:eastAsia="en-GB"/>
              </w:rPr>
              <w:t xml:space="preserve"> za </w:t>
            </w:r>
            <w:proofErr w:type="spellStart"/>
            <w:r w:rsidRPr="00A6034C">
              <w:rPr>
                <w:rFonts w:asciiTheme="minorHAnsi" w:hAnsiTheme="minorHAnsi"/>
                <w:color w:val="000000" w:themeColor="text1"/>
                <w:sz w:val="18"/>
                <w:szCs w:val="18"/>
                <w:lang w:eastAsia="en-GB"/>
              </w:rPr>
              <w:t>obdobje</w:t>
            </w:r>
            <w:proofErr w:type="spellEnd"/>
            <w:r w:rsidRPr="00A6034C">
              <w:rPr>
                <w:rFonts w:asciiTheme="minorHAnsi" w:hAnsiTheme="minorHAnsi"/>
                <w:color w:val="000000" w:themeColor="text1"/>
                <w:sz w:val="18"/>
                <w:szCs w:val="18"/>
                <w:lang w:eastAsia="en-GB"/>
              </w:rPr>
              <w:t xml:space="preserve"> 2016–2025 (</w:t>
            </w:r>
            <w:proofErr w:type="spellStart"/>
            <w:r w:rsidRPr="00A6034C">
              <w:rPr>
                <w:rFonts w:asciiTheme="minorHAnsi" w:hAnsiTheme="minorHAnsi"/>
                <w:color w:val="000000" w:themeColor="text1"/>
                <w:sz w:val="18"/>
                <w:szCs w:val="18"/>
                <w:lang w:eastAsia="en-GB"/>
              </w:rPr>
              <w:t>Uradni</w:t>
            </w:r>
            <w:proofErr w:type="spellEnd"/>
            <w:r w:rsidRPr="00A6034C">
              <w:rPr>
                <w:rFonts w:asciiTheme="minorHAnsi" w:hAnsiTheme="minorHAnsi"/>
                <w:color w:val="000000" w:themeColor="text1"/>
                <w:sz w:val="18"/>
                <w:szCs w:val="18"/>
                <w:lang w:eastAsia="en-GB"/>
              </w:rPr>
              <w:t xml:space="preserve"> list RS, </w:t>
            </w:r>
            <w:proofErr w:type="spellStart"/>
            <w:r w:rsidRPr="00A6034C">
              <w:rPr>
                <w:rFonts w:asciiTheme="minorHAnsi" w:hAnsiTheme="minorHAnsi"/>
                <w:color w:val="000000" w:themeColor="text1"/>
                <w:sz w:val="18"/>
                <w:szCs w:val="18"/>
                <w:lang w:eastAsia="en-GB"/>
              </w:rPr>
              <w:t>št</w:t>
            </w:r>
            <w:proofErr w:type="spellEnd"/>
            <w:r w:rsidRPr="00A6034C">
              <w:rPr>
                <w:rFonts w:asciiTheme="minorHAnsi" w:hAnsiTheme="minorHAnsi"/>
                <w:color w:val="000000" w:themeColor="text1"/>
                <w:sz w:val="18"/>
                <w:szCs w:val="18"/>
                <w:lang w:eastAsia="en-GB"/>
              </w:rPr>
              <w:t>. 31/16</w:t>
            </w:r>
            <w:proofErr w:type="gramStart"/>
            <w:r w:rsidRPr="00A6034C">
              <w:rPr>
                <w:rFonts w:asciiTheme="minorHAnsi" w:hAnsiTheme="minorHAnsi"/>
                <w:color w:val="000000" w:themeColor="text1"/>
                <w:sz w:val="18"/>
                <w:szCs w:val="18"/>
                <w:lang w:eastAsia="en-GB"/>
              </w:rPr>
              <w:t>) ,</w:t>
            </w:r>
            <w:proofErr w:type="gramEnd"/>
            <w:r w:rsidRPr="00A6034C">
              <w:rPr>
                <w:rFonts w:asciiTheme="minorHAnsi" w:hAnsiTheme="minorHAnsi"/>
                <w:color w:val="000000" w:themeColor="text1"/>
                <w:sz w:val="18"/>
                <w:szCs w:val="18"/>
                <w:lang w:eastAsia="en-GB"/>
              </w:rPr>
              <w:t xml:space="preserve"> 2016). NEK SF management programme should be a stand-alone document, the contents of which shall be in accordance with the safety analysis report as further required in Annex 2 of JV7. It is understood that the elements of the program currently exist in several plant documents and that the program is under preparation.</w:t>
            </w:r>
          </w:p>
        </w:tc>
        <w:tc>
          <w:tcPr>
            <w:tcW w:w="1873" w:type="dxa"/>
          </w:tcPr>
          <w:p w14:paraId="7844B370" w14:textId="77777777" w:rsidR="00935B67" w:rsidRPr="00A6034C" w:rsidRDefault="00935B67" w:rsidP="00935B67">
            <w:pPr>
              <w:jc w:val="left"/>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4.1.3</w:t>
            </w:r>
          </w:p>
        </w:tc>
        <w:tc>
          <w:tcPr>
            <w:tcW w:w="2119" w:type="dxa"/>
          </w:tcPr>
          <w:p w14:paraId="7EA4D5E1"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688CFF96" w14:textId="77777777" w:rsidTr="00935B67">
        <w:trPr>
          <w:trHeight w:val="559"/>
        </w:trPr>
        <w:tc>
          <w:tcPr>
            <w:tcW w:w="1418" w:type="dxa"/>
            <w:shd w:val="clear" w:color="auto" w:fill="auto"/>
            <w:noWrap/>
          </w:tcPr>
          <w:p w14:paraId="77D71216"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 xml:space="preserve">PSR3 5.2-006 </w:t>
            </w:r>
          </w:p>
        </w:tc>
        <w:tc>
          <w:tcPr>
            <w:tcW w:w="714" w:type="dxa"/>
            <w:shd w:val="clear" w:color="auto" w:fill="auto"/>
          </w:tcPr>
          <w:p w14:paraId="10DDC50A"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H</w:t>
            </w:r>
          </w:p>
        </w:tc>
        <w:tc>
          <w:tcPr>
            <w:tcW w:w="1020" w:type="dxa"/>
            <w:shd w:val="clear" w:color="auto" w:fill="auto"/>
          </w:tcPr>
          <w:p w14:paraId="26DCCB74"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4,5</w:t>
            </w:r>
          </w:p>
        </w:tc>
        <w:tc>
          <w:tcPr>
            <w:tcW w:w="7255" w:type="dxa"/>
            <w:shd w:val="clear" w:color="auto" w:fill="auto"/>
          </w:tcPr>
          <w:p w14:paraId="7F75EB2B" w14:textId="2C0B9F36"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b/>
                <w:bCs/>
                <w:color w:val="000000" w:themeColor="text1"/>
                <w:sz w:val="18"/>
                <w:szCs w:val="18"/>
                <w:lang w:eastAsia="en-GB"/>
              </w:rPr>
              <w:t>SF management programme</w:t>
            </w:r>
            <w:r w:rsidRPr="00A6034C">
              <w:rPr>
                <w:rFonts w:asciiTheme="minorHAnsi" w:hAnsiTheme="minorHAnsi"/>
                <w:color w:val="000000" w:themeColor="text1"/>
                <w:sz w:val="18"/>
                <w:szCs w:val="18"/>
                <w:lang w:eastAsia="en-GB"/>
              </w:rPr>
              <w:t xml:space="preserve">:  Develop and approve the </w:t>
            </w:r>
            <w:bookmarkStart w:id="181" w:name="_Hlk138003959"/>
            <w:r w:rsidRPr="00A6034C">
              <w:rPr>
                <w:rFonts w:asciiTheme="minorHAnsi" w:hAnsiTheme="minorHAnsi"/>
                <w:color w:val="000000" w:themeColor="text1"/>
                <w:sz w:val="18"/>
                <w:szCs w:val="18"/>
                <w:lang w:eastAsia="en-GB"/>
              </w:rPr>
              <w:t xml:space="preserve">spent fuel </w:t>
            </w:r>
            <w:r w:rsidR="00290F1E" w:rsidRPr="00A6034C">
              <w:rPr>
                <w:rFonts w:asciiTheme="minorHAnsi" w:hAnsiTheme="minorHAnsi"/>
                <w:color w:val="000000" w:themeColor="text1"/>
                <w:sz w:val="18"/>
                <w:szCs w:val="18"/>
                <w:lang w:eastAsia="en-GB"/>
              </w:rPr>
              <w:t>management programme</w:t>
            </w:r>
            <w:r w:rsidRPr="00A6034C">
              <w:rPr>
                <w:rFonts w:asciiTheme="minorHAnsi" w:hAnsiTheme="minorHAnsi"/>
                <w:color w:val="000000" w:themeColor="text1"/>
                <w:sz w:val="18"/>
                <w:szCs w:val="18"/>
                <w:lang w:eastAsia="en-GB"/>
              </w:rPr>
              <w:t xml:space="preserve"> </w:t>
            </w:r>
            <w:bookmarkEnd w:id="181"/>
            <w:r w:rsidRPr="00A6034C">
              <w:rPr>
                <w:rFonts w:asciiTheme="minorHAnsi" w:hAnsiTheme="minorHAnsi"/>
                <w:color w:val="000000" w:themeColor="text1"/>
                <w:sz w:val="18"/>
                <w:szCs w:val="18"/>
                <w:lang w:eastAsia="en-GB"/>
              </w:rPr>
              <w:t>as required by JV7, article 6 which would be aligned with the National RW and SF management programme (</w:t>
            </w:r>
            <w:proofErr w:type="spellStart"/>
            <w:r w:rsidRPr="00A6034C">
              <w:rPr>
                <w:rFonts w:asciiTheme="minorHAnsi" w:hAnsiTheme="minorHAnsi"/>
                <w:color w:val="000000" w:themeColor="text1"/>
                <w:sz w:val="18"/>
                <w:szCs w:val="18"/>
                <w:lang w:eastAsia="en-GB"/>
              </w:rPr>
              <w:t>Resolucija</w:t>
            </w:r>
            <w:proofErr w:type="spellEnd"/>
            <w:r w:rsidRPr="00A6034C">
              <w:rPr>
                <w:rFonts w:asciiTheme="minorHAnsi" w:hAnsiTheme="minorHAnsi"/>
                <w:color w:val="000000" w:themeColor="text1"/>
                <w:sz w:val="18"/>
                <w:szCs w:val="18"/>
                <w:lang w:eastAsia="en-GB"/>
              </w:rPr>
              <w:t xml:space="preserve"> o </w:t>
            </w:r>
            <w:proofErr w:type="spellStart"/>
            <w:r w:rsidRPr="00A6034C">
              <w:rPr>
                <w:rFonts w:asciiTheme="minorHAnsi" w:hAnsiTheme="minorHAnsi"/>
                <w:color w:val="000000" w:themeColor="text1"/>
                <w:sz w:val="18"/>
                <w:szCs w:val="18"/>
                <w:lang w:eastAsia="en-GB"/>
              </w:rPr>
              <w:t>nacionalnem</w:t>
            </w:r>
            <w:proofErr w:type="spellEnd"/>
            <w:r w:rsidRPr="00A6034C">
              <w:rPr>
                <w:rFonts w:asciiTheme="minorHAnsi" w:hAnsiTheme="minorHAnsi"/>
                <w:color w:val="000000" w:themeColor="text1"/>
                <w:sz w:val="18"/>
                <w:szCs w:val="18"/>
                <w:lang w:eastAsia="en-GB"/>
              </w:rPr>
              <w:t xml:space="preserve"> </w:t>
            </w:r>
            <w:proofErr w:type="spellStart"/>
            <w:r w:rsidRPr="00A6034C">
              <w:rPr>
                <w:rFonts w:asciiTheme="minorHAnsi" w:hAnsiTheme="minorHAnsi"/>
                <w:color w:val="000000" w:themeColor="text1"/>
                <w:sz w:val="18"/>
                <w:szCs w:val="18"/>
                <w:lang w:eastAsia="en-GB"/>
              </w:rPr>
              <w:t>programu</w:t>
            </w:r>
            <w:proofErr w:type="spellEnd"/>
            <w:r w:rsidRPr="00A6034C">
              <w:rPr>
                <w:rFonts w:asciiTheme="minorHAnsi" w:hAnsiTheme="minorHAnsi"/>
                <w:color w:val="000000" w:themeColor="text1"/>
                <w:sz w:val="18"/>
                <w:szCs w:val="18"/>
                <w:lang w:eastAsia="en-GB"/>
              </w:rPr>
              <w:t xml:space="preserve"> </w:t>
            </w:r>
            <w:proofErr w:type="spellStart"/>
            <w:r w:rsidRPr="00A6034C">
              <w:rPr>
                <w:rFonts w:asciiTheme="minorHAnsi" w:hAnsiTheme="minorHAnsi"/>
                <w:color w:val="000000" w:themeColor="text1"/>
                <w:sz w:val="18"/>
                <w:szCs w:val="18"/>
                <w:lang w:eastAsia="en-GB"/>
              </w:rPr>
              <w:t>ravnanja</w:t>
            </w:r>
            <w:proofErr w:type="spellEnd"/>
            <w:r w:rsidRPr="00A6034C">
              <w:rPr>
                <w:rFonts w:asciiTheme="minorHAnsi" w:hAnsiTheme="minorHAnsi"/>
                <w:color w:val="000000" w:themeColor="text1"/>
                <w:sz w:val="18"/>
                <w:szCs w:val="18"/>
                <w:lang w:eastAsia="en-GB"/>
              </w:rPr>
              <w:t xml:space="preserve"> z radioaktivnimi odpadki in </w:t>
            </w:r>
            <w:proofErr w:type="spellStart"/>
            <w:r w:rsidRPr="00A6034C">
              <w:rPr>
                <w:rFonts w:asciiTheme="minorHAnsi" w:hAnsiTheme="minorHAnsi"/>
                <w:color w:val="000000" w:themeColor="text1"/>
                <w:sz w:val="18"/>
                <w:szCs w:val="18"/>
                <w:lang w:eastAsia="en-GB"/>
              </w:rPr>
              <w:t>izrabljenim</w:t>
            </w:r>
            <w:proofErr w:type="spellEnd"/>
            <w:r w:rsidRPr="00A6034C">
              <w:rPr>
                <w:rFonts w:asciiTheme="minorHAnsi" w:hAnsiTheme="minorHAnsi"/>
                <w:color w:val="000000" w:themeColor="text1"/>
                <w:sz w:val="18"/>
                <w:szCs w:val="18"/>
                <w:lang w:eastAsia="en-GB"/>
              </w:rPr>
              <w:t xml:space="preserve"> </w:t>
            </w:r>
            <w:proofErr w:type="spellStart"/>
            <w:r w:rsidRPr="00A6034C">
              <w:rPr>
                <w:rFonts w:asciiTheme="minorHAnsi" w:hAnsiTheme="minorHAnsi"/>
                <w:color w:val="000000" w:themeColor="text1"/>
                <w:sz w:val="18"/>
                <w:szCs w:val="18"/>
                <w:lang w:eastAsia="en-GB"/>
              </w:rPr>
              <w:t>gorivom</w:t>
            </w:r>
            <w:proofErr w:type="spellEnd"/>
            <w:r w:rsidRPr="00A6034C">
              <w:rPr>
                <w:rFonts w:asciiTheme="minorHAnsi" w:hAnsiTheme="minorHAnsi"/>
                <w:color w:val="000000" w:themeColor="text1"/>
                <w:sz w:val="18"/>
                <w:szCs w:val="18"/>
                <w:lang w:eastAsia="en-GB"/>
              </w:rPr>
              <w:t xml:space="preserve"> za </w:t>
            </w:r>
            <w:proofErr w:type="spellStart"/>
            <w:r w:rsidRPr="00A6034C">
              <w:rPr>
                <w:rFonts w:asciiTheme="minorHAnsi" w:hAnsiTheme="minorHAnsi"/>
                <w:color w:val="000000" w:themeColor="text1"/>
                <w:sz w:val="18"/>
                <w:szCs w:val="18"/>
                <w:lang w:eastAsia="en-GB"/>
              </w:rPr>
              <w:t>obdobje</w:t>
            </w:r>
            <w:proofErr w:type="spellEnd"/>
            <w:r w:rsidRPr="00A6034C">
              <w:rPr>
                <w:rFonts w:asciiTheme="minorHAnsi" w:hAnsiTheme="minorHAnsi"/>
                <w:color w:val="000000" w:themeColor="text1"/>
                <w:sz w:val="18"/>
                <w:szCs w:val="18"/>
                <w:lang w:eastAsia="en-GB"/>
              </w:rPr>
              <w:t xml:space="preserve"> 2016–2025 (</w:t>
            </w:r>
            <w:proofErr w:type="spellStart"/>
            <w:r w:rsidRPr="00A6034C">
              <w:rPr>
                <w:rFonts w:asciiTheme="minorHAnsi" w:hAnsiTheme="minorHAnsi"/>
                <w:color w:val="000000" w:themeColor="text1"/>
                <w:sz w:val="18"/>
                <w:szCs w:val="18"/>
                <w:lang w:eastAsia="en-GB"/>
              </w:rPr>
              <w:t>Uradni</w:t>
            </w:r>
            <w:proofErr w:type="spellEnd"/>
            <w:r w:rsidRPr="00A6034C">
              <w:rPr>
                <w:rFonts w:asciiTheme="minorHAnsi" w:hAnsiTheme="minorHAnsi"/>
                <w:color w:val="000000" w:themeColor="text1"/>
                <w:sz w:val="18"/>
                <w:szCs w:val="18"/>
                <w:lang w:eastAsia="en-GB"/>
              </w:rPr>
              <w:t xml:space="preserve"> list RS, </w:t>
            </w:r>
            <w:proofErr w:type="spellStart"/>
            <w:r w:rsidRPr="00A6034C">
              <w:rPr>
                <w:rFonts w:asciiTheme="minorHAnsi" w:hAnsiTheme="minorHAnsi"/>
                <w:color w:val="000000" w:themeColor="text1"/>
                <w:sz w:val="18"/>
                <w:szCs w:val="18"/>
                <w:lang w:eastAsia="en-GB"/>
              </w:rPr>
              <w:t>št</w:t>
            </w:r>
            <w:proofErr w:type="spellEnd"/>
            <w:r w:rsidRPr="00A6034C">
              <w:rPr>
                <w:rFonts w:asciiTheme="minorHAnsi" w:hAnsiTheme="minorHAnsi"/>
                <w:color w:val="000000" w:themeColor="text1"/>
                <w:sz w:val="18"/>
                <w:szCs w:val="18"/>
                <w:lang w:eastAsia="en-GB"/>
              </w:rPr>
              <w:t>. 31/16</w:t>
            </w:r>
            <w:r w:rsidR="00290F1E" w:rsidRPr="00A6034C">
              <w:rPr>
                <w:rFonts w:asciiTheme="minorHAnsi" w:hAnsiTheme="minorHAnsi"/>
                <w:color w:val="000000" w:themeColor="text1"/>
                <w:sz w:val="18"/>
                <w:szCs w:val="18"/>
                <w:lang w:eastAsia="en-GB"/>
              </w:rPr>
              <w:t>),</w:t>
            </w:r>
            <w:r w:rsidRPr="00A6034C">
              <w:rPr>
                <w:rFonts w:asciiTheme="minorHAnsi" w:hAnsiTheme="minorHAnsi"/>
                <w:color w:val="000000" w:themeColor="text1"/>
                <w:sz w:val="18"/>
                <w:szCs w:val="18"/>
                <w:lang w:eastAsia="en-GB"/>
              </w:rPr>
              <w:t xml:space="preserve"> 2016). NEK SF management programme should be a stand-alone document, the contents of which shall be in accordance with the safety analysis report as further required in Annex 2 of JV7 (same as PSR3 5.2-02).</w:t>
            </w:r>
            <w:r w:rsidRPr="00A6034C">
              <w:rPr>
                <w:rFonts w:asciiTheme="minorHAnsi" w:hAnsiTheme="minorHAnsi"/>
                <w:color w:val="000000" w:themeColor="text1"/>
                <w:sz w:val="18"/>
                <w:szCs w:val="18"/>
                <w:lang w:eastAsia="en-GB"/>
              </w:rPr>
              <w:br/>
              <w:t>It is understood that the elements of the program currently exist in several plant documents and that the program is under preparation.</w:t>
            </w:r>
          </w:p>
        </w:tc>
        <w:tc>
          <w:tcPr>
            <w:tcW w:w="1873" w:type="dxa"/>
          </w:tcPr>
          <w:p w14:paraId="69CBBC24" w14:textId="77777777" w:rsidR="00935B67" w:rsidRPr="00A6034C" w:rsidRDefault="00935B67" w:rsidP="00935B67">
            <w:pPr>
              <w:jc w:val="left"/>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4.1.3</w:t>
            </w:r>
          </w:p>
        </w:tc>
        <w:tc>
          <w:tcPr>
            <w:tcW w:w="2119" w:type="dxa"/>
          </w:tcPr>
          <w:p w14:paraId="47FDA418"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5C560649" w14:textId="77777777" w:rsidTr="00935B67">
        <w:trPr>
          <w:trHeight w:val="559"/>
        </w:trPr>
        <w:tc>
          <w:tcPr>
            <w:tcW w:w="1418" w:type="dxa"/>
            <w:shd w:val="clear" w:color="auto" w:fill="auto"/>
            <w:noWrap/>
          </w:tcPr>
          <w:p w14:paraId="043619A7"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lastRenderedPageBreak/>
              <w:t>PSR3 5.2-007</w:t>
            </w:r>
          </w:p>
        </w:tc>
        <w:tc>
          <w:tcPr>
            <w:tcW w:w="714" w:type="dxa"/>
            <w:shd w:val="clear" w:color="auto" w:fill="auto"/>
          </w:tcPr>
          <w:p w14:paraId="2A82CE52"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7731F188"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4,5</w:t>
            </w:r>
          </w:p>
        </w:tc>
        <w:tc>
          <w:tcPr>
            <w:tcW w:w="7255" w:type="dxa"/>
            <w:shd w:val="clear" w:color="auto" w:fill="auto"/>
          </w:tcPr>
          <w:p w14:paraId="520BF520" w14:textId="17FF1C99"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b/>
                <w:bCs/>
                <w:color w:val="000000" w:themeColor="text1"/>
                <w:sz w:val="18"/>
                <w:szCs w:val="18"/>
                <w:lang w:eastAsia="en-GB"/>
              </w:rPr>
              <w:t xml:space="preserve">Upgrade of RW management </w:t>
            </w:r>
            <w:proofErr w:type="gramStart"/>
            <w:r w:rsidRPr="00A6034C">
              <w:rPr>
                <w:rFonts w:asciiTheme="minorHAnsi" w:hAnsiTheme="minorHAnsi"/>
                <w:b/>
                <w:bCs/>
                <w:color w:val="000000" w:themeColor="text1"/>
                <w:sz w:val="18"/>
                <w:szCs w:val="18"/>
                <w:lang w:eastAsia="en-GB"/>
              </w:rPr>
              <w:t>programme-1</w:t>
            </w:r>
            <w:proofErr w:type="gramEnd"/>
            <w:r w:rsidRPr="00A6034C">
              <w:rPr>
                <w:rFonts w:asciiTheme="minorHAnsi" w:hAnsiTheme="minorHAnsi"/>
                <w:color w:val="000000" w:themeColor="text1"/>
                <w:sz w:val="18"/>
                <w:szCs w:val="18"/>
                <w:lang w:eastAsia="en-GB"/>
              </w:rPr>
              <w:t xml:space="preserve">: More information about DB and WMB1 should be included in the RW management programme (NEK, 2020) as </w:t>
            </w:r>
            <w:r w:rsidR="00290F1E" w:rsidRPr="00A6034C">
              <w:rPr>
                <w:rFonts w:asciiTheme="minorHAnsi" w:hAnsiTheme="minorHAnsi"/>
                <w:color w:val="000000" w:themeColor="text1"/>
                <w:sz w:val="18"/>
                <w:szCs w:val="18"/>
                <w:lang w:eastAsia="en-GB"/>
              </w:rPr>
              <w:t>both facilities</w:t>
            </w:r>
            <w:r w:rsidRPr="00A6034C">
              <w:rPr>
                <w:rFonts w:asciiTheme="minorHAnsi" w:hAnsiTheme="minorHAnsi"/>
                <w:color w:val="000000" w:themeColor="text1"/>
                <w:sz w:val="18"/>
                <w:szCs w:val="18"/>
                <w:lang w:eastAsia="en-GB"/>
              </w:rPr>
              <w:t xml:space="preserve"> are also part of the NEK on-site RW management. In TD-0C the high-level information should be included: a short description of RW management facilities with some basic characteristics also for DB and WMB1 as described in JV7, appendix 2 (</w:t>
            </w:r>
            <w:proofErr w:type="spellStart"/>
            <w:r w:rsidRPr="00A6034C">
              <w:rPr>
                <w:rFonts w:asciiTheme="minorHAnsi" w:hAnsiTheme="minorHAnsi"/>
                <w:color w:val="000000" w:themeColor="text1"/>
                <w:sz w:val="18"/>
                <w:szCs w:val="18"/>
                <w:lang w:eastAsia="en-GB"/>
              </w:rPr>
              <w:t>Pravilnik</w:t>
            </w:r>
            <w:proofErr w:type="spellEnd"/>
            <w:r w:rsidRPr="00A6034C">
              <w:rPr>
                <w:rFonts w:asciiTheme="minorHAnsi" w:hAnsiTheme="minorHAnsi"/>
                <w:color w:val="000000" w:themeColor="text1"/>
                <w:sz w:val="18"/>
                <w:szCs w:val="18"/>
                <w:lang w:eastAsia="en-GB"/>
              </w:rPr>
              <w:t xml:space="preserve"> o </w:t>
            </w:r>
            <w:proofErr w:type="spellStart"/>
            <w:r w:rsidRPr="00A6034C">
              <w:rPr>
                <w:rFonts w:asciiTheme="minorHAnsi" w:hAnsiTheme="minorHAnsi"/>
                <w:color w:val="000000" w:themeColor="text1"/>
                <w:sz w:val="18"/>
                <w:szCs w:val="18"/>
                <w:lang w:eastAsia="en-GB"/>
              </w:rPr>
              <w:t>ravnanju</w:t>
            </w:r>
            <w:proofErr w:type="spellEnd"/>
            <w:r w:rsidRPr="00A6034C">
              <w:rPr>
                <w:rFonts w:asciiTheme="minorHAnsi" w:hAnsiTheme="minorHAnsi"/>
                <w:color w:val="000000" w:themeColor="text1"/>
                <w:sz w:val="18"/>
                <w:szCs w:val="18"/>
                <w:lang w:eastAsia="en-GB"/>
              </w:rPr>
              <w:t xml:space="preserve"> z radioaktivnimi odpadki in </w:t>
            </w:r>
            <w:proofErr w:type="spellStart"/>
            <w:r w:rsidRPr="00A6034C">
              <w:rPr>
                <w:rFonts w:asciiTheme="minorHAnsi" w:hAnsiTheme="minorHAnsi"/>
                <w:color w:val="000000" w:themeColor="text1"/>
                <w:sz w:val="18"/>
                <w:szCs w:val="18"/>
                <w:lang w:eastAsia="en-GB"/>
              </w:rPr>
              <w:t>izrabljenim</w:t>
            </w:r>
            <w:proofErr w:type="spellEnd"/>
            <w:r w:rsidRPr="00A6034C">
              <w:rPr>
                <w:rFonts w:asciiTheme="minorHAnsi" w:hAnsiTheme="minorHAnsi"/>
                <w:color w:val="000000" w:themeColor="text1"/>
                <w:sz w:val="18"/>
                <w:szCs w:val="18"/>
                <w:lang w:eastAsia="en-GB"/>
              </w:rPr>
              <w:t xml:space="preserve"> </w:t>
            </w:r>
            <w:proofErr w:type="spellStart"/>
            <w:r w:rsidRPr="00A6034C">
              <w:rPr>
                <w:rFonts w:asciiTheme="minorHAnsi" w:hAnsiTheme="minorHAnsi"/>
                <w:color w:val="000000" w:themeColor="text1"/>
                <w:sz w:val="18"/>
                <w:szCs w:val="18"/>
                <w:lang w:eastAsia="en-GB"/>
              </w:rPr>
              <w:t>gorivom</w:t>
            </w:r>
            <w:proofErr w:type="spellEnd"/>
            <w:r w:rsidRPr="00A6034C">
              <w:rPr>
                <w:rFonts w:asciiTheme="minorHAnsi" w:hAnsiTheme="minorHAnsi"/>
                <w:color w:val="000000" w:themeColor="text1"/>
                <w:sz w:val="18"/>
                <w:szCs w:val="18"/>
                <w:lang w:eastAsia="en-GB"/>
              </w:rPr>
              <w:t xml:space="preserve"> (</w:t>
            </w:r>
            <w:proofErr w:type="spellStart"/>
            <w:r w:rsidRPr="00A6034C">
              <w:rPr>
                <w:rFonts w:asciiTheme="minorHAnsi" w:hAnsiTheme="minorHAnsi"/>
                <w:color w:val="000000" w:themeColor="text1"/>
                <w:sz w:val="18"/>
                <w:szCs w:val="18"/>
                <w:lang w:eastAsia="en-GB"/>
              </w:rPr>
              <w:t>Uradni</w:t>
            </w:r>
            <w:proofErr w:type="spellEnd"/>
            <w:r w:rsidRPr="00A6034C">
              <w:rPr>
                <w:rFonts w:asciiTheme="minorHAnsi" w:hAnsiTheme="minorHAnsi"/>
                <w:color w:val="000000" w:themeColor="text1"/>
                <w:sz w:val="18"/>
                <w:szCs w:val="18"/>
                <w:lang w:eastAsia="en-GB"/>
              </w:rPr>
              <w:t xml:space="preserve"> list RS, </w:t>
            </w:r>
            <w:proofErr w:type="spellStart"/>
            <w:r w:rsidRPr="00A6034C">
              <w:rPr>
                <w:rFonts w:asciiTheme="minorHAnsi" w:hAnsiTheme="minorHAnsi"/>
                <w:color w:val="000000" w:themeColor="text1"/>
                <w:sz w:val="18"/>
                <w:szCs w:val="18"/>
                <w:lang w:eastAsia="en-GB"/>
              </w:rPr>
              <w:t>št</w:t>
            </w:r>
            <w:proofErr w:type="spellEnd"/>
            <w:r w:rsidRPr="00A6034C">
              <w:rPr>
                <w:rFonts w:asciiTheme="minorHAnsi" w:hAnsiTheme="minorHAnsi"/>
                <w:color w:val="000000" w:themeColor="text1"/>
                <w:sz w:val="18"/>
                <w:szCs w:val="18"/>
                <w:lang w:eastAsia="en-GB"/>
              </w:rPr>
              <w:t>. 125/21), 2021).</w:t>
            </w:r>
          </w:p>
        </w:tc>
        <w:tc>
          <w:tcPr>
            <w:tcW w:w="1873" w:type="dxa"/>
          </w:tcPr>
          <w:p w14:paraId="2FC7BD18" w14:textId="77777777" w:rsidR="00935B67" w:rsidRPr="00A6034C" w:rsidRDefault="00935B67" w:rsidP="00935B67">
            <w:pPr>
              <w:jc w:val="left"/>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4.1.3</w:t>
            </w:r>
          </w:p>
        </w:tc>
        <w:tc>
          <w:tcPr>
            <w:tcW w:w="2119" w:type="dxa"/>
          </w:tcPr>
          <w:p w14:paraId="1CAE0DD9"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524D0DD1" w14:textId="77777777" w:rsidTr="00935B67">
        <w:trPr>
          <w:trHeight w:val="559"/>
        </w:trPr>
        <w:tc>
          <w:tcPr>
            <w:tcW w:w="1418" w:type="dxa"/>
            <w:shd w:val="clear" w:color="auto" w:fill="auto"/>
            <w:noWrap/>
          </w:tcPr>
          <w:p w14:paraId="6B3C1128"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PSR3 5.2-008</w:t>
            </w:r>
          </w:p>
        </w:tc>
        <w:tc>
          <w:tcPr>
            <w:tcW w:w="714" w:type="dxa"/>
            <w:shd w:val="clear" w:color="auto" w:fill="auto"/>
          </w:tcPr>
          <w:p w14:paraId="7A6B2849"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7BF562FD"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4,5</w:t>
            </w:r>
          </w:p>
        </w:tc>
        <w:tc>
          <w:tcPr>
            <w:tcW w:w="7255" w:type="dxa"/>
            <w:shd w:val="clear" w:color="auto" w:fill="auto"/>
          </w:tcPr>
          <w:p w14:paraId="0FE38876" w14:textId="77777777"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b/>
                <w:bCs/>
                <w:color w:val="000000" w:themeColor="text1"/>
                <w:sz w:val="18"/>
                <w:szCs w:val="18"/>
                <w:lang w:eastAsia="en-GB"/>
              </w:rPr>
              <w:t xml:space="preserve">Upgrade of RW management </w:t>
            </w:r>
            <w:proofErr w:type="gramStart"/>
            <w:r w:rsidRPr="00A6034C">
              <w:rPr>
                <w:rFonts w:asciiTheme="minorHAnsi" w:hAnsiTheme="minorHAnsi"/>
                <w:b/>
                <w:bCs/>
                <w:color w:val="000000" w:themeColor="text1"/>
                <w:sz w:val="18"/>
                <w:szCs w:val="18"/>
                <w:lang w:eastAsia="en-GB"/>
              </w:rPr>
              <w:t>programme-2</w:t>
            </w:r>
            <w:proofErr w:type="gramEnd"/>
            <w:r w:rsidRPr="00A6034C">
              <w:rPr>
                <w:rFonts w:asciiTheme="minorHAnsi" w:hAnsiTheme="minorHAnsi"/>
                <w:color w:val="000000" w:themeColor="text1"/>
                <w:sz w:val="18"/>
                <w:szCs w:val="18"/>
                <w:lang w:eastAsia="en-GB"/>
              </w:rPr>
              <w:t>: NEK RW programme (NEK, 2020) should include the new development in relation to the LILW repository establishment and provides the findings in relation to the fact that the WAC for LILW repository are developed (in 2018) and how they will impact the NEK RW management as the activities should be interrelated. The Chapter 11 should be amended with the consideration of interdependences between the stages of RW management.</w:t>
            </w:r>
          </w:p>
        </w:tc>
        <w:tc>
          <w:tcPr>
            <w:tcW w:w="1873" w:type="dxa"/>
          </w:tcPr>
          <w:p w14:paraId="26F6D6C8" w14:textId="77777777" w:rsidR="00935B67" w:rsidRPr="00A6034C" w:rsidRDefault="00935B67" w:rsidP="00935B67">
            <w:pPr>
              <w:jc w:val="left"/>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4.1.3</w:t>
            </w:r>
          </w:p>
        </w:tc>
        <w:tc>
          <w:tcPr>
            <w:tcW w:w="2119" w:type="dxa"/>
          </w:tcPr>
          <w:p w14:paraId="669A8E2C"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0FB2CFEF" w14:textId="77777777" w:rsidTr="00935B67">
        <w:trPr>
          <w:trHeight w:val="559"/>
        </w:trPr>
        <w:tc>
          <w:tcPr>
            <w:tcW w:w="1418" w:type="dxa"/>
            <w:shd w:val="clear" w:color="auto" w:fill="auto"/>
            <w:noWrap/>
          </w:tcPr>
          <w:p w14:paraId="7117F0FA"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PSR3 5.2-009</w:t>
            </w:r>
          </w:p>
        </w:tc>
        <w:tc>
          <w:tcPr>
            <w:tcW w:w="714" w:type="dxa"/>
            <w:shd w:val="clear" w:color="auto" w:fill="auto"/>
          </w:tcPr>
          <w:p w14:paraId="3E848FCC"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M</w:t>
            </w:r>
          </w:p>
        </w:tc>
        <w:tc>
          <w:tcPr>
            <w:tcW w:w="1020" w:type="dxa"/>
            <w:shd w:val="clear" w:color="auto" w:fill="auto"/>
          </w:tcPr>
          <w:p w14:paraId="7E8D4B04"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4,5</w:t>
            </w:r>
          </w:p>
        </w:tc>
        <w:tc>
          <w:tcPr>
            <w:tcW w:w="7255" w:type="dxa"/>
            <w:shd w:val="clear" w:color="auto" w:fill="auto"/>
          </w:tcPr>
          <w:p w14:paraId="0D83C45A" w14:textId="30F8C976" w:rsidR="00935B67" w:rsidRPr="00A6034C" w:rsidRDefault="00935B67" w:rsidP="00935B67">
            <w:pPr>
              <w:jc w:val="left"/>
              <w:rPr>
                <w:rFonts w:asciiTheme="minorHAnsi" w:hAnsiTheme="minorHAnsi"/>
                <w:color w:val="000000"/>
                <w:sz w:val="18"/>
                <w:szCs w:val="18"/>
                <w:lang w:eastAsia="en-GB"/>
              </w:rPr>
            </w:pPr>
            <w:r w:rsidRPr="00A6034C">
              <w:rPr>
                <w:rFonts w:asciiTheme="minorHAnsi" w:hAnsiTheme="minorHAnsi"/>
                <w:b/>
                <w:bCs/>
                <w:color w:val="000000" w:themeColor="text1"/>
                <w:sz w:val="18"/>
                <w:szCs w:val="18"/>
                <w:lang w:eastAsia="en-GB"/>
              </w:rPr>
              <w:t>Upgrade of RW management programme-3</w:t>
            </w:r>
            <w:r w:rsidRPr="00A6034C">
              <w:rPr>
                <w:rFonts w:asciiTheme="minorHAnsi" w:hAnsiTheme="minorHAnsi"/>
                <w:color w:val="000000" w:themeColor="text1"/>
                <w:sz w:val="18"/>
                <w:szCs w:val="18"/>
                <w:lang w:eastAsia="en-GB"/>
              </w:rPr>
              <w:t>: The operational national programmes are not prescribed in the ZVISJV-1 (</w:t>
            </w:r>
            <w:proofErr w:type="spellStart"/>
            <w:r w:rsidRPr="00A6034C">
              <w:rPr>
                <w:rFonts w:asciiTheme="minorHAnsi" w:hAnsiTheme="minorHAnsi"/>
                <w:color w:val="000000" w:themeColor="text1"/>
                <w:sz w:val="18"/>
                <w:szCs w:val="18"/>
                <w:lang w:eastAsia="en-GB"/>
              </w:rPr>
              <w:t>Zakon</w:t>
            </w:r>
            <w:proofErr w:type="spellEnd"/>
            <w:r w:rsidRPr="00A6034C">
              <w:rPr>
                <w:rFonts w:asciiTheme="minorHAnsi" w:hAnsiTheme="minorHAnsi"/>
                <w:color w:val="000000" w:themeColor="text1"/>
                <w:sz w:val="18"/>
                <w:szCs w:val="18"/>
                <w:lang w:eastAsia="en-GB"/>
              </w:rPr>
              <w:t xml:space="preserve"> o </w:t>
            </w:r>
            <w:proofErr w:type="spellStart"/>
            <w:r w:rsidRPr="00A6034C">
              <w:rPr>
                <w:rFonts w:asciiTheme="minorHAnsi" w:hAnsiTheme="minorHAnsi"/>
                <w:color w:val="000000" w:themeColor="text1"/>
                <w:sz w:val="18"/>
                <w:szCs w:val="18"/>
                <w:lang w:eastAsia="en-GB"/>
              </w:rPr>
              <w:t>varstvu</w:t>
            </w:r>
            <w:proofErr w:type="spellEnd"/>
            <w:r w:rsidRPr="00A6034C">
              <w:rPr>
                <w:rFonts w:asciiTheme="minorHAnsi" w:hAnsiTheme="minorHAnsi"/>
                <w:color w:val="000000" w:themeColor="text1"/>
                <w:sz w:val="18"/>
                <w:szCs w:val="18"/>
                <w:lang w:eastAsia="en-GB"/>
              </w:rPr>
              <w:t xml:space="preserve"> pred </w:t>
            </w:r>
            <w:proofErr w:type="spellStart"/>
            <w:r w:rsidRPr="00A6034C">
              <w:rPr>
                <w:rFonts w:asciiTheme="minorHAnsi" w:hAnsiTheme="minorHAnsi"/>
                <w:color w:val="000000" w:themeColor="text1"/>
                <w:sz w:val="18"/>
                <w:szCs w:val="18"/>
                <w:lang w:eastAsia="en-GB"/>
              </w:rPr>
              <w:t>ionizirajočimi</w:t>
            </w:r>
            <w:proofErr w:type="spellEnd"/>
            <w:r w:rsidRPr="00A6034C">
              <w:rPr>
                <w:rFonts w:asciiTheme="minorHAnsi" w:hAnsiTheme="minorHAnsi"/>
                <w:color w:val="000000" w:themeColor="text1"/>
                <w:sz w:val="18"/>
                <w:szCs w:val="18"/>
                <w:lang w:eastAsia="en-GB"/>
              </w:rPr>
              <w:t xml:space="preserve"> </w:t>
            </w:r>
            <w:proofErr w:type="spellStart"/>
            <w:r w:rsidRPr="00A6034C">
              <w:rPr>
                <w:rFonts w:asciiTheme="minorHAnsi" w:hAnsiTheme="minorHAnsi"/>
                <w:color w:val="000000" w:themeColor="text1"/>
                <w:sz w:val="18"/>
                <w:szCs w:val="18"/>
                <w:lang w:eastAsia="en-GB"/>
              </w:rPr>
              <w:t>sevanji</w:t>
            </w:r>
            <w:proofErr w:type="spellEnd"/>
            <w:r w:rsidRPr="00A6034C">
              <w:rPr>
                <w:rFonts w:asciiTheme="minorHAnsi" w:hAnsiTheme="minorHAnsi"/>
                <w:color w:val="000000" w:themeColor="text1"/>
                <w:sz w:val="18"/>
                <w:szCs w:val="18"/>
                <w:lang w:eastAsia="en-GB"/>
              </w:rPr>
              <w:t xml:space="preserve"> in </w:t>
            </w:r>
            <w:proofErr w:type="spellStart"/>
            <w:r w:rsidRPr="00A6034C">
              <w:rPr>
                <w:rFonts w:asciiTheme="minorHAnsi" w:hAnsiTheme="minorHAnsi"/>
                <w:color w:val="000000" w:themeColor="text1"/>
                <w:sz w:val="18"/>
                <w:szCs w:val="18"/>
                <w:lang w:eastAsia="en-GB"/>
              </w:rPr>
              <w:t>jedrski</w:t>
            </w:r>
            <w:proofErr w:type="spellEnd"/>
            <w:r w:rsidRPr="00A6034C">
              <w:rPr>
                <w:rFonts w:asciiTheme="minorHAnsi" w:hAnsiTheme="minorHAnsi"/>
                <w:color w:val="000000" w:themeColor="text1"/>
                <w:sz w:val="18"/>
                <w:szCs w:val="18"/>
                <w:lang w:eastAsia="en-GB"/>
              </w:rPr>
              <w:t xml:space="preserve"> </w:t>
            </w:r>
            <w:proofErr w:type="spellStart"/>
            <w:r w:rsidRPr="00A6034C">
              <w:rPr>
                <w:rFonts w:asciiTheme="minorHAnsi" w:hAnsiTheme="minorHAnsi"/>
                <w:color w:val="000000" w:themeColor="text1"/>
                <w:sz w:val="18"/>
                <w:szCs w:val="18"/>
                <w:lang w:eastAsia="en-GB"/>
              </w:rPr>
              <w:t>varnosti</w:t>
            </w:r>
            <w:proofErr w:type="spellEnd"/>
            <w:r w:rsidRPr="00A6034C">
              <w:rPr>
                <w:rFonts w:asciiTheme="minorHAnsi" w:hAnsiTheme="minorHAnsi"/>
                <w:color w:val="000000" w:themeColor="text1"/>
                <w:sz w:val="18"/>
                <w:szCs w:val="18"/>
                <w:lang w:eastAsia="en-GB"/>
              </w:rPr>
              <w:t xml:space="preserve"> (</w:t>
            </w:r>
            <w:proofErr w:type="spellStart"/>
            <w:r w:rsidRPr="00A6034C">
              <w:rPr>
                <w:rFonts w:asciiTheme="minorHAnsi" w:hAnsiTheme="minorHAnsi"/>
                <w:color w:val="000000" w:themeColor="text1"/>
                <w:sz w:val="18"/>
                <w:szCs w:val="18"/>
                <w:lang w:eastAsia="en-GB"/>
              </w:rPr>
              <w:t>Uradni</w:t>
            </w:r>
            <w:proofErr w:type="spellEnd"/>
            <w:r w:rsidRPr="00A6034C">
              <w:rPr>
                <w:rFonts w:asciiTheme="minorHAnsi" w:hAnsiTheme="minorHAnsi"/>
                <w:color w:val="000000" w:themeColor="text1"/>
                <w:sz w:val="18"/>
                <w:szCs w:val="18"/>
                <w:lang w:eastAsia="en-GB"/>
              </w:rPr>
              <w:t xml:space="preserve"> list RS, </w:t>
            </w:r>
            <w:proofErr w:type="spellStart"/>
            <w:r w:rsidRPr="00A6034C">
              <w:rPr>
                <w:rFonts w:asciiTheme="minorHAnsi" w:hAnsiTheme="minorHAnsi"/>
                <w:color w:val="000000" w:themeColor="text1"/>
                <w:sz w:val="18"/>
                <w:szCs w:val="18"/>
                <w:lang w:eastAsia="en-GB"/>
              </w:rPr>
              <w:t>št</w:t>
            </w:r>
            <w:proofErr w:type="spellEnd"/>
            <w:r w:rsidRPr="00A6034C">
              <w:rPr>
                <w:rFonts w:asciiTheme="minorHAnsi" w:hAnsiTheme="minorHAnsi"/>
                <w:color w:val="000000" w:themeColor="text1"/>
                <w:sz w:val="18"/>
                <w:szCs w:val="18"/>
                <w:lang w:eastAsia="en-GB"/>
              </w:rPr>
              <w:t>. 76/17 in 26/19</w:t>
            </w:r>
            <w:r w:rsidR="00290F1E" w:rsidRPr="00A6034C">
              <w:rPr>
                <w:rFonts w:asciiTheme="minorHAnsi" w:hAnsiTheme="minorHAnsi"/>
                <w:color w:val="000000" w:themeColor="text1"/>
                <w:sz w:val="18"/>
                <w:szCs w:val="18"/>
                <w:lang w:eastAsia="en-GB"/>
              </w:rPr>
              <w:t>),</w:t>
            </w:r>
            <w:r w:rsidRPr="00A6034C">
              <w:rPr>
                <w:rFonts w:asciiTheme="minorHAnsi" w:hAnsiTheme="minorHAnsi"/>
                <w:color w:val="000000" w:themeColor="text1"/>
                <w:sz w:val="18"/>
                <w:szCs w:val="18"/>
                <w:lang w:eastAsia="en-GB"/>
              </w:rPr>
              <w:t xml:space="preserve"> 2017), therefore the statements in the chapter 12 of NEK RW programme (NEK, 2020) on harmonisation of management procedures with operational national programmes should be changed.</w:t>
            </w:r>
          </w:p>
        </w:tc>
        <w:tc>
          <w:tcPr>
            <w:tcW w:w="1873" w:type="dxa"/>
          </w:tcPr>
          <w:p w14:paraId="131079C1" w14:textId="77777777" w:rsidR="00935B67" w:rsidRPr="00A6034C" w:rsidRDefault="00935B67" w:rsidP="00935B67">
            <w:pPr>
              <w:jc w:val="left"/>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4.1.3</w:t>
            </w:r>
          </w:p>
        </w:tc>
        <w:tc>
          <w:tcPr>
            <w:tcW w:w="2119" w:type="dxa"/>
          </w:tcPr>
          <w:p w14:paraId="7A1B9868" w14:textId="77777777" w:rsidR="00935B67" w:rsidRPr="00A6034C" w:rsidRDefault="00935B67" w:rsidP="00935B67">
            <w:pPr>
              <w:jc w:val="left"/>
              <w:rPr>
                <w:rFonts w:asciiTheme="minorHAnsi" w:hAnsiTheme="minorHAnsi"/>
                <w:b/>
                <w:bCs/>
                <w:color w:val="000000"/>
                <w:sz w:val="18"/>
                <w:szCs w:val="18"/>
                <w:lang w:eastAsia="en-GB"/>
              </w:rPr>
            </w:pPr>
            <w:r w:rsidRPr="00A6034C">
              <w:rPr>
                <w:rFonts w:asciiTheme="minorHAnsi" w:hAnsiTheme="minorHAnsi"/>
                <w:bCs/>
                <w:sz w:val="18"/>
                <w:szCs w:val="18"/>
                <w:lang w:eastAsia="en-GB"/>
              </w:rPr>
              <w:t>Time implementation: II</w:t>
            </w:r>
          </w:p>
        </w:tc>
      </w:tr>
      <w:tr w:rsidR="00935B67" w:rsidRPr="00275FBD" w14:paraId="7978F4C2" w14:textId="77777777" w:rsidTr="00935B67">
        <w:trPr>
          <w:trHeight w:val="559"/>
        </w:trPr>
        <w:tc>
          <w:tcPr>
            <w:tcW w:w="14399" w:type="dxa"/>
            <w:gridSpan w:val="6"/>
            <w:shd w:val="clear" w:color="auto" w:fill="auto"/>
            <w:noWrap/>
          </w:tcPr>
          <w:p w14:paraId="59DFCAEE" w14:textId="77777777" w:rsidR="00935B67" w:rsidRPr="00A6034C" w:rsidRDefault="00935B67" w:rsidP="00935B67">
            <w:pPr>
              <w:jc w:val="left"/>
              <w:rPr>
                <w:rFonts w:asciiTheme="minorHAnsi" w:hAnsiTheme="minorHAnsi"/>
                <w:bCs/>
                <w:sz w:val="18"/>
                <w:szCs w:val="18"/>
                <w:lang w:eastAsia="en-GB"/>
              </w:rPr>
            </w:pPr>
            <w:r w:rsidRPr="00A6034C">
              <w:rPr>
                <w:rFonts w:asciiTheme="minorHAnsi" w:hAnsiTheme="minorHAnsi"/>
                <w:b/>
                <w:bCs/>
                <w:sz w:val="22"/>
                <w:szCs w:val="22"/>
                <w:lang w:eastAsia="en-GB"/>
              </w:rPr>
              <w:t>Safety Factor 17 Direct Input in IAP</w:t>
            </w:r>
            <w:r w:rsidRPr="00A6034C">
              <w:rPr>
                <w:rFonts w:asciiTheme="minorHAnsi" w:hAnsiTheme="minorHAnsi"/>
                <w:bCs/>
                <w:sz w:val="18"/>
                <w:szCs w:val="18"/>
                <w:lang w:eastAsia="en-GB"/>
              </w:rPr>
              <w:t xml:space="preserve">  </w:t>
            </w:r>
          </w:p>
        </w:tc>
      </w:tr>
      <w:tr w:rsidR="00935B67" w:rsidRPr="00275FBD" w14:paraId="7AA475C9" w14:textId="77777777" w:rsidTr="00935B67">
        <w:trPr>
          <w:trHeight w:val="559"/>
        </w:trPr>
        <w:tc>
          <w:tcPr>
            <w:tcW w:w="1418" w:type="dxa"/>
            <w:shd w:val="clear" w:color="auto" w:fill="auto"/>
            <w:noWrap/>
          </w:tcPr>
          <w:p w14:paraId="3052B0B0"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PSR3 6.1-023</w:t>
            </w:r>
          </w:p>
        </w:tc>
        <w:tc>
          <w:tcPr>
            <w:tcW w:w="714" w:type="dxa"/>
            <w:shd w:val="clear" w:color="auto" w:fill="auto"/>
          </w:tcPr>
          <w:p w14:paraId="6F510D4D"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w:t>
            </w:r>
          </w:p>
        </w:tc>
        <w:tc>
          <w:tcPr>
            <w:tcW w:w="1020" w:type="dxa"/>
            <w:shd w:val="clear" w:color="auto" w:fill="auto"/>
          </w:tcPr>
          <w:p w14:paraId="13783A1D"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w:t>
            </w:r>
          </w:p>
        </w:tc>
        <w:tc>
          <w:tcPr>
            <w:tcW w:w="7255" w:type="dxa"/>
            <w:shd w:val="clear" w:color="auto" w:fill="auto"/>
          </w:tcPr>
          <w:p w14:paraId="065A16AC" w14:textId="77777777" w:rsidR="00935B67" w:rsidRPr="00A6034C" w:rsidRDefault="00935B67" w:rsidP="00935B67">
            <w:pPr>
              <w:jc w:val="left"/>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The plant management must check the adequacy and effectiveness of the security culture through self-assessment and regular reviews of the management system.</w:t>
            </w:r>
          </w:p>
        </w:tc>
        <w:tc>
          <w:tcPr>
            <w:tcW w:w="1873" w:type="dxa"/>
          </w:tcPr>
          <w:p w14:paraId="4924776F"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Not Applicable</w:t>
            </w:r>
          </w:p>
        </w:tc>
        <w:tc>
          <w:tcPr>
            <w:tcW w:w="2119" w:type="dxa"/>
          </w:tcPr>
          <w:p w14:paraId="1706CAF2" w14:textId="77777777" w:rsidR="00935B67" w:rsidRPr="00A6034C" w:rsidRDefault="00935B67" w:rsidP="00935B67">
            <w:pPr>
              <w:jc w:val="center"/>
              <w:rPr>
                <w:rFonts w:asciiTheme="minorHAnsi" w:hAnsiTheme="minorHAnsi"/>
                <w:color w:val="000000" w:themeColor="text1"/>
                <w:sz w:val="18"/>
                <w:szCs w:val="18"/>
                <w:lang w:eastAsia="en-GB"/>
              </w:rPr>
            </w:pPr>
            <w:r w:rsidRPr="00A6034C">
              <w:rPr>
                <w:rFonts w:asciiTheme="minorHAnsi" w:hAnsiTheme="minorHAnsi"/>
                <w:color w:val="000000" w:themeColor="text1"/>
                <w:sz w:val="18"/>
                <w:szCs w:val="18"/>
                <w:lang w:eastAsia="en-GB"/>
              </w:rPr>
              <w:t>Time implementation: II</w:t>
            </w:r>
          </w:p>
        </w:tc>
      </w:tr>
    </w:tbl>
    <w:p w14:paraId="124791FD" w14:textId="77777777" w:rsidR="00935B67" w:rsidRPr="00275FBD" w:rsidRDefault="00935B67" w:rsidP="00935B67">
      <w:pPr>
        <w:jc w:val="center"/>
        <w:rPr>
          <w:rFonts w:asciiTheme="minorHAnsi" w:hAnsiTheme="minorHAnsi"/>
          <w:color w:val="000000" w:themeColor="text1"/>
          <w:sz w:val="18"/>
          <w:szCs w:val="18"/>
          <w:lang w:val="sl-SI" w:eastAsia="en-GB"/>
        </w:rPr>
      </w:pPr>
    </w:p>
    <w:p w14:paraId="60A2B745" w14:textId="77777777" w:rsidR="00935B67" w:rsidRPr="00275FBD" w:rsidRDefault="00935B67" w:rsidP="00935B67">
      <w:pPr>
        <w:pStyle w:val="Napis"/>
        <w:keepNext/>
        <w:rPr>
          <w:lang w:val="sl-SI"/>
        </w:rPr>
        <w:sectPr w:rsidR="00935B67" w:rsidRPr="00275FBD" w:rsidSect="005F6909">
          <w:headerReference w:type="even" r:id="rId49"/>
          <w:headerReference w:type="default" r:id="rId50"/>
          <w:footerReference w:type="default" r:id="rId51"/>
          <w:headerReference w:type="first" r:id="rId52"/>
          <w:pgSz w:w="16838" w:h="11906" w:orient="landscape"/>
          <w:pgMar w:top="1418" w:right="1418" w:bottom="1418" w:left="1134" w:header="709" w:footer="709" w:gutter="0"/>
          <w:cols w:space="708"/>
          <w:docGrid w:linePitch="360"/>
        </w:sectPr>
      </w:pPr>
    </w:p>
    <w:p w14:paraId="31D574AD" w14:textId="18641637" w:rsidR="000B7B30" w:rsidRPr="00275FBD" w:rsidRDefault="000B7B30" w:rsidP="000B7B30">
      <w:pPr>
        <w:pStyle w:val="Napis"/>
        <w:rPr>
          <w:lang w:val="sl-SI"/>
        </w:rPr>
      </w:pPr>
      <w:bookmarkStart w:id="182" w:name="_Ref138606727"/>
      <w:bookmarkStart w:id="183" w:name="_Ref138606517"/>
      <w:bookmarkStart w:id="184" w:name="_Toc163197446"/>
      <w:r w:rsidRPr="00275FBD">
        <w:rPr>
          <w:lang w:val="sl-SI"/>
        </w:rPr>
        <w:lastRenderedPageBreak/>
        <w:t>Tabela A-</w:t>
      </w:r>
      <w:r w:rsidRPr="00275FBD">
        <w:rPr>
          <w:lang w:val="sl-SI"/>
        </w:rPr>
        <w:fldChar w:fldCharType="begin"/>
      </w:r>
      <w:r w:rsidRPr="00275FBD">
        <w:rPr>
          <w:lang w:val="sl-SI"/>
        </w:rPr>
        <w:instrText xml:space="preserve"> SEQ Tabela_A- \* ARABIC </w:instrText>
      </w:r>
      <w:r w:rsidRPr="00275FBD">
        <w:rPr>
          <w:lang w:val="sl-SI"/>
        </w:rPr>
        <w:fldChar w:fldCharType="separate"/>
      </w:r>
      <w:r w:rsidR="00BA25CD">
        <w:rPr>
          <w:noProof/>
          <w:lang w:val="sl-SI"/>
        </w:rPr>
        <w:t>2</w:t>
      </w:r>
      <w:r w:rsidRPr="00275FBD">
        <w:rPr>
          <w:lang w:val="sl-SI"/>
        </w:rPr>
        <w:fldChar w:fldCharType="end"/>
      </w:r>
      <w:bookmarkEnd w:id="182"/>
      <w:r w:rsidRPr="00275FBD">
        <w:rPr>
          <w:lang w:val="sl-SI"/>
        </w:rPr>
        <w:t xml:space="preserve">: Seznam </w:t>
      </w:r>
      <w:r w:rsidR="00BD5705" w:rsidRPr="00275FBD">
        <w:rPr>
          <w:lang w:val="sl-SI"/>
        </w:rPr>
        <w:t xml:space="preserve">najdb </w:t>
      </w:r>
      <w:r w:rsidRPr="00275FBD">
        <w:rPr>
          <w:lang w:val="sl-SI"/>
        </w:rPr>
        <w:t>z direktno zahtevano rešitvijo in direktnim vnosom v CAP</w:t>
      </w:r>
      <w:bookmarkEnd w:id="183"/>
      <w:bookmarkEnd w:id="184"/>
    </w:p>
    <w:tbl>
      <w:tblPr>
        <w:tblW w:w="1439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5"/>
        <w:gridCol w:w="993"/>
        <w:gridCol w:w="8730"/>
        <w:gridCol w:w="2403"/>
      </w:tblGrid>
      <w:tr w:rsidR="00935B67" w:rsidRPr="00275FBD" w14:paraId="5EF3DC41" w14:textId="77777777" w:rsidTr="00935B67">
        <w:trPr>
          <w:trHeight w:val="332"/>
          <w:tblHeader/>
        </w:trPr>
        <w:tc>
          <w:tcPr>
            <w:tcW w:w="1418" w:type="dxa"/>
            <w:vMerge w:val="restart"/>
            <w:shd w:val="clear" w:color="000000" w:fill="BFBFBF"/>
            <w:hideMark/>
          </w:tcPr>
          <w:p w14:paraId="71D18453" w14:textId="77777777" w:rsidR="00935B67" w:rsidRPr="00275FBD" w:rsidRDefault="00935B67" w:rsidP="00935B67">
            <w:pPr>
              <w:jc w:val="center"/>
              <w:rPr>
                <w:rFonts w:asciiTheme="minorHAnsi" w:hAnsiTheme="minorHAnsi"/>
                <w:b/>
                <w:bCs/>
                <w:color w:val="000000"/>
                <w:sz w:val="18"/>
                <w:szCs w:val="18"/>
                <w:lang w:val="sl-SI" w:eastAsia="en-GB"/>
              </w:rPr>
            </w:pPr>
            <w:proofErr w:type="spellStart"/>
            <w:r w:rsidRPr="00275FBD">
              <w:rPr>
                <w:rFonts w:asciiTheme="minorHAnsi" w:hAnsiTheme="minorHAnsi"/>
                <w:b/>
                <w:bCs/>
                <w:color w:val="000000"/>
                <w:sz w:val="18"/>
                <w:szCs w:val="18"/>
                <w:lang w:val="sl-SI" w:eastAsia="en-GB"/>
              </w:rPr>
              <w:t>Issue</w:t>
            </w:r>
            <w:proofErr w:type="spellEnd"/>
            <w:r w:rsidRPr="00275FBD">
              <w:rPr>
                <w:rFonts w:asciiTheme="minorHAnsi" w:hAnsiTheme="minorHAnsi"/>
                <w:b/>
                <w:bCs/>
                <w:color w:val="000000"/>
                <w:sz w:val="18"/>
                <w:szCs w:val="18"/>
                <w:lang w:val="sl-SI" w:eastAsia="en-GB"/>
              </w:rPr>
              <w:t xml:space="preserve"> ID</w:t>
            </w:r>
          </w:p>
        </w:tc>
        <w:tc>
          <w:tcPr>
            <w:tcW w:w="1848" w:type="dxa"/>
            <w:gridSpan w:val="2"/>
            <w:shd w:val="clear" w:color="000000" w:fill="BFBFBF"/>
            <w:hideMark/>
          </w:tcPr>
          <w:p w14:paraId="0DCE54EC"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b/>
                <w:bCs/>
                <w:color w:val="000000"/>
                <w:sz w:val="18"/>
                <w:szCs w:val="18"/>
                <w:lang w:val="sl-SI" w:eastAsia="en-GB"/>
              </w:rPr>
              <w:t xml:space="preserve">Safety </w:t>
            </w:r>
            <w:proofErr w:type="spellStart"/>
            <w:r w:rsidRPr="00275FBD">
              <w:rPr>
                <w:rFonts w:asciiTheme="minorHAnsi" w:hAnsiTheme="minorHAnsi"/>
                <w:b/>
                <w:bCs/>
                <w:color w:val="000000"/>
                <w:sz w:val="18"/>
                <w:szCs w:val="18"/>
                <w:lang w:val="sl-SI" w:eastAsia="en-GB"/>
              </w:rPr>
              <w:t>Significance</w:t>
            </w:r>
            <w:proofErr w:type="spellEnd"/>
            <w:r w:rsidRPr="00275FBD">
              <w:rPr>
                <w:rFonts w:asciiTheme="minorHAnsi" w:hAnsiTheme="minorHAnsi"/>
                <w:b/>
                <w:bCs/>
                <w:color w:val="000000"/>
                <w:sz w:val="18"/>
                <w:szCs w:val="18"/>
                <w:lang w:val="sl-SI" w:eastAsia="en-GB"/>
              </w:rPr>
              <w:t xml:space="preserve"> - </w:t>
            </w:r>
            <w:proofErr w:type="spellStart"/>
            <w:r w:rsidRPr="00275FBD">
              <w:rPr>
                <w:rFonts w:asciiTheme="minorHAnsi" w:hAnsiTheme="minorHAnsi"/>
                <w:b/>
                <w:bCs/>
                <w:color w:val="000000"/>
                <w:sz w:val="18"/>
                <w:szCs w:val="18"/>
                <w:lang w:val="sl-SI" w:eastAsia="en-GB"/>
              </w:rPr>
              <w:t>Final</w:t>
            </w:r>
            <w:proofErr w:type="spellEnd"/>
            <w:r w:rsidRPr="00275FBD">
              <w:rPr>
                <w:rFonts w:asciiTheme="minorHAnsi" w:hAnsiTheme="minorHAnsi"/>
                <w:b/>
                <w:bCs/>
                <w:color w:val="000000"/>
                <w:sz w:val="18"/>
                <w:szCs w:val="18"/>
                <w:lang w:val="sl-SI" w:eastAsia="en-GB"/>
              </w:rPr>
              <w:t xml:space="preserve"> </w:t>
            </w:r>
            <w:proofErr w:type="spellStart"/>
            <w:r w:rsidRPr="00275FBD">
              <w:rPr>
                <w:rFonts w:asciiTheme="minorHAnsi" w:hAnsiTheme="minorHAnsi"/>
                <w:b/>
                <w:bCs/>
                <w:color w:val="000000"/>
                <w:sz w:val="18"/>
                <w:szCs w:val="18"/>
                <w:lang w:val="sl-SI" w:eastAsia="en-GB"/>
              </w:rPr>
              <w:t>Broad</w:t>
            </w:r>
            <w:proofErr w:type="spellEnd"/>
            <w:r w:rsidRPr="00275FBD">
              <w:rPr>
                <w:rFonts w:asciiTheme="minorHAnsi" w:hAnsiTheme="minorHAnsi"/>
                <w:b/>
                <w:bCs/>
                <w:color w:val="000000"/>
                <w:sz w:val="18"/>
                <w:szCs w:val="18"/>
                <w:lang w:val="sl-SI" w:eastAsia="en-GB"/>
              </w:rPr>
              <w:t xml:space="preserve"> </w:t>
            </w:r>
            <w:proofErr w:type="spellStart"/>
            <w:r w:rsidRPr="00275FBD">
              <w:rPr>
                <w:rFonts w:asciiTheme="minorHAnsi" w:hAnsiTheme="minorHAnsi"/>
                <w:b/>
                <w:bCs/>
                <w:color w:val="000000"/>
                <w:sz w:val="18"/>
                <w:szCs w:val="18"/>
                <w:lang w:val="sl-SI" w:eastAsia="en-GB"/>
              </w:rPr>
              <w:t>Ranking</w:t>
            </w:r>
            <w:proofErr w:type="spellEnd"/>
          </w:p>
        </w:tc>
        <w:tc>
          <w:tcPr>
            <w:tcW w:w="8730" w:type="dxa"/>
            <w:vMerge w:val="restart"/>
            <w:shd w:val="clear" w:color="000000" w:fill="BFBFBF"/>
            <w:hideMark/>
          </w:tcPr>
          <w:p w14:paraId="3F9CA372" w14:textId="77777777" w:rsidR="00935B67" w:rsidRPr="00275FBD" w:rsidRDefault="00935B67" w:rsidP="00935B67">
            <w:pPr>
              <w:jc w:val="center"/>
              <w:rPr>
                <w:rFonts w:asciiTheme="minorHAnsi" w:hAnsiTheme="minorHAnsi"/>
                <w:b/>
                <w:bCs/>
                <w:color w:val="000000"/>
                <w:sz w:val="18"/>
                <w:szCs w:val="18"/>
                <w:lang w:val="sl-SI" w:eastAsia="en-GB"/>
              </w:rPr>
            </w:pPr>
            <w:proofErr w:type="spellStart"/>
            <w:r w:rsidRPr="00275FBD">
              <w:rPr>
                <w:rFonts w:asciiTheme="minorHAnsi" w:hAnsiTheme="minorHAnsi"/>
                <w:b/>
                <w:bCs/>
                <w:color w:val="000000"/>
                <w:sz w:val="18"/>
                <w:szCs w:val="18"/>
                <w:lang w:val="sl-SI" w:eastAsia="en-GB"/>
              </w:rPr>
              <w:t>Corrective</w:t>
            </w:r>
            <w:proofErr w:type="spellEnd"/>
            <w:r w:rsidRPr="00275FBD">
              <w:rPr>
                <w:rFonts w:asciiTheme="minorHAnsi" w:hAnsiTheme="minorHAnsi"/>
                <w:b/>
                <w:bCs/>
                <w:color w:val="000000"/>
                <w:sz w:val="18"/>
                <w:szCs w:val="18"/>
                <w:lang w:val="sl-SI" w:eastAsia="en-GB"/>
              </w:rPr>
              <w:t xml:space="preserve"> </w:t>
            </w:r>
            <w:proofErr w:type="spellStart"/>
            <w:r w:rsidRPr="00275FBD">
              <w:rPr>
                <w:rFonts w:asciiTheme="minorHAnsi" w:hAnsiTheme="minorHAnsi"/>
                <w:b/>
                <w:bCs/>
                <w:color w:val="000000"/>
                <w:sz w:val="18"/>
                <w:szCs w:val="18"/>
                <w:lang w:val="sl-SI" w:eastAsia="en-GB"/>
              </w:rPr>
              <w:t>Measures</w:t>
            </w:r>
            <w:proofErr w:type="spellEnd"/>
            <w:r w:rsidRPr="00275FBD">
              <w:rPr>
                <w:rFonts w:asciiTheme="minorHAnsi" w:hAnsiTheme="minorHAnsi"/>
                <w:b/>
                <w:bCs/>
                <w:color w:val="000000"/>
                <w:sz w:val="18"/>
                <w:szCs w:val="18"/>
                <w:lang w:val="sl-SI" w:eastAsia="en-GB"/>
              </w:rPr>
              <w:t xml:space="preserve"> </w:t>
            </w:r>
            <w:proofErr w:type="spellStart"/>
            <w:r w:rsidRPr="00275FBD">
              <w:rPr>
                <w:rFonts w:asciiTheme="minorHAnsi" w:hAnsiTheme="minorHAnsi"/>
                <w:b/>
                <w:bCs/>
                <w:color w:val="000000"/>
                <w:sz w:val="18"/>
                <w:szCs w:val="18"/>
                <w:lang w:val="sl-SI" w:eastAsia="en-GB"/>
              </w:rPr>
              <w:t>Description</w:t>
            </w:r>
            <w:proofErr w:type="spellEnd"/>
          </w:p>
        </w:tc>
        <w:tc>
          <w:tcPr>
            <w:tcW w:w="2403" w:type="dxa"/>
            <w:vMerge w:val="restart"/>
            <w:shd w:val="clear" w:color="000000" w:fill="BFBFBF"/>
          </w:tcPr>
          <w:p w14:paraId="773731B7"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b/>
                <w:bCs/>
                <w:color w:val="000000"/>
                <w:sz w:val="18"/>
                <w:szCs w:val="18"/>
                <w:lang w:val="sl-SI" w:eastAsia="en-GB"/>
              </w:rPr>
              <w:t>Time Implementation</w:t>
            </w:r>
          </w:p>
          <w:p w14:paraId="1B7B2980" w14:textId="77777777" w:rsidR="00935B67" w:rsidRPr="00275FBD" w:rsidRDefault="00935B67" w:rsidP="00935B67">
            <w:pPr>
              <w:jc w:val="center"/>
              <w:rPr>
                <w:rFonts w:asciiTheme="minorHAnsi" w:hAnsiTheme="minorHAnsi"/>
                <w:b/>
                <w:bCs/>
                <w:color w:val="000000"/>
                <w:sz w:val="18"/>
                <w:szCs w:val="18"/>
                <w:lang w:val="sl-SI" w:eastAsia="en-GB"/>
              </w:rPr>
            </w:pPr>
            <w:proofErr w:type="spellStart"/>
            <w:r w:rsidRPr="00275FBD">
              <w:rPr>
                <w:rFonts w:asciiTheme="minorHAnsi" w:hAnsiTheme="minorHAnsi"/>
                <w:b/>
                <w:bCs/>
                <w:color w:val="000000"/>
                <w:sz w:val="18"/>
                <w:szCs w:val="18"/>
                <w:lang w:val="sl-SI" w:eastAsia="en-GB"/>
              </w:rPr>
              <w:t>Category</w:t>
            </w:r>
            <w:proofErr w:type="spellEnd"/>
          </w:p>
        </w:tc>
      </w:tr>
      <w:tr w:rsidR="00935B67" w:rsidRPr="00275FBD" w14:paraId="2633C287" w14:textId="77777777" w:rsidTr="00935B67">
        <w:trPr>
          <w:trHeight w:val="331"/>
          <w:tblHeader/>
        </w:trPr>
        <w:tc>
          <w:tcPr>
            <w:tcW w:w="1418" w:type="dxa"/>
            <w:vMerge/>
            <w:shd w:val="clear" w:color="000000" w:fill="BFBFBF"/>
          </w:tcPr>
          <w:p w14:paraId="4C5591C3" w14:textId="77777777" w:rsidR="00935B67" w:rsidRPr="00275FBD" w:rsidRDefault="00935B67" w:rsidP="00935B67">
            <w:pPr>
              <w:jc w:val="center"/>
              <w:rPr>
                <w:rFonts w:asciiTheme="minorHAnsi" w:hAnsiTheme="minorHAnsi"/>
                <w:b/>
                <w:bCs/>
                <w:color w:val="000000"/>
                <w:sz w:val="18"/>
                <w:szCs w:val="18"/>
                <w:lang w:val="sl-SI" w:eastAsia="en-GB"/>
              </w:rPr>
            </w:pPr>
          </w:p>
        </w:tc>
        <w:tc>
          <w:tcPr>
            <w:tcW w:w="855" w:type="dxa"/>
            <w:shd w:val="clear" w:color="000000" w:fill="BFBFBF"/>
          </w:tcPr>
          <w:p w14:paraId="09C5D21D" w14:textId="77777777" w:rsidR="00935B67" w:rsidRPr="00275FBD" w:rsidRDefault="00935B67" w:rsidP="00935B67">
            <w:pPr>
              <w:jc w:val="center"/>
              <w:rPr>
                <w:rFonts w:asciiTheme="minorHAnsi" w:hAnsiTheme="minorHAnsi"/>
                <w:b/>
                <w:bCs/>
                <w:color w:val="000000"/>
                <w:sz w:val="18"/>
                <w:szCs w:val="18"/>
                <w:lang w:val="sl-SI" w:eastAsia="en-GB"/>
              </w:rPr>
            </w:pPr>
            <w:proofErr w:type="spellStart"/>
            <w:r w:rsidRPr="00275FBD">
              <w:rPr>
                <w:rFonts w:asciiTheme="minorHAnsi" w:hAnsiTheme="minorHAnsi"/>
                <w:b/>
                <w:bCs/>
                <w:color w:val="000000"/>
                <w:sz w:val="18"/>
                <w:szCs w:val="18"/>
                <w:lang w:val="sl-SI" w:eastAsia="en-GB"/>
              </w:rPr>
              <w:t>Broad</w:t>
            </w:r>
            <w:proofErr w:type="spellEnd"/>
            <w:r w:rsidRPr="00275FBD">
              <w:rPr>
                <w:rFonts w:asciiTheme="minorHAnsi" w:hAnsiTheme="minorHAnsi"/>
                <w:b/>
                <w:bCs/>
                <w:color w:val="000000"/>
                <w:sz w:val="18"/>
                <w:szCs w:val="18"/>
                <w:lang w:val="sl-SI" w:eastAsia="en-GB"/>
              </w:rPr>
              <w:t xml:space="preserve"> </w:t>
            </w:r>
            <w:proofErr w:type="spellStart"/>
            <w:r w:rsidRPr="00275FBD">
              <w:rPr>
                <w:rFonts w:asciiTheme="minorHAnsi" w:hAnsiTheme="minorHAnsi"/>
                <w:b/>
                <w:bCs/>
                <w:color w:val="000000"/>
                <w:sz w:val="18"/>
                <w:szCs w:val="18"/>
                <w:lang w:val="sl-SI" w:eastAsia="en-GB"/>
              </w:rPr>
              <w:t>Rank</w:t>
            </w:r>
            <w:proofErr w:type="spellEnd"/>
          </w:p>
        </w:tc>
        <w:tc>
          <w:tcPr>
            <w:tcW w:w="993" w:type="dxa"/>
            <w:shd w:val="clear" w:color="000000" w:fill="BFBFBF"/>
          </w:tcPr>
          <w:p w14:paraId="051A6813"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b/>
                <w:bCs/>
                <w:color w:val="000000"/>
                <w:sz w:val="18"/>
                <w:szCs w:val="18"/>
                <w:lang w:val="sl-SI" w:eastAsia="en-GB"/>
              </w:rPr>
              <w:t>Criteria</w:t>
            </w:r>
          </w:p>
        </w:tc>
        <w:tc>
          <w:tcPr>
            <w:tcW w:w="8730" w:type="dxa"/>
            <w:vMerge/>
            <w:shd w:val="clear" w:color="000000" w:fill="BFBFBF"/>
          </w:tcPr>
          <w:p w14:paraId="61174398" w14:textId="77777777" w:rsidR="00935B67" w:rsidRPr="00275FBD" w:rsidRDefault="00935B67" w:rsidP="00935B67">
            <w:pPr>
              <w:jc w:val="center"/>
              <w:rPr>
                <w:rFonts w:asciiTheme="minorHAnsi" w:hAnsiTheme="minorHAnsi"/>
                <w:b/>
                <w:bCs/>
                <w:color w:val="000000"/>
                <w:sz w:val="18"/>
                <w:szCs w:val="18"/>
                <w:lang w:val="sl-SI" w:eastAsia="en-GB"/>
              </w:rPr>
            </w:pPr>
          </w:p>
        </w:tc>
        <w:tc>
          <w:tcPr>
            <w:tcW w:w="2403" w:type="dxa"/>
            <w:vMerge/>
            <w:shd w:val="clear" w:color="000000" w:fill="BFBFBF"/>
          </w:tcPr>
          <w:p w14:paraId="5488FBE1" w14:textId="77777777" w:rsidR="00935B67" w:rsidRPr="00275FBD" w:rsidRDefault="00935B67" w:rsidP="00935B67">
            <w:pPr>
              <w:jc w:val="center"/>
              <w:rPr>
                <w:rFonts w:asciiTheme="minorHAnsi" w:hAnsiTheme="minorHAnsi"/>
                <w:b/>
                <w:bCs/>
                <w:color w:val="000000"/>
                <w:sz w:val="18"/>
                <w:szCs w:val="18"/>
                <w:lang w:val="sl-SI" w:eastAsia="en-GB"/>
              </w:rPr>
            </w:pPr>
          </w:p>
        </w:tc>
      </w:tr>
      <w:tr w:rsidR="00935B67" w:rsidRPr="00275FBD" w14:paraId="70589AB6" w14:textId="77777777" w:rsidTr="00935B67">
        <w:trPr>
          <w:trHeight w:val="559"/>
        </w:trPr>
        <w:tc>
          <w:tcPr>
            <w:tcW w:w="1418" w:type="dxa"/>
            <w:shd w:val="clear" w:color="auto" w:fill="auto"/>
            <w:noWrap/>
          </w:tcPr>
          <w:p w14:paraId="2ABA7C14"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PSR3 SAL-A-1</w:t>
            </w:r>
          </w:p>
        </w:tc>
        <w:tc>
          <w:tcPr>
            <w:tcW w:w="855" w:type="dxa"/>
            <w:shd w:val="clear" w:color="auto" w:fill="auto"/>
            <w:noWrap/>
          </w:tcPr>
          <w:p w14:paraId="4F36C63C"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M</w:t>
            </w:r>
          </w:p>
        </w:tc>
        <w:tc>
          <w:tcPr>
            <w:tcW w:w="993" w:type="dxa"/>
          </w:tcPr>
          <w:p w14:paraId="035FC3C4"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US" w:bidi="hi-IN"/>
              </w:rPr>
              <w:t>3</w:t>
            </w:r>
          </w:p>
        </w:tc>
        <w:tc>
          <w:tcPr>
            <w:tcW w:w="8730" w:type="dxa"/>
            <w:shd w:val="clear" w:color="auto" w:fill="auto"/>
            <w:vAlign w:val="center"/>
          </w:tcPr>
          <w:p w14:paraId="0BE5F320" w14:textId="77777777" w:rsidR="00935B67" w:rsidRPr="00275FBD" w:rsidRDefault="00935B67" w:rsidP="00935B67">
            <w:pPr>
              <w:jc w:val="left"/>
              <w:rPr>
                <w:rFonts w:asciiTheme="minorHAnsi" w:hAnsiTheme="minorHAnsi"/>
                <w:color w:val="000000"/>
                <w:sz w:val="18"/>
                <w:szCs w:val="18"/>
                <w:lang w:val="sl-SI" w:eastAsia="en-GB"/>
              </w:rPr>
            </w:pPr>
            <w:proofErr w:type="spellStart"/>
            <w:r w:rsidRPr="00275FBD">
              <w:rPr>
                <w:rFonts w:asciiTheme="minorHAnsi" w:hAnsiTheme="minorHAnsi"/>
                <w:b/>
                <w:bCs/>
                <w:color w:val="000000"/>
                <w:sz w:val="18"/>
                <w:szCs w:val="18"/>
                <w:lang w:val="sl-SI" w:eastAsia="en-US" w:bidi="hi-IN"/>
              </w:rPr>
              <w:t>Pre</w:t>
            </w:r>
            <w:proofErr w:type="spellEnd"/>
            <w:r w:rsidRPr="00275FBD">
              <w:rPr>
                <w:rFonts w:asciiTheme="minorHAnsi" w:hAnsiTheme="minorHAnsi"/>
                <w:b/>
                <w:bCs/>
                <w:color w:val="000000"/>
                <w:sz w:val="18"/>
                <w:szCs w:val="18"/>
                <w:lang w:val="sl-SI" w:eastAsia="en-US" w:bidi="hi-IN"/>
              </w:rPr>
              <w:t xml:space="preserve">-SALTO </w:t>
            </w:r>
            <w:proofErr w:type="spellStart"/>
            <w:r w:rsidRPr="00275FBD">
              <w:rPr>
                <w:rFonts w:asciiTheme="minorHAnsi" w:hAnsiTheme="minorHAnsi"/>
                <w:b/>
                <w:bCs/>
                <w:color w:val="000000"/>
                <w:sz w:val="18"/>
                <w:szCs w:val="18"/>
                <w:lang w:val="sl-SI" w:eastAsia="en-US" w:bidi="hi-IN"/>
              </w:rPr>
              <w:t>Issue</w:t>
            </w:r>
            <w:proofErr w:type="spellEnd"/>
            <w:r w:rsidRPr="00275FBD">
              <w:rPr>
                <w:rFonts w:asciiTheme="minorHAnsi" w:hAnsiTheme="minorHAnsi"/>
                <w:b/>
                <w:bCs/>
                <w:color w:val="000000"/>
                <w:sz w:val="18"/>
                <w:szCs w:val="18"/>
                <w:lang w:val="sl-SI" w:eastAsia="en-US" w:bidi="hi-IN"/>
              </w:rPr>
              <w:t xml:space="preserve"> 1 (S)</w:t>
            </w:r>
            <w:r w:rsidRPr="00275FBD">
              <w:rPr>
                <w:rFonts w:asciiTheme="minorHAnsi" w:hAnsiTheme="minorHAnsi"/>
                <w:color w:val="000000"/>
                <w:sz w:val="18"/>
                <w:szCs w:val="18"/>
                <w:lang w:val="sl-SI" w:eastAsia="en-US" w:bidi="hi-IN"/>
              </w:rPr>
              <w:t xml:space="preserve"> – </w:t>
            </w:r>
            <w:proofErr w:type="spellStart"/>
            <w:r w:rsidRPr="00275FBD">
              <w:rPr>
                <w:rFonts w:asciiTheme="minorHAnsi" w:hAnsiTheme="minorHAnsi"/>
                <w:color w:val="000000"/>
                <w:sz w:val="18"/>
                <w:szCs w:val="18"/>
                <w:lang w:val="sl-SI" w:eastAsia="en-US" w:bidi="hi-IN"/>
              </w:rPr>
              <w:t>Incomprehensive</w:t>
            </w:r>
            <w:proofErr w:type="spellEnd"/>
            <w:r w:rsidRPr="00275FBD">
              <w:rPr>
                <w:rFonts w:asciiTheme="minorHAnsi" w:hAnsiTheme="minorHAnsi"/>
                <w:color w:val="000000"/>
                <w:sz w:val="18"/>
                <w:szCs w:val="18"/>
                <w:lang w:val="sl-SI" w:eastAsia="en-US" w:bidi="hi-IN"/>
              </w:rPr>
              <w:t xml:space="preserve"> reference </w:t>
            </w:r>
            <w:proofErr w:type="spellStart"/>
            <w:r w:rsidRPr="00275FBD">
              <w:rPr>
                <w:rFonts w:asciiTheme="minorHAnsi" w:hAnsiTheme="minorHAnsi"/>
                <w:color w:val="000000"/>
                <w:sz w:val="18"/>
                <w:szCs w:val="18"/>
                <w:lang w:val="sl-SI" w:eastAsia="en-US" w:bidi="hi-IN"/>
              </w:rPr>
              <w:t>basis</w:t>
            </w:r>
            <w:proofErr w:type="spellEnd"/>
            <w:r w:rsidRPr="00275FBD">
              <w:rPr>
                <w:rFonts w:asciiTheme="minorHAnsi" w:hAnsiTheme="minorHAnsi"/>
                <w:color w:val="000000"/>
                <w:sz w:val="18"/>
                <w:szCs w:val="18"/>
                <w:lang w:val="sl-SI" w:eastAsia="en-US" w:bidi="hi-IN"/>
              </w:rPr>
              <w:t xml:space="preserve"> for the PSR3 LTO </w:t>
            </w:r>
            <w:proofErr w:type="spellStart"/>
            <w:r w:rsidRPr="00275FBD">
              <w:rPr>
                <w:rFonts w:asciiTheme="minorHAnsi" w:hAnsiTheme="minorHAnsi"/>
                <w:color w:val="000000"/>
                <w:sz w:val="18"/>
                <w:szCs w:val="18"/>
                <w:lang w:val="sl-SI" w:eastAsia="en-US" w:bidi="hi-IN"/>
              </w:rPr>
              <w:t>assessments</w:t>
            </w:r>
            <w:proofErr w:type="spellEnd"/>
          </w:p>
        </w:tc>
        <w:tc>
          <w:tcPr>
            <w:tcW w:w="2403" w:type="dxa"/>
          </w:tcPr>
          <w:p w14:paraId="0FACB997" w14:textId="7CD974E1"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 xml:space="preserve">According to </w:t>
            </w:r>
            <w:proofErr w:type="spellStart"/>
            <w:r w:rsidRPr="00275FBD">
              <w:rPr>
                <w:rFonts w:asciiTheme="minorHAnsi" w:hAnsiTheme="minorHAnsi"/>
                <w:bCs/>
                <w:sz w:val="18"/>
                <w:szCs w:val="18"/>
                <w:lang w:val="sl-SI" w:eastAsia="en-GB"/>
              </w:rPr>
              <w:t>Pre</w:t>
            </w:r>
            <w:proofErr w:type="spellEnd"/>
            <w:r w:rsidRPr="00275FBD">
              <w:rPr>
                <w:rFonts w:asciiTheme="minorHAnsi" w:hAnsiTheme="minorHAnsi"/>
                <w:bCs/>
                <w:sz w:val="18"/>
                <w:szCs w:val="18"/>
                <w:lang w:val="sl-SI" w:eastAsia="en-GB"/>
              </w:rPr>
              <w:t xml:space="preserve">-SALTO </w:t>
            </w:r>
            <w:proofErr w:type="spellStart"/>
            <w:r w:rsidRPr="00275FBD">
              <w:rPr>
                <w:rFonts w:asciiTheme="minorHAnsi" w:hAnsiTheme="minorHAnsi"/>
                <w:bCs/>
                <w:sz w:val="18"/>
                <w:szCs w:val="18"/>
                <w:lang w:val="sl-SI" w:eastAsia="en-GB"/>
              </w:rPr>
              <w:t>action</w:t>
            </w:r>
            <w:proofErr w:type="spellEnd"/>
            <w:r w:rsidRPr="00275FBD">
              <w:rPr>
                <w:rFonts w:asciiTheme="minorHAnsi" w:hAnsiTheme="minorHAnsi"/>
                <w:bCs/>
                <w:sz w:val="18"/>
                <w:szCs w:val="18"/>
                <w:lang w:val="sl-SI" w:eastAsia="en-GB"/>
              </w:rPr>
              <w:t xml:space="preserve"> plan </w:t>
            </w:r>
            <w:r w:rsidRPr="00275FBD">
              <w:rPr>
                <w:rFonts w:asciiTheme="minorHAnsi" w:hAnsiTheme="minorHAnsi"/>
                <w:bCs/>
                <w:sz w:val="18"/>
                <w:szCs w:val="18"/>
                <w:lang w:val="sl-SI" w:eastAsia="en-GB"/>
              </w:rPr>
              <w:fldChar w:fldCharType="begin"/>
            </w:r>
            <w:r w:rsidRPr="00275FBD">
              <w:rPr>
                <w:rFonts w:asciiTheme="minorHAnsi" w:hAnsiTheme="minorHAnsi"/>
                <w:bCs/>
                <w:sz w:val="18"/>
                <w:szCs w:val="18"/>
                <w:lang w:val="sl-SI" w:eastAsia="en-GB"/>
              </w:rPr>
              <w:instrText xml:space="preserve"> REF _Ref128405391 \r \h  \* MERGEFORMAT </w:instrText>
            </w:r>
            <w:r w:rsidRPr="00275FBD">
              <w:rPr>
                <w:rFonts w:asciiTheme="minorHAnsi" w:hAnsiTheme="minorHAnsi"/>
                <w:bCs/>
                <w:sz w:val="18"/>
                <w:szCs w:val="18"/>
                <w:lang w:val="sl-SI" w:eastAsia="en-GB"/>
              </w:rPr>
            </w:r>
            <w:r w:rsidRPr="00275FBD">
              <w:rPr>
                <w:rFonts w:asciiTheme="minorHAnsi" w:hAnsiTheme="minorHAnsi"/>
                <w:bCs/>
                <w:sz w:val="18"/>
                <w:szCs w:val="18"/>
                <w:lang w:val="sl-SI" w:eastAsia="en-GB"/>
              </w:rPr>
              <w:fldChar w:fldCharType="separate"/>
            </w:r>
            <w:r w:rsidR="00BA25CD">
              <w:rPr>
                <w:rFonts w:asciiTheme="minorHAnsi" w:hAnsiTheme="minorHAnsi"/>
                <w:bCs/>
                <w:sz w:val="18"/>
                <w:szCs w:val="18"/>
                <w:lang w:val="sl-SI" w:eastAsia="en-GB"/>
              </w:rPr>
              <w:t>[31]</w:t>
            </w:r>
            <w:r w:rsidRPr="00275FBD">
              <w:rPr>
                <w:rFonts w:asciiTheme="minorHAnsi" w:hAnsiTheme="minorHAnsi"/>
                <w:bCs/>
                <w:sz w:val="18"/>
                <w:szCs w:val="18"/>
                <w:lang w:val="sl-SI" w:eastAsia="en-GB"/>
              </w:rPr>
              <w:fldChar w:fldCharType="end"/>
            </w:r>
            <w:r w:rsidRPr="00275FBD">
              <w:rPr>
                <w:rFonts w:asciiTheme="minorHAnsi" w:hAnsiTheme="minorHAnsi"/>
                <w:bCs/>
                <w:sz w:val="18"/>
                <w:szCs w:val="18"/>
                <w:lang w:val="sl-SI" w:eastAsia="en-GB"/>
              </w:rPr>
              <w:t>.</w:t>
            </w:r>
          </w:p>
        </w:tc>
      </w:tr>
      <w:tr w:rsidR="00935B67" w:rsidRPr="00275FBD" w14:paraId="3404A562" w14:textId="77777777" w:rsidTr="00935B67">
        <w:trPr>
          <w:trHeight w:val="559"/>
        </w:trPr>
        <w:tc>
          <w:tcPr>
            <w:tcW w:w="1418" w:type="dxa"/>
            <w:shd w:val="clear" w:color="auto" w:fill="auto"/>
            <w:noWrap/>
          </w:tcPr>
          <w:p w14:paraId="1234358D"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PSR3 SAL-A-2</w:t>
            </w:r>
          </w:p>
        </w:tc>
        <w:tc>
          <w:tcPr>
            <w:tcW w:w="855" w:type="dxa"/>
            <w:shd w:val="clear" w:color="auto" w:fill="auto"/>
          </w:tcPr>
          <w:p w14:paraId="77F7183E"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M</w:t>
            </w:r>
          </w:p>
        </w:tc>
        <w:tc>
          <w:tcPr>
            <w:tcW w:w="993" w:type="dxa"/>
          </w:tcPr>
          <w:p w14:paraId="5D6A014D"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US" w:bidi="hi-IN"/>
              </w:rPr>
              <w:t>3</w:t>
            </w:r>
          </w:p>
        </w:tc>
        <w:tc>
          <w:tcPr>
            <w:tcW w:w="8730" w:type="dxa"/>
            <w:shd w:val="clear" w:color="auto" w:fill="auto"/>
          </w:tcPr>
          <w:p w14:paraId="46C0CDB3" w14:textId="77777777" w:rsidR="00935B67" w:rsidRPr="00275FBD" w:rsidRDefault="00935B67" w:rsidP="00935B67">
            <w:pPr>
              <w:jc w:val="left"/>
              <w:rPr>
                <w:rFonts w:asciiTheme="minorHAnsi" w:hAnsiTheme="minorHAnsi"/>
                <w:color w:val="000000"/>
                <w:sz w:val="18"/>
                <w:szCs w:val="18"/>
                <w:lang w:val="sl-SI" w:eastAsia="en-GB"/>
              </w:rPr>
            </w:pPr>
            <w:proofErr w:type="spellStart"/>
            <w:r w:rsidRPr="00275FBD">
              <w:rPr>
                <w:rFonts w:asciiTheme="minorHAnsi" w:hAnsiTheme="minorHAnsi"/>
                <w:b/>
                <w:bCs/>
                <w:color w:val="000000"/>
                <w:sz w:val="18"/>
                <w:szCs w:val="18"/>
                <w:lang w:val="sl-SI" w:eastAsia="en-US" w:bidi="hi-IN"/>
              </w:rPr>
              <w:t>Pre</w:t>
            </w:r>
            <w:proofErr w:type="spellEnd"/>
            <w:r w:rsidRPr="00275FBD">
              <w:rPr>
                <w:rFonts w:asciiTheme="minorHAnsi" w:hAnsiTheme="minorHAnsi"/>
                <w:b/>
                <w:bCs/>
                <w:color w:val="000000"/>
                <w:sz w:val="18"/>
                <w:szCs w:val="18"/>
                <w:lang w:val="sl-SI" w:eastAsia="en-US" w:bidi="hi-IN"/>
              </w:rPr>
              <w:t xml:space="preserve">-SALTO </w:t>
            </w:r>
            <w:proofErr w:type="spellStart"/>
            <w:r w:rsidRPr="00275FBD">
              <w:rPr>
                <w:rFonts w:asciiTheme="minorHAnsi" w:hAnsiTheme="minorHAnsi"/>
                <w:b/>
                <w:bCs/>
                <w:color w:val="000000"/>
                <w:sz w:val="18"/>
                <w:szCs w:val="18"/>
                <w:lang w:val="sl-SI" w:eastAsia="en-US" w:bidi="hi-IN"/>
              </w:rPr>
              <w:t>Issue</w:t>
            </w:r>
            <w:proofErr w:type="spellEnd"/>
            <w:r w:rsidRPr="00275FBD">
              <w:rPr>
                <w:rFonts w:asciiTheme="minorHAnsi" w:hAnsiTheme="minorHAnsi"/>
                <w:b/>
                <w:bCs/>
                <w:color w:val="000000"/>
                <w:sz w:val="18"/>
                <w:szCs w:val="18"/>
                <w:lang w:val="sl-SI" w:eastAsia="en-US" w:bidi="hi-IN"/>
              </w:rPr>
              <w:t xml:space="preserve"> 2 (S)</w:t>
            </w:r>
            <w:r w:rsidRPr="00275FBD">
              <w:rPr>
                <w:rFonts w:asciiTheme="minorHAnsi" w:hAnsiTheme="minorHAnsi"/>
                <w:color w:val="000000"/>
                <w:sz w:val="18"/>
                <w:szCs w:val="18"/>
                <w:lang w:val="sl-SI" w:eastAsia="en-US" w:bidi="hi-IN"/>
              </w:rPr>
              <w:t xml:space="preserve"> - Responsibilities and </w:t>
            </w:r>
            <w:proofErr w:type="spellStart"/>
            <w:r w:rsidRPr="00275FBD">
              <w:rPr>
                <w:rFonts w:asciiTheme="minorHAnsi" w:hAnsiTheme="minorHAnsi"/>
                <w:color w:val="000000"/>
                <w:sz w:val="18"/>
                <w:szCs w:val="18"/>
                <w:lang w:val="sl-SI" w:eastAsia="en-US" w:bidi="hi-IN"/>
              </w:rPr>
              <w:t>task</w:t>
            </w:r>
            <w:proofErr w:type="spellEnd"/>
            <w:r w:rsidRPr="00275FBD">
              <w:rPr>
                <w:rFonts w:asciiTheme="minorHAnsi" w:hAnsiTheme="minorHAnsi"/>
                <w:color w:val="000000"/>
                <w:sz w:val="18"/>
                <w:szCs w:val="18"/>
                <w:lang w:val="sl-SI" w:eastAsia="en-US" w:bidi="hi-IN"/>
              </w:rPr>
              <w:t xml:space="preserve"> </w:t>
            </w:r>
            <w:proofErr w:type="spellStart"/>
            <w:r w:rsidRPr="00275FBD">
              <w:rPr>
                <w:rFonts w:asciiTheme="minorHAnsi" w:hAnsiTheme="minorHAnsi"/>
                <w:color w:val="000000"/>
                <w:sz w:val="18"/>
                <w:szCs w:val="18"/>
                <w:lang w:val="sl-SI" w:eastAsia="en-US" w:bidi="hi-IN"/>
              </w:rPr>
              <w:t>descriptions</w:t>
            </w:r>
            <w:proofErr w:type="spellEnd"/>
            <w:r w:rsidRPr="00275FBD">
              <w:rPr>
                <w:rFonts w:asciiTheme="minorHAnsi" w:hAnsiTheme="minorHAnsi"/>
                <w:color w:val="000000"/>
                <w:sz w:val="18"/>
                <w:szCs w:val="18"/>
                <w:lang w:val="sl-SI" w:eastAsia="en-US" w:bidi="hi-IN"/>
              </w:rPr>
              <w:t xml:space="preserve"> for LTO not </w:t>
            </w:r>
            <w:proofErr w:type="spellStart"/>
            <w:r w:rsidRPr="00275FBD">
              <w:rPr>
                <w:rFonts w:asciiTheme="minorHAnsi" w:hAnsiTheme="minorHAnsi"/>
                <w:color w:val="000000"/>
                <w:sz w:val="18"/>
                <w:szCs w:val="18"/>
                <w:lang w:val="sl-SI" w:eastAsia="en-US" w:bidi="hi-IN"/>
              </w:rPr>
              <w:t>clearly</w:t>
            </w:r>
            <w:proofErr w:type="spellEnd"/>
            <w:r w:rsidRPr="00275FBD">
              <w:rPr>
                <w:rFonts w:asciiTheme="minorHAnsi" w:hAnsiTheme="minorHAnsi"/>
                <w:color w:val="000000"/>
                <w:sz w:val="18"/>
                <w:szCs w:val="18"/>
                <w:lang w:val="sl-SI" w:eastAsia="en-US" w:bidi="hi-IN"/>
              </w:rPr>
              <w:t xml:space="preserve"> </w:t>
            </w:r>
            <w:proofErr w:type="spellStart"/>
            <w:r w:rsidRPr="00275FBD">
              <w:rPr>
                <w:rFonts w:asciiTheme="minorHAnsi" w:hAnsiTheme="minorHAnsi"/>
                <w:color w:val="000000"/>
                <w:sz w:val="18"/>
                <w:szCs w:val="18"/>
                <w:lang w:val="sl-SI" w:eastAsia="en-US" w:bidi="hi-IN"/>
              </w:rPr>
              <w:t>aligned</w:t>
            </w:r>
            <w:proofErr w:type="spellEnd"/>
          </w:p>
        </w:tc>
        <w:tc>
          <w:tcPr>
            <w:tcW w:w="2403" w:type="dxa"/>
          </w:tcPr>
          <w:p w14:paraId="6DA026FD" w14:textId="056918AF"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 xml:space="preserve">According to </w:t>
            </w:r>
            <w:proofErr w:type="spellStart"/>
            <w:r w:rsidRPr="00275FBD">
              <w:rPr>
                <w:rFonts w:asciiTheme="minorHAnsi" w:hAnsiTheme="minorHAnsi"/>
                <w:bCs/>
                <w:sz w:val="18"/>
                <w:szCs w:val="18"/>
                <w:lang w:val="sl-SI" w:eastAsia="en-GB"/>
              </w:rPr>
              <w:t>Pre</w:t>
            </w:r>
            <w:proofErr w:type="spellEnd"/>
            <w:r w:rsidRPr="00275FBD">
              <w:rPr>
                <w:rFonts w:asciiTheme="minorHAnsi" w:hAnsiTheme="minorHAnsi"/>
                <w:bCs/>
                <w:sz w:val="18"/>
                <w:szCs w:val="18"/>
                <w:lang w:val="sl-SI" w:eastAsia="en-GB"/>
              </w:rPr>
              <w:t xml:space="preserve">-SALTO </w:t>
            </w:r>
            <w:proofErr w:type="spellStart"/>
            <w:r w:rsidRPr="00275FBD">
              <w:rPr>
                <w:rFonts w:asciiTheme="minorHAnsi" w:hAnsiTheme="minorHAnsi"/>
                <w:bCs/>
                <w:sz w:val="18"/>
                <w:szCs w:val="18"/>
                <w:lang w:val="sl-SI" w:eastAsia="en-GB"/>
              </w:rPr>
              <w:t>action</w:t>
            </w:r>
            <w:proofErr w:type="spellEnd"/>
            <w:r w:rsidRPr="00275FBD">
              <w:rPr>
                <w:rFonts w:asciiTheme="minorHAnsi" w:hAnsiTheme="minorHAnsi"/>
                <w:bCs/>
                <w:sz w:val="18"/>
                <w:szCs w:val="18"/>
                <w:lang w:val="sl-SI" w:eastAsia="en-GB"/>
              </w:rPr>
              <w:t xml:space="preserve"> plan </w:t>
            </w:r>
            <w:r w:rsidRPr="00275FBD">
              <w:rPr>
                <w:rFonts w:asciiTheme="minorHAnsi" w:hAnsiTheme="minorHAnsi"/>
                <w:bCs/>
                <w:sz w:val="18"/>
                <w:szCs w:val="18"/>
                <w:lang w:val="sl-SI" w:eastAsia="en-GB"/>
              </w:rPr>
              <w:fldChar w:fldCharType="begin"/>
            </w:r>
            <w:r w:rsidRPr="00275FBD">
              <w:rPr>
                <w:rFonts w:asciiTheme="minorHAnsi" w:hAnsiTheme="minorHAnsi"/>
                <w:bCs/>
                <w:sz w:val="18"/>
                <w:szCs w:val="18"/>
                <w:lang w:val="sl-SI" w:eastAsia="en-GB"/>
              </w:rPr>
              <w:instrText xml:space="preserve"> REF _Ref128405391 \r \h  \* MERGEFORMAT </w:instrText>
            </w:r>
            <w:r w:rsidRPr="00275FBD">
              <w:rPr>
                <w:rFonts w:asciiTheme="minorHAnsi" w:hAnsiTheme="minorHAnsi"/>
                <w:bCs/>
                <w:sz w:val="18"/>
                <w:szCs w:val="18"/>
                <w:lang w:val="sl-SI" w:eastAsia="en-GB"/>
              </w:rPr>
            </w:r>
            <w:r w:rsidRPr="00275FBD">
              <w:rPr>
                <w:rFonts w:asciiTheme="minorHAnsi" w:hAnsiTheme="minorHAnsi"/>
                <w:bCs/>
                <w:sz w:val="18"/>
                <w:szCs w:val="18"/>
                <w:lang w:val="sl-SI" w:eastAsia="en-GB"/>
              </w:rPr>
              <w:fldChar w:fldCharType="separate"/>
            </w:r>
            <w:r w:rsidR="00BA25CD">
              <w:rPr>
                <w:rFonts w:asciiTheme="minorHAnsi" w:hAnsiTheme="minorHAnsi"/>
                <w:bCs/>
                <w:sz w:val="18"/>
                <w:szCs w:val="18"/>
                <w:lang w:val="sl-SI" w:eastAsia="en-GB"/>
              </w:rPr>
              <w:t>[31]</w:t>
            </w:r>
            <w:r w:rsidRPr="00275FBD">
              <w:rPr>
                <w:rFonts w:asciiTheme="minorHAnsi" w:hAnsiTheme="minorHAnsi"/>
                <w:bCs/>
                <w:sz w:val="18"/>
                <w:szCs w:val="18"/>
                <w:lang w:val="sl-SI" w:eastAsia="en-GB"/>
              </w:rPr>
              <w:fldChar w:fldCharType="end"/>
            </w:r>
            <w:r w:rsidRPr="00275FBD">
              <w:rPr>
                <w:rFonts w:asciiTheme="minorHAnsi" w:hAnsiTheme="minorHAnsi"/>
                <w:bCs/>
                <w:sz w:val="18"/>
                <w:szCs w:val="18"/>
                <w:lang w:val="sl-SI" w:eastAsia="en-GB"/>
              </w:rPr>
              <w:t>.</w:t>
            </w:r>
          </w:p>
        </w:tc>
      </w:tr>
      <w:tr w:rsidR="00935B67" w:rsidRPr="00275FBD" w14:paraId="6F142F5E" w14:textId="77777777" w:rsidTr="00935B67">
        <w:trPr>
          <w:trHeight w:val="559"/>
        </w:trPr>
        <w:tc>
          <w:tcPr>
            <w:tcW w:w="1418" w:type="dxa"/>
            <w:shd w:val="clear" w:color="auto" w:fill="auto"/>
            <w:noWrap/>
          </w:tcPr>
          <w:p w14:paraId="3149629D"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PSR3 SAL-A-3</w:t>
            </w:r>
          </w:p>
        </w:tc>
        <w:tc>
          <w:tcPr>
            <w:tcW w:w="855" w:type="dxa"/>
            <w:shd w:val="clear" w:color="auto" w:fill="auto"/>
          </w:tcPr>
          <w:p w14:paraId="6758FBD9"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M</w:t>
            </w:r>
          </w:p>
        </w:tc>
        <w:tc>
          <w:tcPr>
            <w:tcW w:w="993" w:type="dxa"/>
          </w:tcPr>
          <w:p w14:paraId="5BC2935D"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US" w:bidi="hi-IN"/>
              </w:rPr>
              <w:t>3</w:t>
            </w:r>
          </w:p>
        </w:tc>
        <w:tc>
          <w:tcPr>
            <w:tcW w:w="8730" w:type="dxa"/>
            <w:shd w:val="clear" w:color="auto" w:fill="auto"/>
          </w:tcPr>
          <w:p w14:paraId="529C4754" w14:textId="77777777" w:rsidR="00935B67" w:rsidRPr="00275FBD" w:rsidRDefault="00935B67" w:rsidP="00935B67">
            <w:pPr>
              <w:jc w:val="left"/>
              <w:rPr>
                <w:rFonts w:asciiTheme="minorHAnsi" w:hAnsiTheme="minorHAnsi"/>
                <w:color w:val="000000"/>
                <w:sz w:val="18"/>
                <w:szCs w:val="18"/>
                <w:lang w:val="sl-SI" w:eastAsia="en-GB"/>
              </w:rPr>
            </w:pPr>
            <w:proofErr w:type="spellStart"/>
            <w:r w:rsidRPr="00275FBD">
              <w:rPr>
                <w:rFonts w:asciiTheme="minorHAnsi" w:hAnsiTheme="minorHAnsi"/>
                <w:b/>
                <w:bCs/>
                <w:color w:val="000000"/>
                <w:sz w:val="18"/>
                <w:szCs w:val="18"/>
                <w:lang w:val="sl-SI" w:eastAsia="en-US" w:bidi="hi-IN"/>
              </w:rPr>
              <w:t>Pre</w:t>
            </w:r>
            <w:proofErr w:type="spellEnd"/>
            <w:r w:rsidRPr="00275FBD">
              <w:rPr>
                <w:rFonts w:asciiTheme="minorHAnsi" w:hAnsiTheme="minorHAnsi"/>
                <w:b/>
                <w:bCs/>
                <w:color w:val="000000"/>
                <w:sz w:val="18"/>
                <w:szCs w:val="18"/>
                <w:lang w:val="sl-SI" w:eastAsia="en-US" w:bidi="hi-IN"/>
              </w:rPr>
              <w:t xml:space="preserve">-SALTO </w:t>
            </w:r>
            <w:proofErr w:type="spellStart"/>
            <w:r w:rsidRPr="00275FBD">
              <w:rPr>
                <w:rFonts w:asciiTheme="minorHAnsi" w:hAnsiTheme="minorHAnsi"/>
                <w:b/>
                <w:bCs/>
                <w:color w:val="000000"/>
                <w:sz w:val="18"/>
                <w:szCs w:val="18"/>
                <w:lang w:val="sl-SI" w:eastAsia="en-US" w:bidi="hi-IN"/>
              </w:rPr>
              <w:t>Issue</w:t>
            </w:r>
            <w:proofErr w:type="spellEnd"/>
            <w:r w:rsidRPr="00275FBD">
              <w:rPr>
                <w:rFonts w:asciiTheme="minorHAnsi" w:hAnsiTheme="minorHAnsi"/>
                <w:b/>
                <w:bCs/>
                <w:color w:val="000000"/>
                <w:sz w:val="18"/>
                <w:szCs w:val="18"/>
                <w:lang w:val="sl-SI" w:eastAsia="en-US" w:bidi="hi-IN"/>
              </w:rPr>
              <w:t xml:space="preserve"> 3 (R)</w:t>
            </w:r>
            <w:r w:rsidRPr="00275FBD">
              <w:rPr>
                <w:rFonts w:asciiTheme="minorHAnsi" w:hAnsiTheme="minorHAnsi"/>
                <w:color w:val="000000"/>
                <w:sz w:val="18"/>
                <w:szCs w:val="18"/>
                <w:lang w:val="sl-SI" w:eastAsia="en-US" w:bidi="hi-IN"/>
              </w:rPr>
              <w:t xml:space="preserve"> - </w:t>
            </w:r>
            <w:proofErr w:type="spellStart"/>
            <w:r w:rsidRPr="00275FBD">
              <w:rPr>
                <w:rFonts w:asciiTheme="minorHAnsi" w:hAnsiTheme="minorHAnsi"/>
                <w:color w:val="000000"/>
                <w:sz w:val="18"/>
                <w:szCs w:val="18"/>
                <w:lang w:val="sl-SI" w:eastAsia="en-US" w:bidi="hi-IN"/>
              </w:rPr>
              <w:t>Insufficiently</w:t>
            </w:r>
            <w:proofErr w:type="spellEnd"/>
            <w:r w:rsidRPr="00275FBD">
              <w:rPr>
                <w:rFonts w:asciiTheme="minorHAnsi" w:hAnsiTheme="minorHAnsi"/>
                <w:color w:val="000000"/>
                <w:sz w:val="18"/>
                <w:szCs w:val="18"/>
                <w:lang w:val="sl-SI" w:eastAsia="en-US" w:bidi="hi-IN"/>
              </w:rPr>
              <w:t xml:space="preserve"> </w:t>
            </w:r>
            <w:proofErr w:type="spellStart"/>
            <w:r w:rsidRPr="00275FBD">
              <w:rPr>
                <w:rFonts w:asciiTheme="minorHAnsi" w:hAnsiTheme="minorHAnsi"/>
                <w:color w:val="000000"/>
                <w:sz w:val="18"/>
                <w:szCs w:val="18"/>
                <w:lang w:val="sl-SI" w:eastAsia="en-US" w:bidi="hi-IN"/>
              </w:rPr>
              <w:t>detailed</w:t>
            </w:r>
            <w:proofErr w:type="spellEnd"/>
            <w:r w:rsidRPr="00275FBD">
              <w:rPr>
                <w:rFonts w:asciiTheme="minorHAnsi" w:hAnsiTheme="minorHAnsi"/>
                <w:color w:val="000000"/>
                <w:sz w:val="18"/>
                <w:szCs w:val="18"/>
                <w:lang w:val="sl-SI" w:eastAsia="en-US" w:bidi="hi-IN"/>
              </w:rPr>
              <w:t xml:space="preserve"> </w:t>
            </w:r>
            <w:proofErr w:type="spellStart"/>
            <w:r w:rsidRPr="00275FBD">
              <w:rPr>
                <w:rFonts w:asciiTheme="minorHAnsi" w:hAnsiTheme="minorHAnsi"/>
                <w:color w:val="000000"/>
                <w:sz w:val="18"/>
                <w:szCs w:val="18"/>
                <w:lang w:val="sl-SI" w:eastAsia="en-US" w:bidi="hi-IN"/>
              </w:rPr>
              <w:t>project</w:t>
            </w:r>
            <w:proofErr w:type="spellEnd"/>
            <w:r w:rsidRPr="00275FBD">
              <w:rPr>
                <w:rFonts w:asciiTheme="minorHAnsi" w:hAnsiTheme="minorHAnsi"/>
                <w:color w:val="000000"/>
                <w:sz w:val="18"/>
                <w:szCs w:val="18"/>
                <w:lang w:val="sl-SI" w:eastAsia="en-US" w:bidi="hi-IN"/>
              </w:rPr>
              <w:t xml:space="preserve"> </w:t>
            </w:r>
            <w:proofErr w:type="spellStart"/>
            <w:r w:rsidRPr="00275FBD">
              <w:rPr>
                <w:rFonts w:asciiTheme="minorHAnsi" w:hAnsiTheme="minorHAnsi"/>
                <w:color w:val="000000"/>
                <w:sz w:val="18"/>
                <w:szCs w:val="18"/>
                <w:lang w:val="sl-SI" w:eastAsia="en-US" w:bidi="hi-IN"/>
              </w:rPr>
              <w:t>planning</w:t>
            </w:r>
            <w:proofErr w:type="spellEnd"/>
            <w:r w:rsidRPr="00275FBD">
              <w:rPr>
                <w:rFonts w:asciiTheme="minorHAnsi" w:hAnsiTheme="minorHAnsi"/>
                <w:color w:val="000000"/>
                <w:sz w:val="18"/>
                <w:szCs w:val="18"/>
                <w:lang w:val="sl-SI" w:eastAsia="en-US" w:bidi="hi-IN"/>
              </w:rPr>
              <w:t xml:space="preserve"> for management of PSR3 in </w:t>
            </w:r>
            <w:proofErr w:type="spellStart"/>
            <w:r w:rsidRPr="00275FBD">
              <w:rPr>
                <w:rFonts w:asciiTheme="minorHAnsi" w:hAnsiTheme="minorHAnsi"/>
                <w:color w:val="000000"/>
                <w:sz w:val="18"/>
                <w:szCs w:val="18"/>
                <w:lang w:val="sl-SI" w:eastAsia="en-US" w:bidi="hi-IN"/>
              </w:rPr>
              <w:t>support</w:t>
            </w:r>
            <w:proofErr w:type="spellEnd"/>
            <w:r w:rsidRPr="00275FBD">
              <w:rPr>
                <w:rFonts w:asciiTheme="minorHAnsi" w:hAnsiTheme="minorHAnsi"/>
                <w:color w:val="000000"/>
                <w:sz w:val="18"/>
                <w:szCs w:val="18"/>
                <w:lang w:val="sl-SI" w:eastAsia="en-US" w:bidi="hi-IN"/>
              </w:rPr>
              <w:t xml:space="preserve"> of </w:t>
            </w:r>
            <w:proofErr w:type="spellStart"/>
            <w:r w:rsidRPr="00275FBD">
              <w:rPr>
                <w:rFonts w:asciiTheme="minorHAnsi" w:hAnsiTheme="minorHAnsi"/>
                <w:color w:val="000000"/>
                <w:sz w:val="18"/>
                <w:szCs w:val="18"/>
                <w:lang w:val="sl-SI" w:eastAsia="en-US" w:bidi="hi-IN"/>
              </w:rPr>
              <w:t>timely</w:t>
            </w:r>
            <w:proofErr w:type="spellEnd"/>
            <w:r w:rsidRPr="00275FBD">
              <w:rPr>
                <w:rFonts w:asciiTheme="minorHAnsi" w:hAnsiTheme="minorHAnsi"/>
                <w:color w:val="000000"/>
                <w:sz w:val="18"/>
                <w:szCs w:val="18"/>
                <w:lang w:val="sl-SI" w:eastAsia="en-US" w:bidi="hi-IN"/>
              </w:rPr>
              <w:t xml:space="preserve"> LTO-preparation</w:t>
            </w:r>
          </w:p>
        </w:tc>
        <w:tc>
          <w:tcPr>
            <w:tcW w:w="2403" w:type="dxa"/>
          </w:tcPr>
          <w:p w14:paraId="5069349C" w14:textId="7E184FD4"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 xml:space="preserve">According to </w:t>
            </w:r>
            <w:proofErr w:type="spellStart"/>
            <w:r w:rsidRPr="00275FBD">
              <w:rPr>
                <w:rFonts w:asciiTheme="minorHAnsi" w:hAnsiTheme="minorHAnsi"/>
                <w:bCs/>
                <w:sz w:val="18"/>
                <w:szCs w:val="18"/>
                <w:lang w:val="sl-SI" w:eastAsia="en-GB"/>
              </w:rPr>
              <w:t>Pre</w:t>
            </w:r>
            <w:proofErr w:type="spellEnd"/>
            <w:r w:rsidRPr="00275FBD">
              <w:rPr>
                <w:rFonts w:asciiTheme="minorHAnsi" w:hAnsiTheme="minorHAnsi"/>
                <w:bCs/>
                <w:sz w:val="18"/>
                <w:szCs w:val="18"/>
                <w:lang w:val="sl-SI" w:eastAsia="en-GB"/>
              </w:rPr>
              <w:t xml:space="preserve">-SALTO </w:t>
            </w:r>
            <w:proofErr w:type="spellStart"/>
            <w:r w:rsidRPr="00275FBD">
              <w:rPr>
                <w:rFonts w:asciiTheme="minorHAnsi" w:hAnsiTheme="minorHAnsi"/>
                <w:bCs/>
                <w:sz w:val="18"/>
                <w:szCs w:val="18"/>
                <w:lang w:val="sl-SI" w:eastAsia="en-GB"/>
              </w:rPr>
              <w:t>action</w:t>
            </w:r>
            <w:proofErr w:type="spellEnd"/>
            <w:r w:rsidRPr="00275FBD">
              <w:rPr>
                <w:rFonts w:asciiTheme="minorHAnsi" w:hAnsiTheme="minorHAnsi"/>
                <w:bCs/>
                <w:sz w:val="18"/>
                <w:szCs w:val="18"/>
                <w:lang w:val="sl-SI" w:eastAsia="en-GB"/>
              </w:rPr>
              <w:t xml:space="preserve"> plan </w:t>
            </w:r>
            <w:r w:rsidRPr="00275FBD">
              <w:rPr>
                <w:rFonts w:asciiTheme="minorHAnsi" w:hAnsiTheme="minorHAnsi"/>
                <w:bCs/>
                <w:sz w:val="18"/>
                <w:szCs w:val="18"/>
                <w:lang w:val="sl-SI" w:eastAsia="en-GB"/>
              </w:rPr>
              <w:fldChar w:fldCharType="begin"/>
            </w:r>
            <w:r w:rsidRPr="00275FBD">
              <w:rPr>
                <w:rFonts w:asciiTheme="minorHAnsi" w:hAnsiTheme="minorHAnsi"/>
                <w:bCs/>
                <w:sz w:val="18"/>
                <w:szCs w:val="18"/>
                <w:lang w:val="sl-SI" w:eastAsia="en-GB"/>
              </w:rPr>
              <w:instrText xml:space="preserve"> REF _Ref128405391 \r \h  \* MERGEFORMAT </w:instrText>
            </w:r>
            <w:r w:rsidRPr="00275FBD">
              <w:rPr>
                <w:rFonts w:asciiTheme="minorHAnsi" w:hAnsiTheme="minorHAnsi"/>
                <w:bCs/>
                <w:sz w:val="18"/>
                <w:szCs w:val="18"/>
                <w:lang w:val="sl-SI" w:eastAsia="en-GB"/>
              </w:rPr>
            </w:r>
            <w:r w:rsidRPr="00275FBD">
              <w:rPr>
                <w:rFonts w:asciiTheme="minorHAnsi" w:hAnsiTheme="minorHAnsi"/>
                <w:bCs/>
                <w:sz w:val="18"/>
                <w:szCs w:val="18"/>
                <w:lang w:val="sl-SI" w:eastAsia="en-GB"/>
              </w:rPr>
              <w:fldChar w:fldCharType="separate"/>
            </w:r>
            <w:r w:rsidR="00BA25CD">
              <w:rPr>
                <w:rFonts w:asciiTheme="minorHAnsi" w:hAnsiTheme="minorHAnsi"/>
                <w:bCs/>
                <w:sz w:val="18"/>
                <w:szCs w:val="18"/>
                <w:lang w:val="sl-SI" w:eastAsia="en-GB"/>
              </w:rPr>
              <w:t>[31]</w:t>
            </w:r>
            <w:r w:rsidRPr="00275FBD">
              <w:rPr>
                <w:rFonts w:asciiTheme="minorHAnsi" w:hAnsiTheme="minorHAnsi"/>
                <w:bCs/>
                <w:sz w:val="18"/>
                <w:szCs w:val="18"/>
                <w:lang w:val="sl-SI" w:eastAsia="en-GB"/>
              </w:rPr>
              <w:fldChar w:fldCharType="end"/>
            </w:r>
            <w:r w:rsidRPr="00275FBD">
              <w:rPr>
                <w:rFonts w:asciiTheme="minorHAnsi" w:hAnsiTheme="minorHAnsi"/>
                <w:bCs/>
                <w:sz w:val="18"/>
                <w:szCs w:val="18"/>
                <w:lang w:val="sl-SI" w:eastAsia="en-GB"/>
              </w:rPr>
              <w:t>.</w:t>
            </w:r>
          </w:p>
        </w:tc>
      </w:tr>
      <w:tr w:rsidR="00935B67" w:rsidRPr="00275FBD" w14:paraId="52CD7D5D" w14:textId="77777777" w:rsidTr="00935B67">
        <w:trPr>
          <w:trHeight w:val="559"/>
        </w:trPr>
        <w:tc>
          <w:tcPr>
            <w:tcW w:w="1418" w:type="dxa"/>
            <w:shd w:val="clear" w:color="auto" w:fill="auto"/>
            <w:noWrap/>
          </w:tcPr>
          <w:p w14:paraId="746A1C29"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PSR3 SAL-A-4</w:t>
            </w:r>
          </w:p>
        </w:tc>
        <w:tc>
          <w:tcPr>
            <w:tcW w:w="855" w:type="dxa"/>
            <w:shd w:val="clear" w:color="auto" w:fill="auto"/>
          </w:tcPr>
          <w:p w14:paraId="25C74A35"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M</w:t>
            </w:r>
          </w:p>
        </w:tc>
        <w:tc>
          <w:tcPr>
            <w:tcW w:w="993" w:type="dxa"/>
          </w:tcPr>
          <w:p w14:paraId="697689B9"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US" w:bidi="hi-IN"/>
              </w:rPr>
              <w:t>3</w:t>
            </w:r>
          </w:p>
        </w:tc>
        <w:tc>
          <w:tcPr>
            <w:tcW w:w="8730" w:type="dxa"/>
            <w:shd w:val="clear" w:color="auto" w:fill="auto"/>
            <w:vAlign w:val="center"/>
          </w:tcPr>
          <w:p w14:paraId="038E8070" w14:textId="77777777" w:rsidR="00935B67" w:rsidRPr="00275FBD" w:rsidRDefault="00935B67" w:rsidP="00935B67">
            <w:pPr>
              <w:jc w:val="left"/>
              <w:rPr>
                <w:rFonts w:asciiTheme="minorHAnsi" w:hAnsiTheme="minorHAnsi"/>
                <w:color w:val="000000"/>
                <w:sz w:val="18"/>
                <w:szCs w:val="18"/>
                <w:lang w:val="sl-SI" w:eastAsia="en-GB"/>
              </w:rPr>
            </w:pPr>
            <w:proofErr w:type="spellStart"/>
            <w:r w:rsidRPr="00275FBD">
              <w:rPr>
                <w:rFonts w:asciiTheme="minorHAnsi" w:hAnsiTheme="minorHAnsi"/>
                <w:b/>
                <w:bCs/>
                <w:color w:val="000000"/>
                <w:sz w:val="18"/>
                <w:szCs w:val="18"/>
                <w:lang w:val="sl-SI" w:eastAsia="en-US" w:bidi="hi-IN"/>
              </w:rPr>
              <w:t>Pre</w:t>
            </w:r>
            <w:proofErr w:type="spellEnd"/>
            <w:r w:rsidRPr="00275FBD">
              <w:rPr>
                <w:rFonts w:asciiTheme="minorHAnsi" w:hAnsiTheme="minorHAnsi"/>
                <w:b/>
                <w:bCs/>
                <w:color w:val="000000"/>
                <w:sz w:val="18"/>
                <w:szCs w:val="18"/>
                <w:lang w:val="sl-SI" w:eastAsia="en-US" w:bidi="hi-IN"/>
              </w:rPr>
              <w:t xml:space="preserve">-SALTO </w:t>
            </w:r>
            <w:proofErr w:type="spellStart"/>
            <w:r w:rsidRPr="00275FBD">
              <w:rPr>
                <w:rFonts w:asciiTheme="minorHAnsi" w:hAnsiTheme="minorHAnsi"/>
                <w:b/>
                <w:bCs/>
                <w:color w:val="000000"/>
                <w:sz w:val="18"/>
                <w:szCs w:val="18"/>
                <w:lang w:val="sl-SI" w:eastAsia="en-US" w:bidi="hi-IN"/>
              </w:rPr>
              <w:t>Issue</w:t>
            </w:r>
            <w:proofErr w:type="spellEnd"/>
            <w:r w:rsidRPr="00275FBD">
              <w:rPr>
                <w:rFonts w:asciiTheme="minorHAnsi" w:hAnsiTheme="minorHAnsi"/>
                <w:b/>
                <w:bCs/>
                <w:color w:val="000000"/>
                <w:sz w:val="18"/>
                <w:szCs w:val="18"/>
                <w:lang w:val="sl-SI" w:eastAsia="en-US" w:bidi="hi-IN"/>
              </w:rPr>
              <w:t xml:space="preserve"> 4 (S)</w:t>
            </w:r>
            <w:r w:rsidRPr="00275FBD">
              <w:rPr>
                <w:rFonts w:asciiTheme="minorHAnsi" w:hAnsiTheme="minorHAnsi"/>
                <w:color w:val="000000"/>
                <w:sz w:val="18"/>
                <w:szCs w:val="18"/>
                <w:lang w:val="sl-SI" w:eastAsia="en-US" w:bidi="hi-IN"/>
              </w:rPr>
              <w:t xml:space="preserve"> - </w:t>
            </w:r>
            <w:proofErr w:type="spellStart"/>
            <w:r w:rsidRPr="00275FBD">
              <w:rPr>
                <w:rFonts w:asciiTheme="minorHAnsi" w:hAnsiTheme="minorHAnsi"/>
                <w:color w:val="000000"/>
                <w:sz w:val="18"/>
                <w:szCs w:val="18"/>
                <w:lang w:val="sl-SI" w:eastAsia="en-US" w:bidi="hi-IN"/>
              </w:rPr>
              <w:t>Alignment</w:t>
            </w:r>
            <w:proofErr w:type="spellEnd"/>
            <w:r w:rsidRPr="00275FBD">
              <w:rPr>
                <w:rFonts w:asciiTheme="minorHAnsi" w:hAnsiTheme="minorHAnsi"/>
                <w:color w:val="000000"/>
                <w:sz w:val="18"/>
                <w:szCs w:val="18"/>
                <w:lang w:val="sl-SI" w:eastAsia="en-US" w:bidi="hi-IN"/>
              </w:rPr>
              <w:t xml:space="preserve"> of </w:t>
            </w:r>
            <w:proofErr w:type="spellStart"/>
            <w:r w:rsidRPr="00275FBD">
              <w:rPr>
                <w:rFonts w:asciiTheme="minorHAnsi" w:hAnsiTheme="minorHAnsi"/>
                <w:color w:val="000000"/>
                <w:sz w:val="18"/>
                <w:szCs w:val="18"/>
                <w:lang w:val="sl-SI" w:eastAsia="en-US" w:bidi="hi-IN"/>
              </w:rPr>
              <w:t>documentation</w:t>
            </w:r>
            <w:proofErr w:type="spellEnd"/>
            <w:r w:rsidRPr="00275FBD">
              <w:rPr>
                <w:rFonts w:asciiTheme="minorHAnsi" w:hAnsiTheme="minorHAnsi"/>
                <w:color w:val="000000"/>
                <w:sz w:val="18"/>
                <w:szCs w:val="18"/>
                <w:lang w:val="sl-SI" w:eastAsia="en-US" w:bidi="hi-IN"/>
              </w:rPr>
              <w:t xml:space="preserve"> and </w:t>
            </w:r>
            <w:proofErr w:type="spellStart"/>
            <w:r w:rsidRPr="00275FBD">
              <w:rPr>
                <w:rFonts w:asciiTheme="minorHAnsi" w:hAnsiTheme="minorHAnsi"/>
                <w:color w:val="000000"/>
                <w:sz w:val="18"/>
                <w:szCs w:val="18"/>
                <w:lang w:val="sl-SI" w:eastAsia="en-US" w:bidi="hi-IN"/>
              </w:rPr>
              <w:t>databases</w:t>
            </w:r>
            <w:proofErr w:type="spellEnd"/>
            <w:r w:rsidRPr="00275FBD">
              <w:rPr>
                <w:rFonts w:asciiTheme="minorHAnsi" w:hAnsiTheme="minorHAnsi"/>
                <w:color w:val="000000"/>
                <w:sz w:val="18"/>
                <w:szCs w:val="18"/>
                <w:lang w:val="sl-SI" w:eastAsia="en-US" w:bidi="hi-IN"/>
              </w:rPr>
              <w:t xml:space="preserve"> after </w:t>
            </w:r>
            <w:proofErr w:type="spellStart"/>
            <w:r w:rsidRPr="00275FBD">
              <w:rPr>
                <w:rFonts w:asciiTheme="minorHAnsi" w:hAnsiTheme="minorHAnsi"/>
                <w:color w:val="000000"/>
                <w:sz w:val="18"/>
                <w:szCs w:val="18"/>
                <w:lang w:val="sl-SI" w:eastAsia="en-US" w:bidi="hi-IN"/>
              </w:rPr>
              <w:t>modifications</w:t>
            </w:r>
            <w:proofErr w:type="spellEnd"/>
            <w:r w:rsidRPr="00275FBD">
              <w:rPr>
                <w:rFonts w:asciiTheme="minorHAnsi" w:hAnsiTheme="minorHAnsi"/>
                <w:color w:val="000000"/>
                <w:sz w:val="18"/>
                <w:szCs w:val="18"/>
                <w:lang w:val="sl-SI" w:eastAsia="en-US" w:bidi="hi-IN"/>
              </w:rPr>
              <w:t xml:space="preserve"> is not </w:t>
            </w:r>
            <w:proofErr w:type="spellStart"/>
            <w:r w:rsidRPr="00275FBD">
              <w:rPr>
                <w:rFonts w:asciiTheme="minorHAnsi" w:hAnsiTheme="minorHAnsi"/>
                <w:color w:val="000000"/>
                <w:sz w:val="18"/>
                <w:szCs w:val="18"/>
                <w:lang w:val="sl-SI" w:eastAsia="en-US" w:bidi="hi-IN"/>
              </w:rPr>
              <w:t>ensured</w:t>
            </w:r>
            <w:proofErr w:type="spellEnd"/>
            <w:r w:rsidRPr="00275FBD">
              <w:rPr>
                <w:rFonts w:asciiTheme="minorHAnsi" w:hAnsiTheme="minorHAnsi"/>
                <w:color w:val="000000"/>
                <w:sz w:val="18"/>
                <w:szCs w:val="18"/>
                <w:lang w:val="sl-SI" w:eastAsia="en-US" w:bidi="hi-IN"/>
              </w:rPr>
              <w:t xml:space="preserve"> for LTO preparation</w:t>
            </w:r>
          </w:p>
        </w:tc>
        <w:tc>
          <w:tcPr>
            <w:tcW w:w="2403" w:type="dxa"/>
          </w:tcPr>
          <w:p w14:paraId="0CE1F054" w14:textId="061F1594"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 xml:space="preserve">According to </w:t>
            </w:r>
            <w:proofErr w:type="spellStart"/>
            <w:r w:rsidRPr="00275FBD">
              <w:rPr>
                <w:rFonts w:asciiTheme="minorHAnsi" w:hAnsiTheme="minorHAnsi"/>
                <w:bCs/>
                <w:sz w:val="18"/>
                <w:szCs w:val="18"/>
                <w:lang w:val="sl-SI" w:eastAsia="en-GB"/>
              </w:rPr>
              <w:t>Pre</w:t>
            </w:r>
            <w:proofErr w:type="spellEnd"/>
            <w:r w:rsidRPr="00275FBD">
              <w:rPr>
                <w:rFonts w:asciiTheme="minorHAnsi" w:hAnsiTheme="minorHAnsi"/>
                <w:bCs/>
                <w:sz w:val="18"/>
                <w:szCs w:val="18"/>
                <w:lang w:val="sl-SI" w:eastAsia="en-GB"/>
              </w:rPr>
              <w:t xml:space="preserve">-SALTO </w:t>
            </w:r>
            <w:proofErr w:type="spellStart"/>
            <w:r w:rsidRPr="00275FBD">
              <w:rPr>
                <w:rFonts w:asciiTheme="minorHAnsi" w:hAnsiTheme="minorHAnsi"/>
                <w:bCs/>
                <w:sz w:val="18"/>
                <w:szCs w:val="18"/>
                <w:lang w:val="sl-SI" w:eastAsia="en-GB"/>
              </w:rPr>
              <w:t>action</w:t>
            </w:r>
            <w:proofErr w:type="spellEnd"/>
            <w:r w:rsidRPr="00275FBD">
              <w:rPr>
                <w:rFonts w:asciiTheme="minorHAnsi" w:hAnsiTheme="minorHAnsi"/>
                <w:bCs/>
                <w:sz w:val="18"/>
                <w:szCs w:val="18"/>
                <w:lang w:val="sl-SI" w:eastAsia="en-GB"/>
              </w:rPr>
              <w:t xml:space="preserve"> plan </w:t>
            </w:r>
            <w:r w:rsidRPr="00275FBD">
              <w:rPr>
                <w:rFonts w:asciiTheme="minorHAnsi" w:hAnsiTheme="minorHAnsi"/>
                <w:bCs/>
                <w:sz w:val="18"/>
                <w:szCs w:val="18"/>
                <w:lang w:val="sl-SI" w:eastAsia="en-GB"/>
              </w:rPr>
              <w:fldChar w:fldCharType="begin"/>
            </w:r>
            <w:r w:rsidRPr="00275FBD">
              <w:rPr>
                <w:rFonts w:asciiTheme="minorHAnsi" w:hAnsiTheme="minorHAnsi"/>
                <w:bCs/>
                <w:sz w:val="18"/>
                <w:szCs w:val="18"/>
                <w:lang w:val="sl-SI" w:eastAsia="en-GB"/>
              </w:rPr>
              <w:instrText xml:space="preserve"> REF _Ref128405391 \r \h  \* MERGEFORMAT </w:instrText>
            </w:r>
            <w:r w:rsidRPr="00275FBD">
              <w:rPr>
                <w:rFonts w:asciiTheme="minorHAnsi" w:hAnsiTheme="minorHAnsi"/>
                <w:bCs/>
                <w:sz w:val="18"/>
                <w:szCs w:val="18"/>
                <w:lang w:val="sl-SI" w:eastAsia="en-GB"/>
              </w:rPr>
            </w:r>
            <w:r w:rsidRPr="00275FBD">
              <w:rPr>
                <w:rFonts w:asciiTheme="minorHAnsi" w:hAnsiTheme="minorHAnsi"/>
                <w:bCs/>
                <w:sz w:val="18"/>
                <w:szCs w:val="18"/>
                <w:lang w:val="sl-SI" w:eastAsia="en-GB"/>
              </w:rPr>
              <w:fldChar w:fldCharType="separate"/>
            </w:r>
            <w:r w:rsidR="00BA25CD">
              <w:rPr>
                <w:rFonts w:asciiTheme="minorHAnsi" w:hAnsiTheme="minorHAnsi"/>
                <w:bCs/>
                <w:sz w:val="18"/>
                <w:szCs w:val="18"/>
                <w:lang w:val="sl-SI" w:eastAsia="en-GB"/>
              </w:rPr>
              <w:t>[31]</w:t>
            </w:r>
            <w:r w:rsidRPr="00275FBD">
              <w:rPr>
                <w:rFonts w:asciiTheme="minorHAnsi" w:hAnsiTheme="minorHAnsi"/>
                <w:bCs/>
                <w:sz w:val="18"/>
                <w:szCs w:val="18"/>
                <w:lang w:val="sl-SI" w:eastAsia="en-GB"/>
              </w:rPr>
              <w:fldChar w:fldCharType="end"/>
            </w:r>
            <w:r w:rsidRPr="00275FBD">
              <w:rPr>
                <w:rFonts w:asciiTheme="minorHAnsi" w:hAnsiTheme="minorHAnsi"/>
                <w:bCs/>
                <w:sz w:val="18"/>
                <w:szCs w:val="18"/>
                <w:lang w:val="sl-SI" w:eastAsia="en-GB"/>
              </w:rPr>
              <w:t>.</w:t>
            </w:r>
          </w:p>
        </w:tc>
      </w:tr>
      <w:tr w:rsidR="00935B67" w:rsidRPr="00275FBD" w14:paraId="209E1901" w14:textId="77777777" w:rsidTr="00935B67">
        <w:trPr>
          <w:trHeight w:val="559"/>
        </w:trPr>
        <w:tc>
          <w:tcPr>
            <w:tcW w:w="1418" w:type="dxa"/>
            <w:shd w:val="clear" w:color="auto" w:fill="auto"/>
            <w:noWrap/>
          </w:tcPr>
          <w:p w14:paraId="304F3120"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PSR3 SAL-B-1</w:t>
            </w:r>
          </w:p>
        </w:tc>
        <w:tc>
          <w:tcPr>
            <w:tcW w:w="855" w:type="dxa"/>
            <w:shd w:val="clear" w:color="auto" w:fill="auto"/>
          </w:tcPr>
          <w:p w14:paraId="691C7862"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M</w:t>
            </w:r>
          </w:p>
        </w:tc>
        <w:tc>
          <w:tcPr>
            <w:tcW w:w="993" w:type="dxa"/>
          </w:tcPr>
          <w:p w14:paraId="044326B1"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US" w:bidi="hi-IN"/>
              </w:rPr>
              <w:t>3</w:t>
            </w:r>
          </w:p>
        </w:tc>
        <w:tc>
          <w:tcPr>
            <w:tcW w:w="8730" w:type="dxa"/>
            <w:shd w:val="clear" w:color="auto" w:fill="auto"/>
            <w:vAlign w:val="center"/>
          </w:tcPr>
          <w:p w14:paraId="1F2FF4AC" w14:textId="77777777" w:rsidR="00935B67" w:rsidRPr="00275FBD" w:rsidRDefault="00935B67" w:rsidP="00935B67">
            <w:pPr>
              <w:jc w:val="left"/>
              <w:rPr>
                <w:rFonts w:asciiTheme="minorHAnsi" w:hAnsiTheme="minorHAnsi"/>
                <w:color w:val="000000"/>
                <w:sz w:val="18"/>
                <w:szCs w:val="18"/>
                <w:lang w:val="sl-SI" w:eastAsia="en-GB"/>
              </w:rPr>
            </w:pPr>
            <w:proofErr w:type="spellStart"/>
            <w:r w:rsidRPr="00275FBD">
              <w:rPr>
                <w:rFonts w:asciiTheme="minorHAnsi" w:hAnsiTheme="minorHAnsi"/>
                <w:b/>
                <w:bCs/>
                <w:color w:val="000000"/>
                <w:sz w:val="18"/>
                <w:szCs w:val="18"/>
                <w:lang w:val="sl-SI" w:eastAsia="en-US" w:bidi="hi-IN"/>
              </w:rPr>
              <w:t>Pre</w:t>
            </w:r>
            <w:proofErr w:type="spellEnd"/>
            <w:r w:rsidRPr="00275FBD">
              <w:rPr>
                <w:rFonts w:asciiTheme="minorHAnsi" w:hAnsiTheme="minorHAnsi"/>
                <w:b/>
                <w:bCs/>
                <w:color w:val="000000"/>
                <w:sz w:val="18"/>
                <w:szCs w:val="18"/>
                <w:lang w:val="sl-SI" w:eastAsia="en-US" w:bidi="hi-IN"/>
              </w:rPr>
              <w:t xml:space="preserve">-SALTO </w:t>
            </w:r>
            <w:proofErr w:type="spellStart"/>
            <w:r w:rsidRPr="00275FBD">
              <w:rPr>
                <w:rFonts w:asciiTheme="minorHAnsi" w:hAnsiTheme="minorHAnsi"/>
                <w:b/>
                <w:bCs/>
                <w:color w:val="000000"/>
                <w:sz w:val="18"/>
                <w:szCs w:val="18"/>
                <w:lang w:val="sl-SI" w:eastAsia="en-US" w:bidi="hi-IN"/>
              </w:rPr>
              <w:t>Issue</w:t>
            </w:r>
            <w:proofErr w:type="spellEnd"/>
            <w:r w:rsidRPr="00275FBD">
              <w:rPr>
                <w:rFonts w:asciiTheme="minorHAnsi" w:hAnsiTheme="minorHAnsi"/>
                <w:b/>
                <w:bCs/>
                <w:color w:val="000000"/>
                <w:sz w:val="18"/>
                <w:szCs w:val="18"/>
                <w:lang w:val="sl-SI" w:eastAsia="en-US" w:bidi="hi-IN"/>
              </w:rPr>
              <w:t xml:space="preserve"> 1 (S)</w:t>
            </w:r>
            <w:r w:rsidRPr="00275FBD">
              <w:rPr>
                <w:rFonts w:asciiTheme="minorHAnsi" w:hAnsiTheme="minorHAnsi"/>
                <w:color w:val="000000"/>
                <w:sz w:val="18"/>
                <w:szCs w:val="18"/>
                <w:lang w:val="sl-SI" w:eastAsia="en-US" w:bidi="hi-IN"/>
              </w:rPr>
              <w:t xml:space="preserve"> - </w:t>
            </w:r>
            <w:proofErr w:type="spellStart"/>
            <w:r w:rsidRPr="00275FBD">
              <w:rPr>
                <w:rFonts w:asciiTheme="minorHAnsi" w:hAnsiTheme="minorHAnsi"/>
                <w:color w:val="000000"/>
                <w:sz w:val="18"/>
                <w:szCs w:val="18"/>
                <w:lang w:val="sl-SI" w:eastAsia="en-US" w:bidi="hi-IN"/>
              </w:rPr>
              <w:t>Incomprehensive</w:t>
            </w:r>
            <w:proofErr w:type="spellEnd"/>
            <w:r w:rsidRPr="00275FBD">
              <w:rPr>
                <w:rFonts w:asciiTheme="minorHAnsi" w:hAnsiTheme="minorHAnsi"/>
                <w:color w:val="000000"/>
                <w:sz w:val="18"/>
                <w:szCs w:val="18"/>
                <w:lang w:val="sl-SI" w:eastAsia="en-US" w:bidi="hi-IN"/>
              </w:rPr>
              <w:t xml:space="preserve"> </w:t>
            </w:r>
            <w:proofErr w:type="spellStart"/>
            <w:r w:rsidRPr="00275FBD">
              <w:rPr>
                <w:rFonts w:asciiTheme="minorHAnsi" w:hAnsiTheme="minorHAnsi"/>
                <w:color w:val="000000"/>
                <w:sz w:val="18"/>
                <w:szCs w:val="18"/>
                <w:lang w:val="sl-SI" w:eastAsia="en-US" w:bidi="hi-IN"/>
              </w:rPr>
              <w:t>scoping</w:t>
            </w:r>
            <w:proofErr w:type="spellEnd"/>
            <w:r w:rsidRPr="00275FBD">
              <w:rPr>
                <w:rFonts w:asciiTheme="minorHAnsi" w:hAnsiTheme="minorHAnsi"/>
                <w:color w:val="000000"/>
                <w:sz w:val="18"/>
                <w:szCs w:val="18"/>
                <w:lang w:val="sl-SI" w:eastAsia="en-US" w:bidi="hi-IN"/>
              </w:rPr>
              <w:t xml:space="preserve"> </w:t>
            </w:r>
            <w:proofErr w:type="spellStart"/>
            <w:r w:rsidRPr="00275FBD">
              <w:rPr>
                <w:rFonts w:asciiTheme="minorHAnsi" w:hAnsiTheme="minorHAnsi"/>
                <w:color w:val="000000"/>
                <w:sz w:val="18"/>
                <w:szCs w:val="18"/>
                <w:lang w:val="sl-SI" w:eastAsia="en-US" w:bidi="hi-IN"/>
              </w:rPr>
              <w:t>process</w:t>
            </w:r>
            <w:proofErr w:type="spellEnd"/>
            <w:r w:rsidRPr="00275FBD">
              <w:rPr>
                <w:rFonts w:asciiTheme="minorHAnsi" w:hAnsiTheme="minorHAnsi"/>
                <w:color w:val="000000"/>
                <w:sz w:val="18"/>
                <w:szCs w:val="18"/>
                <w:lang w:val="sl-SI" w:eastAsia="en-US" w:bidi="hi-IN"/>
              </w:rPr>
              <w:t xml:space="preserve"> for </w:t>
            </w:r>
            <w:proofErr w:type="spellStart"/>
            <w:r w:rsidRPr="00275FBD">
              <w:rPr>
                <w:rFonts w:asciiTheme="minorHAnsi" w:hAnsiTheme="minorHAnsi"/>
                <w:color w:val="000000"/>
                <w:sz w:val="18"/>
                <w:szCs w:val="18"/>
                <w:lang w:val="sl-SI" w:eastAsia="en-US" w:bidi="hi-IN"/>
              </w:rPr>
              <w:t>ageing</w:t>
            </w:r>
            <w:proofErr w:type="spellEnd"/>
            <w:r w:rsidRPr="00275FBD">
              <w:rPr>
                <w:rFonts w:asciiTheme="minorHAnsi" w:hAnsiTheme="minorHAnsi"/>
                <w:color w:val="000000"/>
                <w:sz w:val="18"/>
                <w:szCs w:val="18"/>
                <w:lang w:val="sl-SI" w:eastAsia="en-US" w:bidi="hi-IN"/>
              </w:rPr>
              <w:t xml:space="preserve"> management to </w:t>
            </w:r>
            <w:proofErr w:type="spellStart"/>
            <w:r w:rsidRPr="00275FBD">
              <w:rPr>
                <w:rFonts w:asciiTheme="minorHAnsi" w:hAnsiTheme="minorHAnsi"/>
                <w:color w:val="000000"/>
                <w:sz w:val="18"/>
                <w:szCs w:val="18"/>
                <w:lang w:val="sl-SI" w:eastAsia="en-US" w:bidi="hi-IN"/>
              </w:rPr>
              <w:t>support</w:t>
            </w:r>
            <w:proofErr w:type="spellEnd"/>
            <w:r w:rsidRPr="00275FBD">
              <w:rPr>
                <w:rFonts w:asciiTheme="minorHAnsi" w:hAnsiTheme="minorHAnsi"/>
                <w:color w:val="000000"/>
                <w:sz w:val="18"/>
                <w:szCs w:val="18"/>
                <w:lang w:val="sl-SI" w:eastAsia="en-US" w:bidi="hi-IN"/>
              </w:rPr>
              <w:t xml:space="preserve"> LTO</w:t>
            </w:r>
          </w:p>
        </w:tc>
        <w:tc>
          <w:tcPr>
            <w:tcW w:w="2403" w:type="dxa"/>
          </w:tcPr>
          <w:p w14:paraId="0DCA2FF2" w14:textId="0E418B05"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 xml:space="preserve">According to </w:t>
            </w:r>
            <w:proofErr w:type="spellStart"/>
            <w:r w:rsidRPr="00275FBD">
              <w:rPr>
                <w:rFonts w:asciiTheme="minorHAnsi" w:hAnsiTheme="minorHAnsi"/>
                <w:bCs/>
                <w:sz w:val="18"/>
                <w:szCs w:val="18"/>
                <w:lang w:val="sl-SI" w:eastAsia="en-GB"/>
              </w:rPr>
              <w:t>Pre</w:t>
            </w:r>
            <w:proofErr w:type="spellEnd"/>
            <w:r w:rsidRPr="00275FBD">
              <w:rPr>
                <w:rFonts w:asciiTheme="minorHAnsi" w:hAnsiTheme="minorHAnsi"/>
                <w:bCs/>
                <w:sz w:val="18"/>
                <w:szCs w:val="18"/>
                <w:lang w:val="sl-SI" w:eastAsia="en-GB"/>
              </w:rPr>
              <w:t xml:space="preserve">-SALTO </w:t>
            </w:r>
            <w:proofErr w:type="spellStart"/>
            <w:r w:rsidRPr="00275FBD">
              <w:rPr>
                <w:rFonts w:asciiTheme="minorHAnsi" w:hAnsiTheme="minorHAnsi"/>
                <w:bCs/>
                <w:sz w:val="18"/>
                <w:szCs w:val="18"/>
                <w:lang w:val="sl-SI" w:eastAsia="en-GB"/>
              </w:rPr>
              <w:t>action</w:t>
            </w:r>
            <w:proofErr w:type="spellEnd"/>
            <w:r w:rsidRPr="00275FBD">
              <w:rPr>
                <w:rFonts w:asciiTheme="minorHAnsi" w:hAnsiTheme="minorHAnsi"/>
                <w:bCs/>
                <w:sz w:val="18"/>
                <w:szCs w:val="18"/>
                <w:lang w:val="sl-SI" w:eastAsia="en-GB"/>
              </w:rPr>
              <w:t xml:space="preserve"> plan </w:t>
            </w:r>
            <w:r w:rsidRPr="00275FBD">
              <w:rPr>
                <w:rFonts w:asciiTheme="minorHAnsi" w:hAnsiTheme="minorHAnsi"/>
                <w:bCs/>
                <w:sz w:val="18"/>
                <w:szCs w:val="18"/>
                <w:lang w:val="sl-SI" w:eastAsia="en-GB"/>
              </w:rPr>
              <w:fldChar w:fldCharType="begin"/>
            </w:r>
            <w:r w:rsidRPr="00275FBD">
              <w:rPr>
                <w:rFonts w:asciiTheme="minorHAnsi" w:hAnsiTheme="minorHAnsi"/>
                <w:bCs/>
                <w:sz w:val="18"/>
                <w:szCs w:val="18"/>
                <w:lang w:val="sl-SI" w:eastAsia="en-GB"/>
              </w:rPr>
              <w:instrText xml:space="preserve"> REF _Ref128405391 \r \h  \* MERGEFORMAT </w:instrText>
            </w:r>
            <w:r w:rsidRPr="00275FBD">
              <w:rPr>
                <w:rFonts w:asciiTheme="minorHAnsi" w:hAnsiTheme="minorHAnsi"/>
                <w:bCs/>
                <w:sz w:val="18"/>
                <w:szCs w:val="18"/>
                <w:lang w:val="sl-SI" w:eastAsia="en-GB"/>
              </w:rPr>
            </w:r>
            <w:r w:rsidRPr="00275FBD">
              <w:rPr>
                <w:rFonts w:asciiTheme="minorHAnsi" w:hAnsiTheme="minorHAnsi"/>
                <w:bCs/>
                <w:sz w:val="18"/>
                <w:szCs w:val="18"/>
                <w:lang w:val="sl-SI" w:eastAsia="en-GB"/>
              </w:rPr>
              <w:fldChar w:fldCharType="separate"/>
            </w:r>
            <w:r w:rsidR="00BA25CD">
              <w:rPr>
                <w:rFonts w:asciiTheme="minorHAnsi" w:hAnsiTheme="minorHAnsi"/>
                <w:bCs/>
                <w:sz w:val="18"/>
                <w:szCs w:val="18"/>
                <w:lang w:val="sl-SI" w:eastAsia="en-GB"/>
              </w:rPr>
              <w:t>[31]</w:t>
            </w:r>
            <w:r w:rsidRPr="00275FBD">
              <w:rPr>
                <w:rFonts w:asciiTheme="minorHAnsi" w:hAnsiTheme="minorHAnsi"/>
                <w:bCs/>
                <w:sz w:val="18"/>
                <w:szCs w:val="18"/>
                <w:lang w:val="sl-SI" w:eastAsia="en-GB"/>
              </w:rPr>
              <w:fldChar w:fldCharType="end"/>
            </w:r>
            <w:r w:rsidRPr="00275FBD">
              <w:rPr>
                <w:rFonts w:asciiTheme="minorHAnsi" w:hAnsiTheme="minorHAnsi"/>
                <w:bCs/>
                <w:sz w:val="18"/>
                <w:szCs w:val="18"/>
                <w:lang w:val="sl-SI" w:eastAsia="en-GB"/>
              </w:rPr>
              <w:t>.</w:t>
            </w:r>
          </w:p>
        </w:tc>
      </w:tr>
      <w:tr w:rsidR="00935B67" w:rsidRPr="00275FBD" w14:paraId="1A75AA22" w14:textId="77777777" w:rsidTr="00935B67">
        <w:trPr>
          <w:trHeight w:val="559"/>
        </w:trPr>
        <w:tc>
          <w:tcPr>
            <w:tcW w:w="1418" w:type="dxa"/>
            <w:shd w:val="clear" w:color="auto" w:fill="auto"/>
            <w:noWrap/>
          </w:tcPr>
          <w:p w14:paraId="6C31F6C7"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PSR3 SAL-B-2</w:t>
            </w:r>
          </w:p>
        </w:tc>
        <w:tc>
          <w:tcPr>
            <w:tcW w:w="855" w:type="dxa"/>
            <w:shd w:val="clear" w:color="auto" w:fill="auto"/>
          </w:tcPr>
          <w:p w14:paraId="53D53211"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M</w:t>
            </w:r>
          </w:p>
        </w:tc>
        <w:tc>
          <w:tcPr>
            <w:tcW w:w="993" w:type="dxa"/>
          </w:tcPr>
          <w:p w14:paraId="34EEA718"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US" w:bidi="hi-IN"/>
              </w:rPr>
              <w:t>3</w:t>
            </w:r>
          </w:p>
        </w:tc>
        <w:tc>
          <w:tcPr>
            <w:tcW w:w="8730" w:type="dxa"/>
            <w:shd w:val="clear" w:color="auto" w:fill="auto"/>
            <w:vAlign w:val="center"/>
          </w:tcPr>
          <w:p w14:paraId="428D134B" w14:textId="77777777" w:rsidR="00935B67" w:rsidRPr="00275FBD" w:rsidRDefault="00935B67" w:rsidP="00935B67">
            <w:pPr>
              <w:jc w:val="left"/>
              <w:rPr>
                <w:rFonts w:asciiTheme="minorHAnsi" w:hAnsiTheme="minorHAnsi"/>
                <w:color w:val="000000"/>
                <w:sz w:val="18"/>
                <w:szCs w:val="18"/>
                <w:lang w:val="sl-SI" w:eastAsia="en-GB"/>
              </w:rPr>
            </w:pPr>
            <w:proofErr w:type="spellStart"/>
            <w:r w:rsidRPr="00275FBD">
              <w:rPr>
                <w:rFonts w:asciiTheme="minorHAnsi" w:hAnsiTheme="minorHAnsi"/>
                <w:b/>
                <w:bCs/>
                <w:color w:val="000000"/>
                <w:sz w:val="18"/>
                <w:szCs w:val="18"/>
                <w:lang w:val="sl-SI" w:eastAsia="en-US" w:bidi="hi-IN"/>
              </w:rPr>
              <w:t>Pre</w:t>
            </w:r>
            <w:proofErr w:type="spellEnd"/>
            <w:r w:rsidRPr="00275FBD">
              <w:rPr>
                <w:rFonts w:asciiTheme="minorHAnsi" w:hAnsiTheme="minorHAnsi"/>
                <w:b/>
                <w:bCs/>
                <w:color w:val="000000"/>
                <w:sz w:val="18"/>
                <w:szCs w:val="18"/>
                <w:lang w:val="sl-SI" w:eastAsia="en-US" w:bidi="hi-IN"/>
              </w:rPr>
              <w:t xml:space="preserve">-SALTO </w:t>
            </w:r>
            <w:proofErr w:type="spellStart"/>
            <w:r w:rsidRPr="00275FBD">
              <w:rPr>
                <w:rFonts w:asciiTheme="minorHAnsi" w:hAnsiTheme="minorHAnsi"/>
                <w:b/>
                <w:bCs/>
                <w:color w:val="000000"/>
                <w:sz w:val="18"/>
                <w:szCs w:val="18"/>
                <w:lang w:val="sl-SI" w:eastAsia="en-US" w:bidi="hi-IN"/>
              </w:rPr>
              <w:t>Issue</w:t>
            </w:r>
            <w:proofErr w:type="spellEnd"/>
            <w:r w:rsidRPr="00275FBD">
              <w:rPr>
                <w:rFonts w:asciiTheme="minorHAnsi" w:hAnsiTheme="minorHAnsi"/>
                <w:b/>
                <w:bCs/>
                <w:color w:val="000000"/>
                <w:sz w:val="18"/>
                <w:szCs w:val="18"/>
                <w:lang w:val="sl-SI" w:eastAsia="en-US" w:bidi="hi-IN"/>
              </w:rPr>
              <w:t xml:space="preserve"> 2 (R)</w:t>
            </w:r>
            <w:r w:rsidRPr="00275FBD">
              <w:rPr>
                <w:rFonts w:asciiTheme="minorHAnsi" w:hAnsiTheme="minorHAnsi"/>
                <w:color w:val="000000"/>
                <w:sz w:val="18"/>
                <w:szCs w:val="18"/>
                <w:lang w:val="sl-SI" w:eastAsia="en-US" w:bidi="hi-IN"/>
              </w:rPr>
              <w:t xml:space="preserve"> – </w:t>
            </w:r>
            <w:proofErr w:type="spellStart"/>
            <w:r w:rsidRPr="00275FBD">
              <w:rPr>
                <w:rFonts w:asciiTheme="minorHAnsi" w:hAnsiTheme="minorHAnsi"/>
                <w:color w:val="000000"/>
                <w:sz w:val="18"/>
                <w:szCs w:val="18"/>
                <w:lang w:val="sl-SI" w:eastAsia="en-US" w:bidi="hi-IN"/>
              </w:rPr>
              <w:t>Missing</w:t>
            </w:r>
            <w:proofErr w:type="spellEnd"/>
            <w:r w:rsidRPr="00275FBD">
              <w:rPr>
                <w:rFonts w:asciiTheme="minorHAnsi" w:hAnsiTheme="minorHAnsi"/>
                <w:color w:val="000000"/>
                <w:sz w:val="18"/>
                <w:szCs w:val="18"/>
                <w:lang w:val="sl-SI" w:eastAsia="en-US" w:bidi="hi-IN"/>
              </w:rPr>
              <w:t xml:space="preserve"> </w:t>
            </w:r>
            <w:proofErr w:type="spellStart"/>
            <w:r w:rsidRPr="00275FBD">
              <w:rPr>
                <w:rFonts w:asciiTheme="minorHAnsi" w:hAnsiTheme="minorHAnsi"/>
                <w:color w:val="000000"/>
                <w:sz w:val="18"/>
                <w:szCs w:val="18"/>
                <w:lang w:val="sl-SI" w:eastAsia="en-US" w:bidi="hi-IN"/>
              </w:rPr>
              <w:t>ageing</w:t>
            </w:r>
            <w:proofErr w:type="spellEnd"/>
            <w:r w:rsidRPr="00275FBD">
              <w:rPr>
                <w:rFonts w:asciiTheme="minorHAnsi" w:hAnsiTheme="minorHAnsi"/>
                <w:color w:val="000000"/>
                <w:sz w:val="18"/>
                <w:szCs w:val="18"/>
                <w:lang w:val="sl-SI" w:eastAsia="en-US" w:bidi="hi-IN"/>
              </w:rPr>
              <w:t xml:space="preserve"> management for </w:t>
            </w:r>
            <w:proofErr w:type="spellStart"/>
            <w:r w:rsidRPr="00275FBD">
              <w:rPr>
                <w:rFonts w:asciiTheme="minorHAnsi" w:hAnsiTheme="minorHAnsi"/>
                <w:color w:val="000000"/>
                <w:sz w:val="18"/>
                <w:szCs w:val="18"/>
                <w:lang w:val="sl-SI" w:eastAsia="en-US" w:bidi="hi-IN"/>
              </w:rPr>
              <w:t>active</w:t>
            </w:r>
            <w:proofErr w:type="spellEnd"/>
            <w:r w:rsidRPr="00275FBD">
              <w:rPr>
                <w:rFonts w:asciiTheme="minorHAnsi" w:hAnsiTheme="minorHAnsi"/>
                <w:color w:val="000000"/>
                <w:sz w:val="18"/>
                <w:szCs w:val="18"/>
                <w:lang w:val="sl-SI" w:eastAsia="en-US" w:bidi="hi-IN"/>
              </w:rPr>
              <w:t xml:space="preserve"> </w:t>
            </w:r>
            <w:proofErr w:type="spellStart"/>
            <w:r w:rsidRPr="00275FBD">
              <w:rPr>
                <w:rFonts w:asciiTheme="minorHAnsi" w:hAnsiTheme="minorHAnsi"/>
                <w:color w:val="000000"/>
                <w:sz w:val="18"/>
                <w:szCs w:val="18"/>
                <w:lang w:val="sl-SI" w:eastAsia="en-US" w:bidi="hi-IN"/>
              </w:rPr>
              <w:t>components</w:t>
            </w:r>
            <w:proofErr w:type="spellEnd"/>
          </w:p>
        </w:tc>
        <w:tc>
          <w:tcPr>
            <w:tcW w:w="2403" w:type="dxa"/>
          </w:tcPr>
          <w:p w14:paraId="3929FA57" w14:textId="39C5A609"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 xml:space="preserve">According to </w:t>
            </w:r>
            <w:proofErr w:type="spellStart"/>
            <w:r w:rsidRPr="00275FBD">
              <w:rPr>
                <w:rFonts w:asciiTheme="minorHAnsi" w:hAnsiTheme="minorHAnsi"/>
                <w:bCs/>
                <w:sz w:val="18"/>
                <w:szCs w:val="18"/>
                <w:lang w:val="sl-SI" w:eastAsia="en-GB"/>
              </w:rPr>
              <w:t>Pre</w:t>
            </w:r>
            <w:proofErr w:type="spellEnd"/>
            <w:r w:rsidRPr="00275FBD">
              <w:rPr>
                <w:rFonts w:asciiTheme="minorHAnsi" w:hAnsiTheme="minorHAnsi"/>
                <w:bCs/>
                <w:sz w:val="18"/>
                <w:szCs w:val="18"/>
                <w:lang w:val="sl-SI" w:eastAsia="en-GB"/>
              </w:rPr>
              <w:t xml:space="preserve">-SALTO </w:t>
            </w:r>
            <w:proofErr w:type="spellStart"/>
            <w:r w:rsidRPr="00275FBD">
              <w:rPr>
                <w:rFonts w:asciiTheme="minorHAnsi" w:hAnsiTheme="minorHAnsi"/>
                <w:bCs/>
                <w:sz w:val="18"/>
                <w:szCs w:val="18"/>
                <w:lang w:val="sl-SI" w:eastAsia="en-GB"/>
              </w:rPr>
              <w:t>action</w:t>
            </w:r>
            <w:proofErr w:type="spellEnd"/>
            <w:r w:rsidRPr="00275FBD">
              <w:rPr>
                <w:rFonts w:asciiTheme="minorHAnsi" w:hAnsiTheme="minorHAnsi"/>
                <w:bCs/>
                <w:sz w:val="18"/>
                <w:szCs w:val="18"/>
                <w:lang w:val="sl-SI" w:eastAsia="en-GB"/>
              </w:rPr>
              <w:t xml:space="preserve"> plan </w:t>
            </w:r>
            <w:r w:rsidRPr="00275FBD">
              <w:rPr>
                <w:rFonts w:asciiTheme="minorHAnsi" w:hAnsiTheme="minorHAnsi"/>
                <w:bCs/>
                <w:sz w:val="18"/>
                <w:szCs w:val="18"/>
                <w:lang w:val="sl-SI" w:eastAsia="en-GB"/>
              </w:rPr>
              <w:fldChar w:fldCharType="begin"/>
            </w:r>
            <w:r w:rsidRPr="00275FBD">
              <w:rPr>
                <w:rFonts w:asciiTheme="minorHAnsi" w:hAnsiTheme="minorHAnsi"/>
                <w:bCs/>
                <w:sz w:val="18"/>
                <w:szCs w:val="18"/>
                <w:lang w:val="sl-SI" w:eastAsia="en-GB"/>
              </w:rPr>
              <w:instrText xml:space="preserve"> REF _Ref128405391 \r \h  \* MERGEFORMAT </w:instrText>
            </w:r>
            <w:r w:rsidRPr="00275FBD">
              <w:rPr>
                <w:rFonts w:asciiTheme="minorHAnsi" w:hAnsiTheme="minorHAnsi"/>
                <w:bCs/>
                <w:sz w:val="18"/>
                <w:szCs w:val="18"/>
                <w:lang w:val="sl-SI" w:eastAsia="en-GB"/>
              </w:rPr>
            </w:r>
            <w:r w:rsidRPr="00275FBD">
              <w:rPr>
                <w:rFonts w:asciiTheme="minorHAnsi" w:hAnsiTheme="minorHAnsi"/>
                <w:bCs/>
                <w:sz w:val="18"/>
                <w:szCs w:val="18"/>
                <w:lang w:val="sl-SI" w:eastAsia="en-GB"/>
              </w:rPr>
              <w:fldChar w:fldCharType="separate"/>
            </w:r>
            <w:r w:rsidR="00BA25CD">
              <w:rPr>
                <w:rFonts w:asciiTheme="minorHAnsi" w:hAnsiTheme="minorHAnsi"/>
                <w:bCs/>
                <w:sz w:val="18"/>
                <w:szCs w:val="18"/>
                <w:lang w:val="sl-SI" w:eastAsia="en-GB"/>
              </w:rPr>
              <w:t>[31]</w:t>
            </w:r>
            <w:r w:rsidRPr="00275FBD">
              <w:rPr>
                <w:rFonts w:asciiTheme="minorHAnsi" w:hAnsiTheme="minorHAnsi"/>
                <w:bCs/>
                <w:sz w:val="18"/>
                <w:szCs w:val="18"/>
                <w:lang w:val="sl-SI" w:eastAsia="en-GB"/>
              </w:rPr>
              <w:fldChar w:fldCharType="end"/>
            </w:r>
            <w:r w:rsidRPr="00275FBD">
              <w:rPr>
                <w:rFonts w:asciiTheme="minorHAnsi" w:hAnsiTheme="minorHAnsi"/>
                <w:bCs/>
                <w:sz w:val="18"/>
                <w:szCs w:val="18"/>
                <w:lang w:val="sl-SI" w:eastAsia="en-GB"/>
              </w:rPr>
              <w:t>.</w:t>
            </w:r>
          </w:p>
        </w:tc>
      </w:tr>
      <w:tr w:rsidR="00935B67" w:rsidRPr="00275FBD" w14:paraId="67BB090E" w14:textId="77777777" w:rsidTr="00935B67">
        <w:trPr>
          <w:trHeight w:val="559"/>
        </w:trPr>
        <w:tc>
          <w:tcPr>
            <w:tcW w:w="1418" w:type="dxa"/>
            <w:shd w:val="clear" w:color="auto" w:fill="auto"/>
            <w:noWrap/>
          </w:tcPr>
          <w:p w14:paraId="2F0C9B9E"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PSR3 SAL-C-1</w:t>
            </w:r>
          </w:p>
        </w:tc>
        <w:tc>
          <w:tcPr>
            <w:tcW w:w="855" w:type="dxa"/>
            <w:shd w:val="clear" w:color="auto" w:fill="auto"/>
          </w:tcPr>
          <w:p w14:paraId="11BAB7E5"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M</w:t>
            </w:r>
          </w:p>
        </w:tc>
        <w:tc>
          <w:tcPr>
            <w:tcW w:w="993" w:type="dxa"/>
          </w:tcPr>
          <w:p w14:paraId="432D8836"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US" w:bidi="hi-IN"/>
              </w:rPr>
              <w:t>3</w:t>
            </w:r>
          </w:p>
        </w:tc>
        <w:tc>
          <w:tcPr>
            <w:tcW w:w="8730" w:type="dxa"/>
            <w:shd w:val="clear" w:color="auto" w:fill="auto"/>
            <w:vAlign w:val="center"/>
          </w:tcPr>
          <w:p w14:paraId="44CF460D" w14:textId="77777777" w:rsidR="00935B67" w:rsidRPr="00275FBD" w:rsidRDefault="00935B67" w:rsidP="00935B67">
            <w:pPr>
              <w:jc w:val="left"/>
              <w:rPr>
                <w:rFonts w:asciiTheme="minorHAnsi" w:hAnsiTheme="minorHAnsi"/>
                <w:color w:val="000000"/>
                <w:sz w:val="18"/>
                <w:szCs w:val="18"/>
                <w:lang w:val="sl-SI" w:eastAsia="en-GB"/>
              </w:rPr>
            </w:pPr>
            <w:proofErr w:type="spellStart"/>
            <w:r w:rsidRPr="00275FBD">
              <w:rPr>
                <w:rFonts w:asciiTheme="minorHAnsi" w:hAnsiTheme="minorHAnsi" w:cstheme="minorHAnsi"/>
                <w:b/>
                <w:bCs/>
                <w:color w:val="000000"/>
                <w:sz w:val="18"/>
                <w:szCs w:val="18"/>
                <w:lang w:val="sl-SI" w:eastAsia="en-GB"/>
              </w:rPr>
              <w:t>Pre</w:t>
            </w:r>
            <w:proofErr w:type="spellEnd"/>
            <w:r w:rsidRPr="00275FBD">
              <w:rPr>
                <w:rFonts w:asciiTheme="minorHAnsi" w:hAnsiTheme="minorHAnsi" w:cstheme="minorHAnsi"/>
                <w:b/>
                <w:bCs/>
                <w:color w:val="000000"/>
                <w:sz w:val="18"/>
                <w:szCs w:val="18"/>
                <w:lang w:val="sl-SI" w:eastAsia="en-GB"/>
              </w:rPr>
              <w:t xml:space="preserve">-SALTO </w:t>
            </w:r>
            <w:proofErr w:type="spellStart"/>
            <w:r w:rsidRPr="00275FBD">
              <w:rPr>
                <w:rFonts w:asciiTheme="minorHAnsi" w:hAnsiTheme="minorHAnsi" w:cstheme="minorHAnsi"/>
                <w:b/>
                <w:bCs/>
                <w:color w:val="000000"/>
                <w:sz w:val="18"/>
                <w:szCs w:val="18"/>
                <w:lang w:val="sl-SI" w:eastAsia="en-GB"/>
              </w:rPr>
              <w:t>Issue</w:t>
            </w:r>
            <w:proofErr w:type="spellEnd"/>
            <w:r w:rsidRPr="00275FBD">
              <w:rPr>
                <w:rFonts w:asciiTheme="minorHAnsi" w:hAnsiTheme="minorHAnsi" w:cstheme="minorHAnsi"/>
                <w:b/>
                <w:bCs/>
                <w:color w:val="000000"/>
                <w:sz w:val="18"/>
                <w:szCs w:val="18"/>
                <w:lang w:val="sl-SI" w:eastAsia="en-GB"/>
              </w:rPr>
              <w:t xml:space="preserve"> 1 (R)</w:t>
            </w:r>
            <w:r w:rsidRPr="00275FBD">
              <w:rPr>
                <w:rFonts w:asciiTheme="minorHAnsi" w:hAnsiTheme="minorHAnsi" w:cstheme="minorHAnsi"/>
                <w:color w:val="000000"/>
                <w:sz w:val="18"/>
                <w:szCs w:val="18"/>
                <w:lang w:val="sl-SI" w:eastAsia="en-GB"/>
              </w:rPr>
              <w:t xml:space="preserve"> – </w:t>
            </w:r>
            <w:proofErr w:type="spellStart"/>
            <w:r w:rsidRPr="00275FBD">
              <w:rPr>
                <w:rFonts w:asciiTheme="minorHAnsi" w:hAnsiTheme="minorHAnsi" w:cstheme="minorHAnsi"/>
                <w:color w:val="000000"/>
                <w:sz w:val="18"/>
                <w:szCs w:val="18"/>
                <w:lang w:val="sl-SI" w:eastAsia="en-GB"/>
              </w:rPr>
              <w:t>Incomplete</w:t>
            </w:r>
            <w:proofErr w:type="spellEnd"/>
            <w:r w:rsidRPr="00275FBD">
              <w:rPr>
                <w:rFonts w:asciiTheme="minorHAnsi" w:hAnsiTheme="minorHAnsi" w:cstheme="minorHAnsi"/>
                <w:color w:val="000000"/>
                <w:sz w:val="18"/>
                <w:szCs w:val="18"/>
                <w:lang w:val="sl-SI" w:eastAsia="en-GB"/>
              </w:rPr>
              <w:t xml:space="preserve"> AMR of </w:t>
            </w:r>
            <w:proofErr w:type="spellStart"/>
            <w:r w:rsidRPr="00275FBD">
              <w:rPr>
                <w:rFonts w:asciiTheme="minorHAnsi" w:hAnsiTheme="minorHAnsi" w:cstheme="minorHAnsi"/>
                <w:color w:val="000000"/>
                <w:sz w:val="18"/>
                <w:szCs w:val="18"/>
                <w:lang w:val="sl-SI" w:eastAsia="en-GB"/>
              </w:rPr>
              <w:t>plant</w:t>
            </w:r>
            <w:proofErr w:type="spellEnd"/>
            <w:r w:rsidRPr="00275FBD">
              <w:rPr>
                <w:rFonts w:asciiTheme="minorHAnsi" w:hAnsiTheme="minorHAnsi" w:cstheme="minorHAnsi"/>
                <w:color w:val="000000"/>
                <w:sz w:val="18"/>
                <w:szCs w:val="18"/>
                <w:lang w:val="sl-SI" w:eastAsia="en-GB"/>
              </w:rPr>
              <w:t xml:space="preserve"> </w:t>
            </w:r>
            <w:proofErr w:type="spellStart"/>
            <w:r w:rsidRPr="00275FBD">
              <w:rPr>
                <w:rFonts w:asciiTheme="minorHAnsi" w:hAnsiTheme="minorHAnsi" w:cstheme="minorHAnsi"/>
                <w:color w:val="000000"/>
                <w:sz w:val="18"/>
                <w:szCs w:val="18"/>
                <w:lang w:val="sl-SI" w:eastAsia="en-GB"/>
              </w:rPr>
              <w:t>SSCs</w:t>
            </w:r>
            <w:proofErr w:type="spellEnd"/>
          </w:p>
        </w:tc>
        <w:tc>
          <w:tcPr>
            <w:tcW w:w="2403" w:type="dxa"/>
          </w:tcPr>
          <w:p w14:paraId="5EBF30AB" w14:textId="2E494CAC"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 xml:space="preserve">According to </w:t>
            </w:r>
            <w:proofErr w:type="spellStart"/>
            <w:r w:rsidRPr="00275FBD">
              <w:rPr>
                <w:rFonts w:asciiTheme="minorHAnsi" w:hAnsiTheme="minorHAnsi"/>
                <w:bCs/>
                <w:sz w:val="18"/>
                <w:szCs w:val="18"/>
                <w:lang w:val="sl-SI" w:eastAsia="en-GB"/>
              </w:rPr>
              <w:t>Pre</w:t>
            </w:r>
            <w:proofErr w:type="spellEnd"/>
            <w:r w:rsidRPr="00275FBD">
              <w:rPr>
                <w:rFonts w:asciiTheme="minorHAnsi" w:hAnsiTheme="minorHAnsi"/>
                <w:bCs/>
                <w:sz w:val="18"/>
                <w:szCs w:val="18"/>
                <w:lang w:val="sl-SI" w:eastAsia="en-GB"/>
              </w:rPr>
              <w:t xml:space="preserve">-SALTO </w:t>
            </w:r>
            <w:proofErr w:type="spellStart"/>
            <w:r w:rsidRPr="00275FBD">
              <w:rPr>
                <w:rFonts w:asciiTheme="minorHAnsi" w:hAnsiTheme="minorHAnsi"/>
                <w:bCs/>
                <w:sz w:val="18"/>
                <w:szCs w:val="18"/>
                <w:lang w:val="sl-SI" w:eastAsia="en-GB"/>
              </w:rPr>
              <w:t>action</w:t>
            </w:r>
            <w:proofErr w:type="spellEnd"/>
            <w:r w:rsidRPr="00275FBD">
              <w:rPr>
                <w:rFonts w:asciiTheme="minorHAnsi" w:hAnsiTheme="minorHAnsi"/>
                <w:bCs/>
                <w:sz w:val="18"/>
                <w:szCs w:val="18"/>
                <w:lang w:val="sl-SI" w:eastAsia="en-GB"/>
              </w:rPr>
              <w:t xml:space="preserve"> plan </w:t>
            </w:r>
            <w:r w:rsidRPr="00275FBD">
              <w:rPr>
                <w:rFonts w:asciiTheme="minorHAnsi" w:hAnsiTheme="minorHAnsi"/>
                <w:bCs/>
                <w:sz w:val="18"/>
                <w:szCs w:val="18"/>
                <w:lang w:val="sl-SI" w:eastAsia="en-GB"/>
              </w:rPr>
              <w:fldChar w:fldCharType="begin"/>
            </w:r>
            <w:r w:rsidRPr="00275FBD">
              <w:rPr>
                <w:rFonts w:asciiTheme="minorHAnsi" w:hAnsiTheme="minorHAnsi"/>
                <w:bCs/>
                <w:sz w:val="18"/>
                <w:szCs w:val="18"/>
                <w:lang w:val="sl-SI" w:eastAsia="en-GB"/>
              </w:rPr>
              <w:instrText xml:space="preserve"> REF _Ref128405391 \r \h  \* MERGEFORMAT </w:instrText>
            </w:r>
            <w:r w:rsidRPr="00275FBD">
              <w:rPr>
                <w:rFonts w:asciiTheme="minorHAnsi" w:hAnsiTheme="minorHAnsi"/>
                <w:bCs/>
                <w:sz w:val="18"/>
                <w:szCs w:val="18"/>
                <w:lang w:val="sl-SI" w:eastAsia="en-GB"/>
              </w:rPr>
            </w:r>
            <w:r w:rsidRPr="00275FBD">
              <w:rPr>
                <w:rFonts w:asciiTheme="minorHAnsi" w:hAnsiTheme="minorHAnsi"/>
                <w:bCs/>
                <w:sz w:val="18"/>
                <w:szCs w:val="18"/>
                <w:lang w:val="sl-SI" w:eastAsia="en-GB"/>
              </w:rPr>
              <w:fldChar w:fldCharType="separate"/>
            </w:r>
            <w:r w:rsidR="00BA25CD">
              <w:rPr>
                <w:rFonts w:asciiTheme="minorHAnsi" w:hAnsiTheme="minorHAnsi"/>
                <w:bCs/>
                <w:sz w:val="18"/>
                <w:szCs w:val="18"/>
                <w:lang w:val="sl-SI" w:eastAsia="en-GB"/>
              </w:rPr>
              <w:t>[31]</w:t>
            </w:r>
            <w:r w:rsidRPr="00275FBD">
              <w:rPr>
                <w:rFonts w:asciiTheme="minorHAnsi" w:hAnsiTheme="minorHAnsi"/>
                <w:bCs/>
                <w:sz w:val="18"/>
                <w:szCs w:val="18"/>
                <w:lang w:val="sl-SI" w:eastAsia="en-GB"/>
              </w:rPr>
              <w:fldChar w:fldCharType="end"/>
            </w:r>
            <w:r w:rsidRPr="00275FBD">
              <w:rPr>
                <w:rFonts w:asciiTheme="minorHAnsi" w:hAnsiTheme="minorHAnsi"/>
                <w:bCs/>
                <w:sz w:val="18"/>
                <w:szCs w:val="18"/>
                <w:lang w:val="sl-SI" w:eastAsia="en-GB"/>
              </w:rPr>
              <w:t>.</w:t>
            </w:r>
          </w:p>
        </w:tc>
      </w:tr>
      <w:tr w:rsidR="00935B67" w:rsidRPr="00275FBD" w14:paraId="469D415E" w14:textId="77777777" w:rsidTr="00935B67">
        <w:trPr>
          <w:trHeight w:val="559"/>
        </w:trPr>
        <w:tc>
          <w:tcPr>
            <w:tcW w:w="1418" w:type="dxa"/>
            <w:shd w:val="clear" w:color="auto" w:fill="auto"/>
            <w:noWrap/>
          </w:tcPr>
          <w:p w14:paraId="0D573E5F"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PSR3 SAL-D-1</w:t>
            </w:r>
          </w:p>
        </w:tc>
        <w:tc>
          <w:tcPr>
            <w:tcW w:w="855" w:type="dxa"/>
            <w:shd w:val="clear" w:color="auto" w:fill="auto"/>
          </w:tcPr>
          <w:p w14:paraId="670085A5"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M</w:t>
            </w:r>
          </w:p>
        </w:tc>
        <w:tc>
          <w:tcPr>
            <w:tcW w:w="993" w:type="dxa"/>
          </w:tcPr>
          <w:p w14:paraId="1A14018E"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US" w:bidi="hi-IN"/>
              </w:rPr>
              <w:t>3</w:t>
            </w:r>
          </w:p>
        </w:tc>
        <w:tc>
          <w:tcPr>
            <w:tcW w:w="8730" w:type="dxa"/>
            <w:shd w:val="clear" w:color="auto" w:fill="auto"/>
          </w:tcPr>
          <w:p w14:paraId="0C8C6CAC" w14:textId="77777777" w:rsidR="00935B67" w:rsidRPr="00275FBD" w:rsidRDefault="00935B67" w:rsidP="00935B67">
            <w:pPr>
              <w:jc w:val="left"/>
              <w:rPr>
                <w:rFonts w:asciiTheme="minorHAnsi" w:hAnsiTheme="minorHAnsi"/>
                <w:color w:val="000000"/>
                <w:sz w:val="18"/>
                <w:szCs w:val="18"/>
                <w:lang w:val="sl-SI" w:eastAsia="en-GB"/>
              </w:rPr>
            </w:pPr>
            <w:proofErr w:type="spellStart"/>
            <w:r w:rsidRPr="00275FBD">
              <w:rPr>
                <w:rFonts w:asciiTheme="minorHAnsi" w:hAnsiTheme="minorHAnsi"/>
                <w:b/>
                <w:bCs/>
                <w:color w:val="000000"/>
                <w:sz w:val="18"/>
                <w:szCs w:val="18"/>
                <w:lang w:val="sl-SI" w:eastAsia="en-US" w:bidi="hi-IN"/>
              </w:rPr>
              <w:t>Pre</w:t>
            </w:r>
            <w:proofErr w:type="spellEnd"/>
            <w:r w:rsidRPr="00275FBD">
              <w:rPr>
                <w:rFonts w:asciiTheme="minorHAnsi" w:hAnsiTheme="minorHAnsi"/>
                <w:b/>
                <w:bCs/>
                <w:color w:val="000000"/>
                <w:sz w:val="18"/>
                <w:szCs w:val="18"/>
                <w:lang w:val="sl-SI" w:eastAsia="en-US" w:bidi="hi-IN"/>
              </w:rPr>
              <w:t xml:space="preserve">-SALTO </w:t>
            </w:r>
            <w:proofErr w:type="spellStart"/>
            <w:r w:rsidRPr="00275FBD">
              <w:rPr>
                <w:rFonts w:asciiTheme="minorHAnsi" w:hAnsiTheme="minorHAnsi"/>
                <w:b/>
                <w:bCs/>
                <w:color w:val="000000"/>
                <w:sz w:val="18"/>
                <w:szCs w:val="18"/>
                <w:lang w:val="sl-SI" w:eastAsia="en-US" w:bidi="hi-IN"/>
              </w:rPr>
              <w:t>Issue</w:t>
            </w:r>
            <w:proofErr w:type="spellEnd"/>
            <w:r w:rsidRPr="00275FBD">
              <w:rPr>
                <w:rFonts w:asciiTheme="minorHAnsi" w:hAnsiTheme="minorHAnsi"/>
                <w:b/>
                <w:bCs/>
                <w:color w:val="000000"/>
                <w:sz w:val="18"/>
                <w:szCs w:val="18"/>
                <w:lang w:val="sl-SI" w:eastAsia="en-US" w:bidi="hi-IN"/>
              </w:rPr>
              <w:t xml:space="preserve"> 1 (S)</w:t>
            </w:r>
            <w:r w:rsidRPr="00275FBD">
              <w:rPr>
                <w:rFonts w:asciiTheme="minorHAnsi" w:hAnsiTheme="minorHAnsi"/>
                <w:color w:val="000000"/>
                <w:sz w:val="18"/>
                <w:szCs w:val="18"/>
                <w:lang w:val="sl-SI" w:eastAsia="en-US" w:bidi="hi-IN"/>
              </w:rPr>
              <w:t xml:space="preserve"> - </w:t>
            </w:r>
            <w:proofErr w:type="spellStart"/>
            <w:r w:rsidRPr="00275FBD">
              <w:rPr>
                <w:rFonts w:asciiTheme="minorHAnsi" w:hAnsiTheme="minorHAnsi"/>
                <w:color w:val="000000"/>
                <w:sz w:val="18"/>
                <w:szCs w:val="18"/>
                <w:lang w:val="sl-SI" w:eastAsia="en-US" w:bidi="hi-IN"/>
              </w:rPr>
              <w:t>Proactive</w:t>
            </w:r>
            <w:proofErr w:type="spellEnd"/>
            <w:r w:rsidRPr="00275FBD">
              <w:rPr>
                <w:rFonts w:asciiTheme="minorHAnsi" w:hAnsiTheme="minorHAnsi"/>
                <w:color w:val="000000"/>
                <w:sz w:val="18"/>
                <w:szCs w:val="18"/>
                <w:lang w:val="sl-SI" w:eastAsia="en-US" w:bidi="hi-IN"/>
              </w:rPr>
              <w:t xml:space="preserve"> Obsolescence Management Not </w:t>
            </w:r>
            <w:proofErr w:type="spellStart"/>
            <w:r w:rsidRPr="00275FBD">
              <w:rPr>
                <w:rFonts w:asciiTheme="minorHAnsi" w:hAnsiTheme="minorHAnsi"/>
                <w:color w:val="000000"/>
                <w:sz w:val="18"/>
                <w:szCs w:val="18"/>
                <w:lang w:val="sl-SI" w:eastAsia="en-US" w:bidi="hi-IN"/>
              </w:rPr>
              <w:t>Fully</w:t>
            </w:r>
            <w:proofErr w:type="spellEnd"/>
            <w:r w:rsidRPr="00275FBD">
              <w:rPr>
                <w:rFonts w:asciiTheme="minorHAnsi" w:hAnsiTheme="minorHAnsi"/>
                <w:color w:val="000000"/>
                <w:sz w:val="18"/>
                <w:szCs w:val="18"/>
                <w:lang w:val="sl-SI" w:eastAsia="en-US" w:bidi="hi-IN"/>
              </w:rPr>
              <w:t xml:space="preserve"> Implemented</w:t>
            </w:r>
          </w:p>
        </w:tc>
        <w:tc>
          <w:tcPr>
            <w:tcW w:w="2403" w:type="dxa"/>
          </w:tcPr>
          <w:p w14:paraId="0231ABEC" w14:textId="58234085"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 xml:space="preserve">According to </w:t>
            </w:r>
            <w:proofErr w:type="spellStart"/>
            <w:r w:rsidRPr="00275FBD">
              <w:rPr>
                <w:rFonts w:asciiTheme="minorHAnsi" w:hAnsiTheme="minorHAnsi"/>
                <w:bCs/>
                <w:sz w:val="18"/>
                <w:szCs w:val="18"/>
                <w:lang w:val="sl-SI" w:eastAsia="en-GB"/>
              </w:rPr>
              <w:t>Pre</w:t>
            </w:r>
            <w:proofErr w:type="spellEnd"/>
            <w:r w:rsidRPr="00275FBD">
              <w:rPr>
                <w:rFonts w:asciiTheme="minorHAnsi" w:hAnsiTheme="minorHAnsi"/>
                <w:bCs/>
                <w:sz w:val="18"/>
                <w:szCs w:val="18"/>
                <w:lang w:val="sl-SI" w:eastAsia="en-GB"/>
              </w:rPr>
              <w:t xml:space="preserve">-SALTO </w:t>
            </w:r>
            <w:proofErr w:type="spellStart"/>
            <w:r w:rsidRPr="00275FBD">
              <w:rPr>
                <w:rFonts w:asciiTheme="minorHAnsi" w:hAnsiTheme="minorHAnsi"/>
                <w:bCs/>
                <w:sz w:val="18"/>
                <w:szCs w:val="18"/>
                <w:lang w:val="sl-SI" w:eastAsia="en-GB"/>
              </w:rPr>
              <w:t>action</w:t>
            </w:r>
            <w:proofErr w:type="spellEnd"/>
            <w:r w:rsidRPr="00275FBD">
              <w:rPr>
                <w:rFonts w:asciiTheme="minorHAnsi" w:hAnsiTheme="minorHAnsi"/>
                <w:bCs/>
                <w:sz w:val="18"/>
                <w:szCs w:val="18"/>
                <w:lang w:val="sl-SI" w:eastAsia="en-GB"/>
              </w:rPr>
              <w:t xml:space="preserve"> plan </w:t>
            </w:r>
            <w:r w:rsidRPr="00275FBD">
              <w:rPr>
                <w:rFonts w:asciiTheme="minorHAnsi" w:hAnsiTheme="minorHAnsi"/>
                <w:bCs/>
                <w:sz w:val="18"/>
                <w:szCs w:val="18"/>
                <w:lang w:val="sl-SI" w:eastAsia="en-GB"/>
              </w:rPr>
              <w:fldChar w:fldCharType="begin"/>
            </w:r>
            <w:r w:rsidRPr="00275FBD">
              <w:rPr>
                <w:rFonts w:asciiTheme="minorHAnsi" w:hAnsiTheme="minorHAnsi"/>
                <w:bCs/>
                <w:sz w:val="18"/>
                <w:szCs w:val="18"/>
                <w:lang w:val="sl-SI" w:eastAsia="en-GB"/>
              </w:rPr>
              <w:instrText xml:space="preserve"> REF _Ref128405391 \r \h  \* MERGEFORMAT </w:instrText>
            </w:r>
            <w:r w:rsidRPr="00275FBD">
              <w:rPr>
                <w:rFonts w:asciiTheme="minorHAnsi" w:hAnsiTheme="minorHAnsi"/>
                <w:bCs/>
                <w:sz w:val="18"/>
                <w:szCs w:val="18"/>
                <w:lang w:val="sl-SI" w:eastAsia="en-GB"/>
              </w:rPr>
            </w:r>
            <w:r w:rsidRPr="00275FBD">
              <w:rPr>
                <w:rFonts w:asciiTheme="minorHAnsi" w:hAnsiTheme="minorHAnsi"/>
                <w:bCs/>
                <w:sz w:val="18"/>
                <w:szCs w:val="18"/>
                <w:lang w:val="sl-SI" w:eastAsia="en-GB"/>
              </w:rPr>
              <w:fldChar w:fldCharType="separate"/>
            </w:r>
            <w:r w:rsidR="00BA25CD">
              <w:rPr>
                <w:rFonts w:asciiTheme="minorHAnsi" w:hAnsiTheme="minorHAnsi"/>
                <w:bCs/>
                <w:sz w:val="18"/>
                <w:szCs w:val="18"/>
                <w:lang w:val="sl-SI" w:eastAsia="en-GB"/>
              </w:rPr>
              <w:t>[31]</w:t>
            </w:r>
            <w:r w:rsidRPr="00275FBD">
              <w:rPr>
                <w:rFonts w:asciiTheme="minorHAnsi" w:hAnsiTheme="minorHAnsi"/>
                <w:bCs/>
                <w:sz w:val="18"/>
                <w:szCs w:val="18"/>
                <w:lang w:val="sl-SI" w:eastAsia="en-GB"/>
              </w:rPr>
              <w:fldChar w:fldCharType="end"/>
            </w:r>
            <w:r w:rsidRPr="00275FBD">
              <w:rPr>
                <w:rFonts w:asciiTheme="minorHAnsi" w:hAnsiTheme="minorHAnsi"/>
                <w:bCs/>
                <w:sz w:val="18"/>
                <w:szCs w:val="18"/>
                <w:lang w:val="sl-SI" w:eastAsia="en-GB"/>
              </w:rPr>
              <w:t>.</w:t>
            </w:r>
          </w:p>
        </w:tc>
      </w:tr>
      <w:tr w:rsidR="00935B67" w:rsidRPr="00275FBD" w14:paraId="68D8C72B" w14:textId="77777777" w:rsidTr="00935B67">
        <w:trPr>
          <w:trHeight w:val="559"/>
        </w:trPr>
        <w:tc>
          <w:tcPr>
            <w:tcW w:w="1418" w:type="dxa"/>
            <w:shd w:val="clear" w:color="auto" w:fill="auto"/>
            <w:noWrap/>
          </w:tcPr>
          <w:p w14:paraId="19E19BAE"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PSR3 SAL-D-2</w:t>
            </w:r>
          </w:p>
        </w:tc>
        <w:tc>
          <w:tcPr>
            <w:tcW w:w="855" w:type="dxa"/>
            <w:shd w:val="clear" w:color="auto" w:fill="auto"/>
          </w:tcPr>
          <w:p w14:paraId="7F1E153C"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M</w:t>
            </w:r>
          </w:p>
        </w:tc>
        <w:tc>
          <w:tcPr>
            <w:tcW w:w="993" w:type="dxa"/>
          </w:tcPr>
          <w:p w14:paraId="40219363"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US" w:bidi="hi-IN"/>
              </w:rPr>
              <w:t>3</w:t>
            </w:r>
          </w:p>
        </w:tc>
        <w:tc>
          <w:tcPr>
            <w:tcW w:w="8730" w:type="dxa"/>
            <w:shd w:val="clear" w:color="auto" w:fill="auto"/>
            <w:vAlign w:val="center"/>
          </w:tcPr>
          <w:p w14:paraId="632008B7" w14:textId="77777777" w:rsidR="00935B67" w:rsidRPr="00275FBD" w:rsidRDefault="00935B67" w:rsidP="00935B67">
            <w:pPr>
              <w:jc w:val="left"/>
              <w:rPr>
                <w:rFonts w:asciiTheme="minorHAnsi" w:hAnsiTheme="minorHAnsi"/>
                <w:color w:val="000000"/>
                <w:sz w:val="18"/>
                <w:szCs w:val="18"/>
                <w:lang w:val="sl-SI" w:eastAsia="en-GB"/>
              </w:rPr>
            </w:pPr>
            <w:proofErr w:type="spellStart"/>
            <w:r w:rsidRPr="00275FBD">
              <w:rPr>
                <w:rFonts w:asciiTheme="minorHAnsi" w:hAnsiTheme="minorHAnsi"/>
                <w:b/>
                <w:bCs/>
                <w:color w:val="000000"/>
                <w:sz w:val="18"/>
                <w:szCs w:val="18"/>
                <w:lang w:val="sl-SI" w:eastAsia="en-US" w:bidi="hi-IN"/>
              </w:rPr>
              <w:t>Pre</w:t>
            </w:r>
            <w:proofErr w:type="spellEnd"/>
            <w:r w:rsidRPr="00275FBD">
              <w:rPr>
                <w:rFonts w:asciiTheme="minorHAnsi" w:hAnsiTheme="minorHAnsi"/>
                <w:b/>
                <w:bCs/>
                <w:color w:val="000000"/>
                <w:sz w:val="18"/>
                <w:szCs w:val="18"/>
                <w:lang w:val="sl-SI" w:eastAsia="en-US" w:bidi="hi-IN"/>
              </w:rPr>
              <w:t xml:space="preserve">-SALTO </w:t>
            </w:r>
            <w:proofErr w:type="spellStart"/>
            <w:r w:rsidRPr="00275FBD">
              <w:rPr>
                <w:rFonts w:asciiTheme="minorHAnsi" w:hAnsiTheme="minorHAnsi"/>
                <w:b/>
                <w:bCs/>
                <w:color w:val="000000"/>
                <w:sz w:val="18"/>
                <w:szCs w:val="18"/>
                <w:lang w:val="sl-SI" w:eastAsia="en-US" w:bidi="hi-IN"/>
              </w:rPr>
              <w:t>Issue</w:t>
            </w:r>
            <w:proofErr w:type="spellEnd"/>
            <w:r w:rsidRPr="00275FBD">
              <w:rPr>
                <w:rFonts w:asciiTheme="minorHAnsi" w:hAnsiTheme="minorHAnsi"/>
                <w:b/>
                <w:bCs/>
                <w:color w:val="000000"/>
                <w:sz w:val="18"/>
                <w:szCs w:val="18"/>
                <w:lang w:val="sl-SI" w:eastAsia="en-US" w:bidi="hi-IN"/>
              </w:rPr>
              <w:t xml:space="preserve"> 2 (S)</w:t>
            </w:r>
            <w:r w:rsidRPr="00275FBD">
              <w:rPr>
                <w:rFonts w:asciiTheme="minorHAnsi" w:hAnsiTheme="minorHAnsi"/>
                <w:color w:val="000000"/>
                <w:sz w:val="18"/>
                <w:szCs w:val="18"/>
                <w:lang w:val="sl-SI" w:eastAsia="en-US" w:bidi="hi-IN"/>
              </w:rPr>
              <w:t xml:space="preserve"> - </w:t>
            </w:r>
            <w:proofErr w:type="spellStart"/>
            <w:r w:rsidRPr="00275FBD">
              <w:rPr>
                <w:rFonts w:asciiTheme="minorHAnsi" w:hAnsiTheme="minorHAnsi"/>
                <w:color w:val="000000"/>
                <w:sz w:val="18"/>
                <w:szCs w:val="18"/>
                <w:lang w:val="sl-SI" w:eastAsia="en-US" w:bidi="hi-IN"/>
              </w:rPr>
              <w:t>Equipment</w:t>
            </w:r>
            <w:proofErr w:type="spellEnd"/>
            <w:r w:rsidRPr="00275FBD">
              <w:rPr>
                <w:rFonts w:asciiTheme="minorHAnsi" w:hAnsiTheme="minorHAnsi"/>
                <w:color w:val="000000"/>
                <w:sz w:val="18"/>
                <w:szCs w:val="18"/>
                <w:lang w:val="sl-SI" w:eastAsia="en-US" w:bidi="hi-IN"/>
              </w:rPr>
              <w:t xml:space="preserve"> </w:t>
            </w:r>
            <w:proofErr w:type="spellStart"/>
            <w:r w:rsidRPr="00275FBD">
              <w:rPr>
                <w:rFonts w:asciiTheme="minorHAnsi" w:hAnsiTheme="minorHAnsi"/>
                <w:color w:val="000000"/>
                <w:sz w:val="18"/>
                <w:szCs w:val="18"/>
                <w:lang w:val="sl-SI" w:eastAsia="en-US" w:bidi="hi-IN"/>
              </w:rPr>
              <w:t>Qualification</w:t>
            </w:r>
            <w:proofErr w:type="spellEnd"/>
            <w:r w:rsidRPr="00275FBD">
              <w:rPr>
                <w:rFonts w:asciiTheme="minorHAnsi" w:hAnsiTheme="minorHAnsi"/>
                <w:color w:val="000000"/>
                <w:sz w:val="18"/>
                <w:szCs w:val="18"/>
                <w:lang w:val="sl-SI" w:eastAsia="en-US" w:bidi="hi-IN"/>
              </w:rPr>
              <w:t xml:space="preserve"> Program Not Comprehensive</w:t>
            </w:r>
          </w:p>
        </w:tc>
        <w:tc>
          <w:tcPr>
            <w:tcW w:w="2403" w:type="dxa"/>
          </w:tcPr>
          <w:p w14:paraId="5EFB46D2" w14:textId="4E2871BC"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 xml:space="preserve">According to </w:t>
            </w:r>
            <w:proofErr w:type="spellStart"/>
            <w:r w:rsidRPr="00275FBD">
              <w:rPr>
                <w:rFonts w:asciiTheme="minorHAnsi" w:hAnsiTheme="minorHAnsi"/>
                <w:bCs/>
                <w:sz w:val="18"/>
                <w:szCs w:val="18"/>
                <w:lang w:val="sl-SI" w:eastAsia="en-GB"/>
              </w:rPr>
              <w:t>Pre</w:t>
            </w:r>
            <w:proofErr w:type="spellEnd"/>
            <w:r w:rsidRPr="00275FBD">
              <w:rPr>
                <w:rFonts w:asciiTheme="minorHAnsi" w:hAnsiTheme="minorHAnsi"/>
                <w:bCs/>
                <w:sz w:val="18"/>
                <w:szCs w:val="18"/>
                <w:lang w:val="sl-SI" w:eastAsia="en-GB"/>
              </w:rPr>
              <w:t xml:space="preserve">-SALTO </w:t>
            </w:r>
            <w:proofErr w:type="spellStart"/>
            <w:r w:rsidRPr="00275FBD">
              <w:rPr>
                <w:rFonts w:asciiTheme="minorHAnsi" w:hAnsiTheme="minorHAnsi"/>
                <w:bCs/>
                <w:sz w:val="18"/>
                <w:szCs w:val="18"/>
                <w:lang w:val="sl-SI" w:eastAsia="en-GB"/>
              </w:rPr>
              <w:t>action</w:t>
            </w:r>
            <w:proofErr w:type="spellEnd"/>
            <w:r w:rsidRPr="00275FBD">
              <w:rPr>
                <w:rFonts w:asciiTheme="minorHAnsi" w:hAnsiTheme="minorHAnsi"/>
                <w:bCs/>
                <w:sz w:val="18"/>
                <w:szCs w:val="18"/>
                <w:lang w:val="sl-SI" w:eastAsia="en-GB"/>
              </w:rPr>
              <w:t xml:space="preserve"> plan </w:t>
            </w:r>
            <w:r w:rsidRPr="00275FBD">
              <w:rPr>
                <w:rFonts w:asciiTheme="minorHAnsi" w:hAnsiTheme="minorHAnsi"/>
                <w:bCs/>
                <w:sz w:val="18"/>
                <w:szCs w:val="18"/>
                <w:lang w:val="sl-SI" w:eastAsia="en-GB"/>
              </w:rPr>
              <w:fldChar w:fldCharType="begin"/>
            </w:r>
            <w:r w:rsidRPr="00275FBD">
              <w:rPr>
                <w:rFonts w:asciiTheme="minorHAnsi" w:hAnsiTheme="minorHAnsi"/>
                <w:bCs/>
                <w:sz w:val="18"/>
                <w:szCs w:val="18"/>
                <w:lang w:val="sl-SI" w:eastAsia="en-GB"/>
              </w:rPr>
              <w:instrText xml:space="preserve"> REF _Ref128405391 \r \h  \* MERGEFORMAT </w:instrText>
            </w:r>
            <w:r w:rsidRPr="00275FBD">
              <w:rPr>
                <w:rFonts w:asciiTheme="minorHAnsi" w:hAnsiTheme="minorHAnsi"/>
                <w:bCs/>
                <w:sz w:val="18"/>
                <w:szCs w:val="18"/>
                <w:lang w:val="sl-SI" w:eastAsia="en-GB"/>
              </w:rPr>
            </w:r>
            <w:r w:rsidRPr="00275FBD">
              <w:rPr>
                <w:rFonts w:asciiTheme="minorHAnsi" w:hAnsiTheme="minorHAnsi"/>
                <w:bCs/>
                <w:sz w:val="18"/>
                <w:szCs w:val="18"/>
                <w:lang w:val="sl-SI" w:eastAsia="en-GB"/>
              </w:rPr>
              <w:fldChar w:fldCharType="separate"/>
            </w:r>
            <w:r w:rsidR="00BA25CD">
              <w:rPr>
                <w:rFonts w:asciiTheme="minorHAnsi" w:hAnsiTheme="minorHAnsi"/>
                <w:bCs/>
                <w:sz w:val="18"/>
                <w:szCs w:val="18"/>
                <w:lang w:val="sl-SI" w:eastAsia="en-GB"/>
              </w:rPr>
              <w:t>[31]</w:t>
            </w:r>
            <w:r w:rsidRPr="00275FBD">
              <w:rPr>
                <w:rFonts w:asciiTheme="minorHAnsi" w:hAnsiTheme="minorHAnsi"/>
                <w:bCs/>
                <w:sz w:val="18"/>
                <w:szCs w:val="18"/>
                <w:lang w:val="sl-SI" w:eastAsia="en-GB"/>
              </w:rPr>
              <w:fldChar w:fldCharType="end"/>
            </w:r>
            <w:r w:rsidRPr="00275FBD">
              <w:rPr>
                <w:rFonts w:asciiTheme="minorHAnsi" w:hAnsiTheme="minorHAnsi"/>
                <w:bCs/>
                <w:sz w:val="18"/>
                <w:szCs w:val="18"/>
                <w:lang w:val="sl-SI" w:eastAsia="en-GB"/>
              </w:rPr>
              <w:t>.</w:t>
            </w:r>
          </w:p>
        </w:tc>
      </w:tr>
      <w:tr w:rsidR="00935B67" w:rsidRPr="00275FBD" w14:paraId="53DC29FC" w14:textId="77777777" w:rsidTr="00935B67">
        <w:trPr>
          <w:trHeight w:val="559"/>
        </w:trPr>
        <w:tc>
          <w:tcPr>
            <w:tcW w:w="1418" w:type="dxa"/>
            <w:shd w:val="clear" w:color="auto" w:fill="auto"/>
            <w:noWrap/>
          </w:tcPr>
          <w:p w14:paraId="5F5DB780"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PSR3 SAL-E-1</w:t>
            </w:r>
          </w:p>
        </w:tc>
        <w:tc>
          <w:tcPr>
            <w:tcW w:w="855" w:type="dxa"/>
            <w:shd w:val="clear" w:color="auto" w:fill="auto"/>
          </w:tcPr>
          <w:p w14:paraId="2955A582"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M</w:t>
            </w:r>
          </w:p>
        </w:tc>
        <w:tc>
          <w:tcPr>
            <w:tcW w:w="993" w:type="dxa"/>
          </w:tcPr>
          <w:p w14:paraId="55BB374E"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US" w:bidi="hi-IN"/>
              </w:rPr>
              <w:t>3</w:t>
            </w:r>
          </w:p>
        </w:tc>
        <w:tc>
          <w:tcPr>
            <w:tcW w:w="8730" w:type="dxa"/>
            <w:shd w:val="clear" w:color="auto" w:fill="auto"/>
            <w:vAlign w:val="center"/>
          </w:tcPr>
          <w:p w14:paraId="0A458554" w14:textId="77777777" w:rsidR="00935B67" w:rsidRPr="00275FBD" w:rsidRDefault="00935B67" w:rsidP="00935B67">
            <w:pPr>
              <w:jc w:val="left"/>
              <w:rPr>
                <w:rFonts w:asciiTheme="minorHAnsi" w:hAnsiTheme="minorHAnsi"/>
                <w:color w:val="000000"/>
                <w:sz w:val="18"/>
                <w:szCs w:val="18"/>
                <w:lang w:val="sl-SI" w:eastAsia="en-GB"/>
              </w:rPr>
            </w:pPr>
            <w:proofErr w:type="spellStart"/>
            <w:r w:rsidRPr="00275FBD">
              <w:rPr>
                <w:rFonts w:asciiTheme="minorHAnsi" w:hAnsiTheme="minorHAnsi"/>
                <w:b/>
                <w:bCs/>
                <w:color w:val="000000"/>
                <w:sz w:val="18"/>
                <w:szCs w:val="18"/>
                <w:lang w:val="sl-SI" w:eastAsia="en-US" w:bidi="hi-IN"/>
              </w:rPr>
              <w:t>Pre</w:t>
            </w:r>
            <w:proofErr w:type="spellEnd"/>
            <w:r w:rsidRPr="00275FBD">
              <w:rPr>
                <w:rFonts w:asciiTheme="minorHAnsi" w:hAnsiTheme="minorHAnsi"/>
                <w:b/>
                <w:bCs/>
                <w:color w:val="000000"/>
                <w:sz w:val="18"/>
                <w:szCs w:val="18"/>
                <w:lang w:val="sl-SI" w:eastAsia="en-US" w:bidi="hi-IN"/>
              </w:rPr>
              <w:t xml:space="preserve">-SALTO </w:t>
            </w:r>
            <w:proofErr w:type="spellStart"/>
            <w:r w:rsidRPr="00275FBD">
              <w:rPr>
                <w:rFonts w:asciiTheme="minorHAnsi" w:hAnsiTheme="minorHAnsi"/>
                <w:b/>
                <w:bCs/>
                <w:color w:val="000000"/>
                <w:sz w:val="18"/>
                <w:szCs w:val="18"/>
                <w:lang w:val="sl-SI" w:eastAsia="en-US" w:bidi="hi-IN"/>
              </w:rPr>
              <w:t>Issue</w:t>
            </w:r>
            <w:proofErr w:type="spellEnd"/>
            <w:r w:rsidRPr="00275FBD">
              <w:rPr>
                <w:rFonts w:asciiTheme="minorHAnsi" w:hAnsiTheme="minorHAnsi"/>
                <w:b/>
                <w:bCs/>
                <w:color w:val="000000"/>
                <w:sz w:val="18"/>
                <w:szCs w:val="18"/>
                <w:lang w:val="sl-SI" w:eastAsia="en-US" w:bidi="hi-IN"/>
              </w:rPr>
              <w:t xml:space="preserve"> 1 (R)</w:t>
            </w:r>
            <w:r w:rsidRPr="00275FBD">
              <w:rPr>
                <w:rFonts w:asciiTheme="minorHAnsi" w:hAnsiTheme="minorHAnsi"/>
                <w:color w:val="000000"/>
                <w:sz w:val="18"/>
                <w:szCs w:val="18"/>
                <w:lang w:val="sl-SI" w:eastAsia="en-US" w:bidi="hi-IN"/>
              </w:rPr>
              <w:t xml:space="preserve"> - </w:t>
            </w:r>
            <w:proofErr w:type="spellStart"/>
            <w:r w:rsidRPr="00275FBD">
              <w:rPr>
                <w:rFonts w:asciiTheme="minorHAnsi" w:hAnsiTheme="minorHAnsi"/>
                <w:color w:val="000000"/>
                <w:sz w:val="18"/>
                <w:szCs w:val="18"/>
                <w:lang w:val="sl-SI" w:eastAsia="en-US" w:bidi="hi-IN"/>
              </w:rPr>
              <w:t>Incomprehensive</w:t>
            </w:r>
            <w:proofErr w:type="spellEnd"/>
            <w:r w:rsidRPr="00275FBD">
              <w:rPr>
                <w:rFonts w:asciiTheme="minorHAnsi" w:hAnsiTheme="minorHAnsi"/>
                <w:color w:val="000000"/>
                <w:sz w:val="18"/>
                <w:szCs w:val="18"/>
                <w:lang w:val="sl-SI" w:eastAsia="en-US" w:bidi="hi-IN"/>
              </w:rPr>
              <w:t xml:space="preserve"> </w:t>
            </w:r>
            <w:proofErr w:type="spellStart"/>
            <w:r w:rsidRPr="00275FBD">
              <w:rPr>
                <w:rFonts w:asciiTheme="minorHAnsi" w:hAnsiTheme="minorHAnsi"/>
                <w:color w:val="000000"/>
                <w:sz w:val="18"/>
                <w:szCs w:val="18"/>
                <w:lang w:val="sl-SI" w:eastAsia="en-US" w:bidi="hi-IN"/>
              </w:rPr>
              <w:t>ageing</w:t>
            </w:r>
            <w:proofErr w:type="spellEnd"/>
            <w:r w:rsidRPr="00275FBD">
              <w:rPr>
                <w:rFonts w:asciiTheme="minorHAnsi" w:hAnsiTheme="minorHAnsi"/>
                <w:color w:val="000000"/>
                <w:sz w:val="18"/>
                <w:szCs w:val="18"/>
                <w:lang w:val="sl-SI" w:eastAsia="en-US" w:bidi="hi-IN"/>
              </w:rPr>
              <w:t xml:space="preserve"> management of </w:t>
            </w:r>
            <w:proofErr w:type="spellStart"/>
            <w:r w:rsidRPr="00275FBD">
              <w:rPr>
                <w:rFonts w:asciiTheme="minorHAnsi" w:hAnsiTheme="minorHAnsi"/>
                <w:color w:val="000000"/>
                <w:sz w:val="18"/>
                <w:szCs w:val="18"/>
                <w:lang w:val="sl-SI" w:eastAsia="en-US" w:bidi="hi-IN"/>
              </w:rPr>
              <w:t>spent</w:t>
            </w:r>
            <w:proofErr w:type="spellEnd"/>
            <w:r w:rsidRPr="00275FBD">
              <w:rPr>
                <w:rFonts w:asciiTheme="minorHAnsi" w:hAnsiTheme="minorHAnsi"/>
                <w:color w:val="000000"/>
                <w:sz w:val="18"/>
                <w:szCs w:val="18"/>
                <w:lang w:val="sl-SI" w:eastAsia="en-US" w:bidi="hi-IN"/>
              </w:rPr>
              <w:t xml:space="preserve"> </w:t>
            </w:r>
            <w:proofErr w:type="spellStart"/>
            <w:r w:rsidRPr="00275FBD">
              <w:rPr>
                <w:rFonts w:asciiTheme="minorHAnsi" w:hAnsiTheme="minorHAnsi"/>
                <w:color w:val="000000"/>
                <w:sz w:val="18"/>
                <w:szCs w:val="18"/>
                <w:lang w:val="sl-SI" w:eastAsia="en-US" w:bidi="hi-IN"/>
              </w:rPr>
              <w:t>fuel</w:t>
            </w:r>
            <w:proofErr w:type="spellEnd"/>
            <w:r w:rsidRPr="00275FBD">
              <w:rPr>
                <w:rFonts w:asciiTheme="minorHAnsi" w:hAnsiTheme="minorHAnsi"/>
                <w:color w:val="000000"/>
                <w:sz w:val="18"/>
                <w:szCs w:val="18"/>
                <w:lang w:val="sl-SI" w:eastAsia="en-US" w:bidi="hi-IN"/>
              </w:rPr>
              <w:t xml:space="preserve"> pit</w:t>
            </w:r>
          </w:p>
        </w:tc>
        <w:tc>
          <w:tcPr>
            <w:tcW w:w="2403" w:type="dxa"/>
          </w:tcPr>
          <w:p w14:paraId="2818A0C3" w14:textId="1B974E86"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 xml:space="preserve">According to </w:t>
            </w:r>
            <w:proofErr w:type="spellStart"/>
            <w:r w:rsidRPr="00275FBD">
              <w:rPr>
                <w:rFonts w:asciiTheme="minorHAnsi" w:hAnsiTheme="minorHAnsi"/>
                <w:bCs/>
                <w:sz w:val="18"/>
                <w:szCs w:val="18"/>
                <w:lang w:val="sl-SI" w:eastAsia="en-GB"/>
              </w:rPr>
              <w:t>Pre</w:t>
            </w:r>
            <w:proofErr w:type="spellEnd"/>
            <w:r w:rsidRPr="00275FBD">
              <w:rPr>
                <w:rFonts w:asciiTheme="minorHAnsi" w:hAnsiTheme="minorHAnsi"/>
                <w:bCs/>
                <w:sz w:val="18"/>
                <w:szCs w:val="18"/>
                <w:lang w:val="sl-SI" w:eastAsia="en-GB"/>
              </w:rPr>
              <w:t xml:space="preserve">-SALTO </w:t>
            </w:r>
            <w:proofErr w:type="spellStart"/>
            <w:r w:rsidRPr="00275FBD">
              <w:rPr>
                <w:rFonts w:asciiTheme="minorHAnsi" w:hAnsiTheme="minorHAnsi"/>
                <w:bCs/>
                <w:sz w:val="18"/>
                <w:szCs w:val="18"/>
                <w:lang w:val="sl-SI" w:eastAsia="en-GB"/>
              </w:rPr>
              <w:t>action</w:t>
            </w:r>
            <w:proofErr w:type="spellEnd"/>
            <w:r w:rsidRPr="00275FBD">
              <w:rPr>
                <w:rFonts w:asciiTheme="minorHAnsi" w:hAnsiTheme="minorHAnsi"/>
                <w:bCs/>
                <w:sz w:val="18"/>
                <w:szCs w:val="18"/>
                <w:lang w:val="sl-SI" w:eastAsia="en-GB"/>
              </w:rPr>
              <w:t xml:space="preserve"> plan </w:t>
            </w:r>
            <w:r w:rsidRPr="00275FBD">
              <w:rPr>
                <w:rFonts w:asciiTheme="minorHAnsi" w:hAnsiTheme="minorHAnsi"/>
                <w:bCs/>
                <w:sz w:val="18"/>
                <w:szCs w:val="18"/>
                <w:lang w:val="sl-SI" w:eastAsia="en-GB"/>
              </w:rPr>
              <w:fldChar w:fldCharType="begin"/>
            </w:r>
            <w:r w:rsidRPr="00275FBD">
              <w:rPr>
                <w:rFonts w:asciiTheme="minorHAnsi" w:hAnsiTheme="minorHAnsi"/>
                <w:bCs/>
                <w:sz w:val="18"/>
                <w:szCs w:val="18"/>
                <w:lang w:val="sl-SI" w:eastAsia="en-GB"/>
              </w:rPr>
              <w:instrText xml:space="preserve"> REF _Ref128405391 \r \h  \* MERGEFORMAT </w:instrText>
            </w:r>
            <w:r w:rsidRPr="00275FBD">
              <w:rPr>
                <w:rFonts w:asciiTheme="minorHAnsi" w:hAnsiTheme="minorHAnsi"/>
                <w:bCs/>
                <w:sz w:val="18"/>
                <w:szCs w:val="18"/>
                <w:lang w:val="sl-SI" w:eastAsia="en-GB"/>
              </w:rPr>
            </w:r>
            <w:r w:rsidRPr="00275FBD">
              <w:rPr>
                <w:rFonts w:asciiTheme="minorHAnsi" w:hAnsiTheme="minorHAnsi"/>
                <w:bCs/>
                <w:sz w:val="18"/>
                <w:szCs w:val="18"/>
                <w:lang w:val="sl-SI" w:eastAsia="en-GB"/>
              </w:rPr>
              <w:fldChar w:fldCharType="separate"/>
            </w:r>
            <w:r w:rsidR="00BA25CD">
              <w:rPr>
                <w:rFonts w:asciiTheme="minorHAnsi" w:hAnsiTheme="minorHAnsi"/>
                <w:bCs/>
                <w:sz w:val="18"/>
                <w:szCs w:val="18"/>
                <w:lang w:val="sl-SI" w:eastAsia="en-GB"/>
              </w:rPr>
              <w:t>[31]</w:t>
            </w:r>
            <w:r w:rsidRPr="00275FBD">
              <w:rPr>
                <w:rFonts w:asciiTheme="minorHAnsi" w:hAnsiTheme="minorHAnsi"/>
                <w:bCs/>
                <w:sz w:val="18"/>
                <w:szCs w:val="18"/>
                <w:lang w:val="sl-SI" w:eastAsia="en-GB"/>
              </w:rPr>
              <w:fldChar w:fldCharType="end"/>
            </w:r>
            <w:r w:rsidRPr="00275FBD">
              <w:rPr>
                <w:rFonts w:asciiTheme="minorHAnsi" w:hAnsiTheme="minorHAnsi"/>
                <w:bCs/>
                <w:sz w:val="18"/>
                <w:szCs w:val="18"/>
                <w:lang w:val="sl-SI" w:eastAsia="en-GB"/>
              </w:rPr>
              <w:t>.</w:t>
            </w:r>
          </w:p>
        </w:tc>
      </w:tr>
      <w:tr w:rsidR="00935B67" w:rsidRPr="00275FBD" w14:paraId="7C832930" w14:textId="77777777" w:rsidTr="00935B67">
        <w:trPr>
          <w:trHeight w:val="559"/>
        </w:trPr>
        <w:tc>
          <w:tcPr>
            <w:tcW w:w="1418" w:type="dxa"/>
            <w:shd w:val="clear" w:color="auto" w:fill="auto"/>
            <w:noWrap/>
          </w:tcPr>
          <w:p w14:paraId="40439DE3"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lastRenderedPageBreak/>
              <w:t>PSR3 SAL-E-2</w:t>
            </w:r>
          </w:p>
        </w:tc>
        <w:tc>
          <w:tcPr>
            <w:tcW w:w="855" w:type="dxa"/>
            <w:shd w:val="clear" w:color="auto" w:fill="auto"/>
          </w:tcPr>
          <w:p w14:paraId="7D0CD22C"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M</w:t>
            </w:r>
          </w:p>
        </w:tc>
        <w:tc>
          <w:tcPr>
            <w:tcW w:w="993" w:type="dxa"/>
          </w:tcPr>
          <w:p w14:paraId="6FE7D17A"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US" w:bidi="hi-IN"/>
              </w:rPr>
              <w:t>3</w:t>
            </w:r>
          </w:p>
        </w:tc>
        <w:tc>
          <w:tcPr>
            <w:tcW w:w="8730" w:type="dxa"/>
            <w:shd w:val="clear" w:color="auto" w:fill="auto"/>
          </w:tcPr>
          <w:p w14:paraId="2B5C19F3" w14:textId="77777777" w:rsidR="00935B67" w:rsidRPr="00275FBD" w:rsidRDefault="00935B67" w:rsidP="00935B67">
            <w:pPr>
              <w:jc w:val="left"/>
              <w:rPr>
                <w:rFonts w:asciiTheme="minorHAnsi" w:hAnsiTheme="minorHAnsi"/>
                <w:color w:val="000000"/>
                <w:sz w:val="18"/>
                <w:szCs w:val="18"/>
                <w:lang w:val="sl-SI" w:eastAsia="en-GB"/>
              </w:rPr>
            </w:pPr>
            <w:proofErr w:type="spellStart"/>
            <w:r w:rsidRPr="00275FBD">
              <w:rPr>
                <w:rFonts w:asciiTheme="minorHAnsi" w:hAnsiTheme="minorHAnsi"/>
                <w:b/>
                <w:bCs/>
                <w:color w:val="000000"/>
                <w:sz w:val="18"/>
                <w:szCs w:val="18"/>
                <w:lang w:val="sl-SI" w:eastAsia="en-US" w:bidi="hi-IN"/>
              </w:rPr>
              <w:t>Pre</w:t>
            </w:r>
            <w:proofErr w:type="spellEnd"/>
            <w:r w:rsidRPr="00275FBD">
              <w:rPr>
                <w:rFonts w:asciiTheme="minorHAnsi" w:hAnsiTheme="minorHAnsi"/>
                <w:b/>
                <w:bCs/>
                <w:color w:val="000000"/>
                <w:sz w:val="18"/>
                <w:szCs w:val="18"/>
                <w:lang w:val="sl-SI" w:eastAsia="en-US" w:bidi="hi-IN"/>
              </w:rPr>
              <w:t xml:space="preserve">-SALTO </w:t>
            </w:r>
            <w:proofErr w:type="spellStart"/>
            <w:r w:rsidRPr="00275FBD">
              <w:rPr>
                <w:rFonts w:asciiTheme="minorHAnsi" w:hAnsiTheme="minorHAnsi"/>
                <w:b/>
                <w:bCs/>
                <w:color w:val="000000"/>
                <w:sz w:val="18"/>
                <w:szCs w:val="18"/>
                <w:lang w:val="sl-SI" w:eastAsia="en-US" w:bidi="hi-IN"/>
              </w:rPr>
              <w:t>Issue</w:t>
            </w:r>
            <w:proofErr w:type="spellEnd"/>
            <w:r w:rsidRPr="00275FBD">
              <w:rPr>
                <w:rFonts w:asciiTheme="minorHAnsi" w:hAnsiTheme="minorHAnsi"/>
                <w:b/>
                <w:bCs/>
                <w:color w:val="000000"/>
                <w:sz w:val="18"/>
                <w:szCs w:val="18"/>
                <w:lang w:val="sl-SI" w:eastAsia="en-US" w:bidi="hi-IN"/>
              </w:rPr>
              <w:t xml:space="preserve"> 2 (S)</w:t>
            </w:r>
            <w:r w:rsidRPr="00275FBD">
              <w:rPr>
                <w:rFonts w:asciiTheme="minorHAnsi" w:hAnsiTheme="minorHAnsi"/>
                <w:color w:val="000000"/>
                <w:sz w:val="18"/>
                <w:szCs w:val="18"/>
                <w:lang w:val="sl-SI" w:eastAsia="en-US" w:bidi="hi-IN"/>
              </w:rPr>
              <w:t xml:space="preserve"> - Not </w:t>
            </w:r>
            <w:proofErr w:type="spellStart"/>
            <w:r w:rsidRPr="00275FBD">
              <w:rPr>
                <w:rFonts w:asciiTheme="minorHAnsi" w:hAnsiTheme="minorHAnsi"/>
                <w:color w:val="000000"/>
                <w:sz w:val="18"/>
                <w:szCs w:val="18"/>
                <w:lang w:val="sl-SI" w:eastAsia="en-US" w:bidi="hi-IN"/>
              </w:rPr>
              <w:t>fully</w:t>
            </w:r>
            <w:proofErr w:type="spellEnd"/>
            <w:r w:rsidRPr="00275FBD">
              <w:rPr>
                <w:rFonts w:asciiTheme="minorHAnsi" w:hAnsiTheme="minorHAnsi"/>
                <w:color w:val="000000"/>
                <w:sz w:val="18"/>
                <w:szCs w:val="18"/>
                <w:lang w:val="sl-SI" w:eastAsia="en-US" w:bidi="hi-IN"/>
              </w:rPr>
              <w:t xml:space="preserve"> </w:t>
            </w:r>
            <w:proofErr w:type="spellStart"/>
            <w:r w:rsidRPr="00275FBD">
              <w:rPr>
                <w:rFonts w:asciiTheme="minorHAnsi" w:hAnsiTheme="minorHAnsi"/>
                <w:color w:val="000000"/>
                <w:sz w:val="18"/>
                <w:szCs w:val="18"/>
                <w:lang w:val="sl-SI" w:eastAsia="en-US" w:bidi="hi-IN"/>
              </w:rPr>
              <w:t>updated</w:t>
            </w:r>
            <w:proofErr w:type="spellEnd"/>
            <w:r w:rsidRPr="00275FBD">
              <w:rPr>
                <w:rFonts w:asciiTheme="minorHAnsi" w:hAnsiTheme="minorHAnsi"/>
                <w:color w:val="000000"/>
                <w:sz w:val="18"/>
                <w:szCs w:val="18"/>
                <w:lang w:val="sl-SI" w:eastAsia="en-US" w:bidi="hi-IN"/>
              </w:rPr>
              <w:t xml:space="preserve"> </w:t>
            </w:r>
            <w:proofErr w:type="spellStart"/>
            <w:r w:rsidRPr="00275FBD">
              <w:rPr>
                <w:rFonts w:asciiTheme="minorHAnsi" w:hAnsiTheme="minorHAnsi"/>
                <w:color w:val="000000"/>
                <w:sz w:val="18"/>
                <w:szCs w:val="18"/>
                <w:lang w:val="sl-SI" w:eastAsia="en-US" w:bidi="hi-IN"/>
              </w:rPr>
              <w:t>plant</w:t>
            </w:r>
            <w:proofErr w:type="spellEnd"/>
            <w:r w:rsidRPr="00275FBD">
              <w:rPr>
                <w:rFonts w:asciiTheme="minorHAnsi" w:hAnsiTheme="minorHAnsi"/>
                <w:color w:val="000000"/>
                <w:sz w:val="18"/>
                <w:szCs w:val="18"/>
                <w:lang w:val="sl-SI" w:eastAsia="en-US" w:bidi="hi-IN"/>
              </w:rPr>
              <w:t xml:space="preserve"> </w:t>
            </w:r>
            <w:proofErr w:type="spellStart"/>
            <w:r w:rsidRPr="00275FBD">
              <w:rPr>
                <w:rFonts w:asciiTheme="minorHAnsi" w:hAnsiTheme="minorHAnsi"/>
                <w:color w:val="000000"/>
                <w:sz w:val="18"/>
                <w:szCs w:val="18"/>
                <w:lang w:val="sl-SI" w:eastAsia="en-US" w:bidi="hi-IN"/>
              </w:rPr>
              <w:t>procedures</w:t>
            </w:r>
            <w:proofErr w:type="spellEnd"/>
            <w:r w:rsidRPr="00275FBD">
              <w:rPr>
                <w:rFonts w:asciiTheme="minorHAnsi" w:hAnsiTheme="minorHAnsi"/>
                <w:color w:val="000000"/>
                <w:sz w:val="18"/>
                <w:szCs w:val="18"/>
                <w:lang w:val="sl-SI" w:eastAsia="en-US" w:bidi="hi-IN"/>
              </w:rPr>
              <w:t xml:space="preserve"> for </w:t>
            </w:r>
            <w:proofErr w:type="spellStart"/>
            <w:r w:rsidRPr="00275FBD">
              <w:rPr>
                <w:rFonts w:asciiTheme="minorHAnsi" w:hAnsiTheme="minorHAnsi"/>
                <w:color w:val="000000"/>
                <w:sz w:val="18"/>
                <w:szCs w:val="18"/>
                <w:lang w:val="sl-SI" w:eastAsia="en-US" w:bidi="hi-IN"/>
              </w:rPr>
              <w:t>ageing</w:t>
            </w:r>
            <w:proofErr w:type="spellEnd"/>
            <w:r w:rsidRPr="00275FBD">
              <w:rPr>
                <w:rFonts w:asciiTheme="minorHAnsi" w:hAnsiTheme="minorHAnsi"/>
                <w:color w:val="000000"/>
                <w:sz w:val="18"/>
                <w:szCs w:val="18"/>
                <w:lang w:val="sl-SI" w:eastAsia="en-US" w:bidi="hi-IN"/>
              </w:rPr>
              <w:t xml:space="preserve"> management of civil and </w:t>
            </w:r>
            <w:proofErr w:type="spellStart"/>
            <w:r w:rsidRPr="00275FBD">
              <w:rPr>
                <w:rFonts w:asciiTheme="minorHAnsi" w:hAnsiTheme="minorHAnsi"/>
                <w:color w:val="000000"/>
                <w:sz w:val="18"/>
                <w:szCs w:val="18"/>
                <w:lang w:val="sl-SI" w:eastAsia="en-US" w:bidi="hi-IN"/>
              </w:rPr>
              <w:t>mechanical</w:t>
            </w:r>
            <w:proofErr w:type="spellEnd"/>
            <w:r w:rsidRPr="00275FBD">
              <w:rPr>
                <w:rFonts w:asciiTheme="minorHAnsi" w:hAnsiTheme="minorHAnsi"/>
                <w:color w:val="000000"/>
                <w:sz w:val="18"/>
                <w:szCs w:val="18"/>
                <w:lang w:val="sl-SI" w:eastAsia="en-US" w:bidi="hi-IN"/>
              </w:rPr>
              <w:t xml:space="preserve"> </w:t>
            </w:r>
            <w:proofErr w:type="spellStart"/>
            <w:r w:rsidRPr="00275FBD">
              <w:rPr>
                <w:rFonts w:asciiTheme="minorHAnsi" w:hAnsiTheme="minorHAnsi"/>
                <w:color w:val="000000"/>
                <w:sz w:val="18"/>
                <w:szCs w:val="18"/>
                <w:lang w:val="sl-SI" w:eastAsia="en-US" w:bidi="hi-IN"/>
              </w:rPr>
              <w:t>SSCs</w:t>
            </w:r>
            <w:proofErr w:type="spellEnd"/>
          </w:p>
        </w:tc>
        <w:tc>
          <w:tcPr>
            <w:tcW w:w="2403" w:type="dxa"/>
          </w:tcPr>
          <w:p w14:paraId="075C5706" w14:textId="644CFEDC"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 xml:space="preserve">According to </w:t>
            </w:r>
            <w:proofErr w:type="spellStart"/>
            <w:r w:rsidRPr="00275FBD">
              <w:rPr>
                <w:rFonts w:asciiTheme="minorHAnsi" w:hAnsiTheme="minorHAnsi"/>
                <w:bCs/>
                <w:sz w:val="18"/>
                <w:szCs w:val="18"/>
                <w:lang w:val="sl-SI" w:eastAsia="en-GB"/>
              </w:rPr>
              <w:t>Pre</w:t>
            </w:r>
            <w:proofErr w:type="spellEnd"/>
            <w:r w:rsidRPr="00275FBD">
              <w:rPr>
                <w:rFonts w:asciiTheme="minorHAnsi" w:hAnsiTheme="minorHAnsi"/>
                <w:bCs/>
                <w:sz w:val="18"/>
                <w:szCs w:val="18"/>
                <w:lang w:val="sl-SI" w:eastAsia="en-GB"/>
              </w:rPr>
              <w:t xml:space="preserve">-SALTO </w:t>
            </w:r>
            <w:proofErr w:type="spellStart"/>
            <w:r w:rsidRPr="00275FBD">
              <w:rPr>
                <w:rFonts w:asciiTheme="minorHAnsi" w:hAnsiTheme="minorHAnsi"/>
                <w:bCs/>
                <w:sz w:val="18"/>
                <w:szCs w:val="18"/>
                <w:lang w:val="sl-SI" w:eastAsia="en-GB"/>
              </w:rPr>
              <w:t>action</w:t>
            </w:r>
            <w:proofErr w:type="spellEnd"/>
            <w:r w:rsidRPr="00275FBD">
              <w:rPr>
                <w:rFonts w:asciiTheme="minorHAnsi" w:hAnsiTheme="minorHAnsi"/>
                <w:bCs/>
                <w:sz w:val="18"/>
                <w:szCs w:val="18"/>
                <w:lang w:val="sl-SI" w:eastAsia="en-GB"/>
              </w:rPr>
              <w:t xml:space="preserve"> plan </w:t>
            </w:r>
            <w:r w:rsidRPr="00275FBD">
              <w:rPr>
                <w:rFonts w:asciiTheme="minorHAnsi" w:hAnsiTheme="minorHAnsi"/>
                <w:bCs/>
                <w:sz w:val="18"/>
                <w:szCs w:val="18"/>
                <w:lang w:val="sl-SI" w:eastAsia="en-GB"/>
              </w:rPr>
              <w:fldChar w:fldCharType="begin"/>
            </w:r>
            <w:r w:rsidRPr="00275FBD">
              <w:rPr>
                <w:rFonts w:asciiTheme="minorHAnsi" w:hAnsiTheme="minorHAnsi"/>
                <w:bCs/>
                <w:sz w:val="18"/>
                <w:szCs w:val="18"/>
                <w:lang w:val="sl-SI" w:eastAsia="en-GB"/>
              </w:rPr>
              <w:instrText xml:space="preserve"> REF _Ref128405391 \r \h  \* MERGEFORMAT </w:instrText>
            </w:r>
            <w:r w:rsidRPr="00275FBD">
              <w:rPr>
                <w:rFonts w:asciiTheme="minorHAnsi" w:hAnsiTheme="minorHAnsi"/>
                <w:bCs/>
                <w:sz w:val="18"/>
                <w:szCs w:val="18"/>
                <w:lang w:val="sl-SI" w:eastAsia="en-GB"/>
              </w:rPr>
            </w:r>
            <w:r w:rsidRPr="00275FBD">
              <w:rPr>
                <w:rFonts w:asciiTheme="minorHAnsi" w:hAnsiTheme="minorHAnsi"/>
                <w:bCs/>
                <w:sz w:val="18"/>
                <w:szCs w:val="18"/>
                <w:lang w:val="sl-SI" w:eastAsia="en-GB"/>
              </w:rPr>
              <w:fldChar w:fldCharType="separate"/>
            </w:r>
            <w:r w:rsidR="00BA25CD">
              <w:rPr>
                <w:rFonts w:asciiTheme="minorHAnsi" w:hAnsiTheme="minorHAnsi"/>
                <w:bCs/>
                <w:sz w:val="18"/>
                <w:szCs w:val="18"/>
                <w:lang w:val="sl-SI" w:eastAsia="en-GB"/>
              </w:rPr>
              <w:t>[31]</w:t>
            </w:r>
            <w:r w:rsidRPr="00275FBD">
              <w:rPr>
                <w:rFonts w:asciiTheme="minorHAnsi" w:hAnsiTheme="minorHAnsi"/>
                <w:bCs/>
                <w:sz w:val="18"/>
                <w:szCs w:val="18"/>
                <w:lang w:val="sl-SI" w:eastAsia="en-GB"/>
              </w:rPr>
              <w:fldChar w:fldCharType="end"/>
            </w:r>
            <w:r w:rsidRPr="00275FBD">
              <w:rPr>
                <w:rFonts w:asciiTheme="minorHAnsi" w:hAnsiTheme="minorHAnsi"/>
                <w:bCs/>
                <w:sz w:val="18"/>
                <w:szCs w:val="18"/>
                <w:lang w:val="sl-SI" w:eastAsia="en-GB"/>
              </w:rPr>
              <w:t>.</w:t>
            </w:r>
          </w:p>
        </w:tc>
      </w:tr>
      <w:tr w:rsidR="00935B67" w:rsidRPr="00275FBD" w14:paraId="21EDAC64" w14:textId="77777777" w:rsidTr="00935B67">
        <w:trPr>
          <w:trHeight w:val="559"/>
        </w:trPr>
        <w:tc>
          <w:tcPr>
            <w:tcW w:w="1418" w:type="dxa"/>
            <w:shd w:val="clear" w:color="auto" w:fill="auto"/>
            <w:noWrap/>
          </w:tcPr>
          <w:p w14:paraId="4ED0167D"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PSR3 SAL-F-1</w:t>
            </w:r>
          </w:p>
        </w:tc>
        <w:tc>
          <w:tcPr>
            <w:tcW w:w="855" w:type="dxa"/>
            <w:shd w:val="clear" w:color="auto" w:fill="auto"/>
          </w:tcPr>
          <w:p w14:paraId="1FFBA396"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M</w:t>
            </w:r>
          </w:p>
        </w:tc>
        <w:tc>
          <w:tcPr>
            <w:tcW w:w="993" w:type="dxa"/>
          </w:tcPr>
          <w:p w14:paraId="13BF73BB"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US" w:bidi="hi-IN"/>
              </w:rPr>
              <w:t>3</w:t>
            </w:r>
          </w:p>
        </w:tc>
        <w:tc>
          <w:tcPr>
            <w:tcW w:w="8730" w:type="dxa"/>
            <w:shd w:val="clear" w:color="auto" w:fill="auto"/>
          </w:tcPr>
          <w:p w14:paraId="32C7964A" w14:textId="77777777" w:rsidR="00935B67" w:rsidRPr="00275FBD" w:rsidRDefault="00935B67" w:rsidP="00935B67">
            <w:pPr>
              <w:jc w:val="left"/>
              <w:rPr>
                <w:rFonts w:asciiTheme="minorHAnsi" w:hAnsiTheme="minorHAnsi"/>
                <w:color w:val="000000"/>
                <w:sz w:val="18"/>
                <w:szCs w:val="18"/>
                <w:lang w:val="sl-SI" w:eastAsia="en-GB"/>
              </w:rPr>
            </w:pPr>
            <w:proofErr w:type="spellStart"/>
            <w:r w:rsidRPr="00275FBD">
              <w:rPr>
                <w:rFonts w:asciiTheme="minorHAnsi" w:hAnsiTheme="minorHAnsi"/>
                <w:b/>
                <w:bCs/>
                <w:color w:val="000000"/>
                <w:sz w:val="18"/>
                <w:szCs w:val="18"/>
                <w:lang w:val="sl-SI" w:eastAsia="en-US" w:bidi="hi-IN"/>
              </w:rPr>
              <w:t>Pre</w:t>
            </w:r>
            <w:proofErr w:type="spellEnd"/>
            <w:r w:rsidRPr="00275FBD">
              <w:rPr>
                <w:rFonts w:asciiTheme="minorHAnsi" w:hAnsiTheme="minorHAnsi"/>
                <w:b/>
                <w:bCs/>
                <w:color w:val="000000"/>
                <w:sz w:val="18"/>
                <w:szCs w:val="18"/>
                <w:lang w:val="sl-SI" w:eastAsia="en-US" w:bidi="hi-IN"/>
              </w:rPr>
              <w:t xml:space="preserve">-SALTO </w:t>
            </w:r>
            <w:proofErr w:type="spellStart"/>
            <w:r w:rsidRPr="00275FBD">
              <w:rPr>
                <w:rFonts w:asciiTheme="minorHAnsi" w:hAnsiTheme="minorHAnsi"/>
                <w:b/>
                <w:bCs/>
                <w:color w:val="000000"/>
                <w:sz w:val="18"/>
                <w:szCs w:val="18"/>
                <w:lang w:val="sl-SI" w:eastAsia="en-US" w:bidi="hi-IN"/>
              </w:rPr>
              <w:t>Issue</w:t>
            </w:r>
            <w:proofErr w:type="spellEnd"/>
            <w:r w:rsidRPr="00275FBD">
              <w:rPr>
                <w:rFonts w:asciiTheme="minorHAnsi" w:hAnsiTheme="minorHAnsi"/>
                <w:b/>
                <w:bCs/>
                <w:color w:val="000000"/>
                <w:sz w:val="18"/>
                <w:szCs w:val="18"/>
                <w:lang w:val="sl-SI" w:eastAsia="en-US" w:bidi="hi-IN"/>
              </w:rPr>
              <w:t xml:space="preserve"> 1 (S)</w:t>
            </w:r>
            <w:r w:rsidRPr="00275FBD">
              <w:rPr>
                <w:rFonts w:asciiTheme="minorHAnsi" w:hAnsiTheme="minorHAnsi"/>
                <w:color w:val="000000"/>
                <w:sz w:val="18"/>
                <w:szCs w:val="18"/>
                <w:lang w:val="sl-SI" w:eastAsia="en-US" w:bidi="hi-IN"/>
              </w:rPr>
              <w:t xml:space="preserve"> - </w:t>
            </w:r>
            <w:proofErr w:type="spellStart"/>
            <w:r w:rsidRPr="00275FBD">
              <w:rPr>
                <w:rFonts w:asciiTheme="minorHAnsi" w:hAnsiTheme="minorHAnsi"/>
                <w:color w:val="000000"/>
                <w:sz w:val="18"/>
                <w:szCs w:val="18"/>
                <w:lang w:val="sl-SI" w:eastAsia="en-US" w:bidi="hi-IN"/>
              </w:rPr>
              <w:t>Incomplete</w:t>
            </w:r>
            <w:proofErr w:type="spellEnd"/>
            <w:r w:rsidRPr="00275FBD">
              <w:rPr>
                <w:rFonts w:asciiTheme="minorHAnsi" w:hAnsiTheme="minorHAnsi"/>
                <w:color w:val="000000"/>
                <w:sz w:val="18"/>
                <w:szCs w:val="18"/>
                <w:lang w:val="sl-SI" w:eastAsia="en-US" w:bidi="hi-IN"/>
              </w:rPr>
              <w:t xml:space="preserve"> human </w:t>
            </w:r>
            <w:proofErr w:type="spellStart"/>
            <w:r w:rsidRPr="00275FBD">
              <w:rPr>
                <w:rFonts w:asciiTheme="minorHAnsi" w:hAnsiTheme="minorHAnsi"/>
                <w:color w:val="000000"/>
                <w:sz w:val="18"/>
                <w:szCs w:val="18"/>
                <w:lang w:val="sl-SI" w:eastAsia="en-US" w:bidi="hi-IN"/>
              </w:rPr>
              <w:t>resources</w:t>
            </w:r>
            <w:proofErr w:type="spellEnd"/>
            <w:r w:rsidRPr="00275FBD">
              <w:rPr>
                <w:rFonts w:asciiTheme="minorHAnsi" w:hAnsiTheme="minorHAnsi"/>
                <w:color w:val="000000"/>
                <w:sz w:val="18"/>
                <w:szCs w:val="18"/>
                <w:lang w:val="sl-SI" w:eastAsia="en-US" w:bidi="hi-IN"/>
              </w:rPr>
              <w:t xml:space="preserve"> </w:t>
            </w:r>
            <w:proofErr w:type="spellStart"/>
            <w:r w:rsidRPr="00275FBD">
              <w:rPr>
                <w:rFonts w:asciiTheme="minorHAnsi" w:hAnsiTheme="minorHAnsi"/>
                <w:color w:val="000000"/>
                <w:sz w:val="18"/>
                <w:szCs w:val="18"/>
                <w:lang w:val="sl-SI" w:eastAsia="en-US" w:bidi="hi-IN"/>
              </w:rPr>
              <w:t>policy</w:t>
            </w:r>
            <w:proofErr w:type="spellEnd"/>
            <w:r w:rsidRPr="00275FBD">
              <w:rPr>
                <w:rFonts w:asciiTheme="minorHAnsi" w:hAnsiTheme="minorHAnsi"/>
                <w:color w:val="000000"/>
                <w:sz w:val="18"/>
                <w:szCs w:val="18"/>
                <w:lang w:val="sl-SI" w:eastAsia="en-US" w:bidi="hi-IN"/>
              </w:rPr>
              <w:t xml:space="preserve"> and </w:t>
            </w:r>
            <w:proofErr w:type="spellStart"/>
            <w:r w:rsidRPr="00275FBD">
              <w:rPr>
                <w:rFonts w:asciiTheme="minorHAnsi" w:hAnsiTheme="minorHAnsi"/>
                <w:color w:val="000000"/>
                <w:sz w:val="18"/>
                <w:szCs w:val="18"/>
                <w:lang w:val="sl-SI" w:eastAsia="en-US" w:bidi="hi-IN"/>
              </w:rPr>
              <w:t>strategy</w:t>
            </w:r>
            <w:proofErr w:type="spellEnd"/>
            <w:r w:rsidRPr="00275FBD">
              <w:rPr>
                <w:rFonts w:asciiTheme="minorHAnsi" w:hAnsiTheme="minorHAnsi"/>
                <w:color w:val="000000"/>
                <w:sz w:val="18"/>
                <w:szCs w:val="18"/>
                <w:lang w:val="sl-SI" w:eastAsia="en-US" w:bidi="hi-IN"/>
              </w:rPr>
              <w:t xml:space="preserve"> to </w:t>
            </w:r>
            <w:proofErr w:type="spellStart"/>
            <w:r w:rsidRPr="00275FBD">
              <w:rPr>
                <w:rFonts w:asciiTheme="minorHAnsi" w:hAnsiTheme="minorHAnsi"/>
                <w:color w:val="000000"/>
                <w:sz w:val="18"/>
                <w:szCs w:val="18"/>
                <w:lang w:val="sl-SI" w:eastAsia="en-US" w:bidi="hi-IN"/>
              </w:rPr>
              <w:t>support</w:t>
            </w:r>
            <w:proofErr w:type="spellEnd"/>
            <w:r w:rsidRPr="00275FBD">
              <w:rPr>
                <w:rFonts w:asciiTheme="minorHAnsi" w:hAnsiTheme="minorHAnsi"/>
                <w:color w:val="000000"/>
                <w:sz w:val="18"/>
                <w:szCs w:val="18"/>
                <w:lang w:val="sl-SI" w:eastAsia="en-US" w:bidi="hi-IN"/>
              </w:rPr>
              <w:t xml:space="preserve"> LTO</w:t>
            </w:r>
          </w:p>
        </w:tc>
        <w:tc>
          <w:tcPr>
            <w:tcW w:w="2403" w:type="dxa"/>
          </w:tcPr>
          <w:p w14:paraId="2DDD680E" w14:textId="61D87518"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 xml:space="preserve">According to </w:t>
            </w:r>
            <w:proofErr w:type="spellStart"/>
            <w:r w:rsidRPr="00275FBD">
              <w:rPr>
                <w:rFonts w:asciiTheme="minorHAnsi" w:hAnsiTheme="minorHAnsi"/>
                <w:bCs/>
                <w:sz w:val="18"/>
                <w:szCs w:val="18"/>
                <w:lang w:val="sl-SI" w:eastAsia="en-GB"/>
              </w:rPr>
              <w:t>Pre</w:t>
            </w:r>
            <w:proofErr w:type="spellEnd"/>
            <w:r w:rsidRPr="00275FBD">
              <w:rPr>
                <w:rFonts w:asciiTheme="minorHAnsi" w:hAnsiTheme="minorHAnsi"/>
                <w:bCs/>
                <w:sz w:val="18"/>
                <w:szCs w:val="18"/>
                <w:lang w:val="sl-SI" w:eastAsia="en-GB"/>
              </w:rPr>
              <w:t xml:space="preserve">-SALTO </w:t>
            </w:r>
            <w:proofErr w:type="spellStart"/>
            <w:r w:rsidRPr="00275FBD">
              <w:rPr>
                <w:rFonts w:asciiTheme="minorHAnsi" w:hAnsiTheme="minorHAnsi"/>
                <w:bCs/>
                <w:sz w:val="18"/>
                <w:szCs w:val="18"/>
                <w:lang w:val="sl-SI" w:eastAsia="en-GB"/>
              </w:rPr>
              <w:t>action</w:t>
            </w:r>
            <w:proofErr w:type="spellEnd"/>
            <w:r w:rsidRPr="00275FBD">
              <w:rPr>
                <w:rFonts w:asciiTheme="minorHAnsi" w:hAnsiTheme="minorHAnsi"/>
                <w:bCs/>
                <w:sz w:val="18"/>
                <w:szCs w:val="18"/>
                <w:lang w:val="sl-SI" w:eastAsia="en-GB"/>
              </w:rPr>
              <w:t xml:space="preserve"> plan </w:t>
            </w:r>
            <w:r w:rsidRPr="00275FBD">
              <w:rPr>
                <w:rFonts w:asciiTheme="minorHAnsi" w:hAnsiTheme="minorHAnsi"/>
                <w:bCs/>
                <w:sz w:val="18"/>
                <w:szCs w:val="18"/>
                <w:lang w:val="sl-SI" w:eastAsia="en-GB"/>
              </w:rPr>
              <w:fldChar w:fldCharType="begin"/>
            </w:r>
            <w:r w:rsidRPr="00275FBD">
              <w:rPr>
                <w:rFonts w:asciiTheme="minorHAnsi" w:hAnsiTheme="minorHAnsi"/>
                <w:bCs/>
                <w:sz w:val="18"/>
                <w:szCs w:val="18"/>
                <w:lang w:val="sl-SI" w:eastAsia="en-GB"/>
              </w:rPr>
              <w:instrText xml:space="preserve"> REF _Ref128405391 \r \h  \* MERGEFORMAT </w:instrText>
            </w:r>
            <w:r w:rsidRPr="00275FBD">
              <w:rPr>
                <w:rFonts w:asciiTheme="minorHAnsi" w:hAnsiTheme="minorHAnsi"/>
                <w:bCs/>
                <w:sz w:val="18"/>
                <w:szCs w:val="18"/>
                <w:lang w:val="sl-SI" w:eastAsia="en-GB"/>
              </w:rPr>
            </w:r>
            <w:r w:rsidRPr="00275FBD">
              <w:rPr>
                <w:rFonts w:asciiTheme="minorHAnsi" w:hAnsiTheme="minorHAnsi"/>
                <w:bCs/>
                <w:sz w:val="18"/>
                <w:szCs w:val="18"/>
                <w:lang w:val="sl-SI" w:eastAsia="en-GB"/>
              </w:rPr>
              <w:fldChar w:fldCharType="separate"/>
            </w:r>
            <w:r w:rsidR="00BA25CD">
              <w:rPr>
                <w:rFonts w:asciiTheme="minorHAnsi" w:hAnsiTheme="minorHAnsi"/>
                <w:bCs/>
                <w:sz w:val="18"/>
                <w:szCs w:val="18"/>
                <w:lang w:val="sl-SI" w:eastAsia="en-GB"/>
              </w:rPr>
              <w:t>[31]</w:t>
            </w:r>
            <w:r w:rsidRPr="00275FBD">
              <w:rPr>
                <w:rFonts w:asciiTheme="minorHAnsi" w:hAnsiTheme="minorHAnsi"/>
                <w:bCs/>
                <w:sz w:val="18"/>
                <w:szCs w:val="18"/>
                <w:lang w:val="sl-SI" w:eastAsia="en-GB"/>
              </w:rPr>
              <w:fldChar w:fldCharType="end"/>
            </w:r>
            <w:r w:rsidRPr="00275FBD">
              <w:rPr>
                <w:rFonts w:asciiTheme="minorHAnsi" w:hAnsiTheme="minorHAnsi"/>
                <w:bCs/>
                <w:sz w:val="18"/>
                <w:szCs w:val="18"/>
                <w:lang w:val="sl-SI" w:eastAsia="en-GB"/>
              </w:rPr>
              <w:t>.</w:t>
            </w:r>
          </w:p>
        </w:tc>
      </w:tr>
      <w:tr w:rsidR="00935B67" w:rsidRPr="00275FBD" w14:paraId="5AC4B3CC" w14:textId="77777777" w:rsidTr="00935B67">
        <w:trPr>
          <w:trHeight w:val="559"/>
        </w:trPr>
        <w:tc>
          <w:tcPr>
            <w:tcW w:w="1418" w:type="dxa"/>
            <w:shd w:val="clear" w:color="auto" w:fill="auto"/>
            <w:noWrap/>
          </w:tcPr>
          <w:p w14:paraId="35FB40DC"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PSR3 SAL-F-2</w:t>
            </w:r>
          </w:p>
        </w:tc>
        <w:tc>
          <w:tcPr>
            <w:tcW w:w="855" w:type="dxa"/>
            <w:shd w:val="clear" w:color="auto" w:fill="auto"/>
          </w:tcPr>
          <w:p w14:paraId="02F40B2C"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M</w:t>
            </w:r>
          </w:p>
        </w:tc>
        <w:tc>
          <w:tcPr>
            <w:tcW w:w="993" w:type="dxa"/>
          </w:tcPr>
          <w:p w14:paraId="675D42E4"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US" w:bidi="hi-IN"/>
              </w:rPr>
              <w:t>3</w:t>
            </w:r>
          </w:p>
        </w:tc>
        <w:tc>
          <w:tcPr>
            <w:tcW w:w="8730" w:type="dxa"/>
            <w:shd w:val="clear" w:color="auto" w:fill="auto"/>
          </w:tcPr>
          <w:p w14:paraId="7FDC0F9A" w14:textId="77777777" w:rsidR="00935B67" w:rsidRPr="00275FBD" w:rsidRDefault="00935B67" w:rsidP="00935B67">
            <w:pPr>
              <w:jc w:val="left"/>
              <w:rPr>
                <w:rFonts w:asciiTheme="minorHAnsi" w:hAnsiTheme="minorHAnsi"/>
                <w:color w:val="000000"/>
                <w:sz w:val="18"/>
                <w:szCs w:val="18"/>
                <w:lang w:val="sl-SI" w:eastAsia="en-GB"/>
              </w:rPr>
            </w:pPr>
            <w:proofErr w:type="spellStart"/>
            <w:r w:rsidRPr="00275FBD">
              <w:rPr>
                <w:rFonts w:asciiTheme="minorHAnsi" w:hAnsiTheme="minorHAnsi"/>
                <w:b/>
                <w:bCs/>
                <w:color w:val="000000"/>
                <w:sz w:val="18"/>
                <w:szCs w:val="18"/>
                <w:lang w:val="sl-SI" w:eastAsia="en-US" w:bidi="hi-IN"/>
              </w:rPr>
              <w:t>Pre</w:t>
            </w:r>
            <w:proofErr w:type="spellEnd"/>
            <w:r w:rsidRPr="00275FBD">
              <w:rPr>
                <w:rFonts w:asciiTheme="minorHAnsi" w:hAnsiTheme="minorHAnsi"/>
                <w:b/>
                <w:bCs/>
                <w:color w:val="000000"/>
                <w:sz w:val="18"/>
                <w:szCs w:val="18"/>
                <w:lang w:val="sl-SI" w:eastAsia="en-US" w:bidi="hi-IN"/>
              </w:rPr>
              <w:t xml:space="preserve">-SALTO </w:t>
            </w:r>
            <w:proofErr w:type="spellStart"/>
            <w:r w:rsidRPr="00275FBD">
              <w:rPr>
                <w:rFonts w:asciiTheme="minorHAnsi" w:hAnsiTheme="minorHAnsi"/>
                <w:b/>
                <w:bCs/>
                <w:color w:val="000000"/>
                <w:sz w:val="18"/>
                <w:szCs w:val="18"/>
                <w:lang w:val="sl-SI" w:eastAsia="en-US" w:bidi="hi-IN"/>
              </w:rPr>
              <w:t>Issue</w:t>
            </w:r>
            <w:proofErr w:type="spellEnd"/>
            <w:r w:rsidRPr="00275FBD">
              <w:rPr>
                <w:rFonts w:asciiTheme="minorHAnsi" w:hAnsiTheme="minorHAnsi"/>
                <w:b/>
                <w:bCs/>
                <w:color w:val="000000"/>
                <w:sz w:val="18"/>
                <w:szCs w:val="18"/>
                <w:lang w:val="sl-SI" w:eastAsia="en-US" w:bidi="hi-IN"/>
              </w:rPr>
              <w:t xml:space="preserve"> 2 (S)</w:t>
            </w:r>
            <w:r w:rsidRPr="00275FBD">
              <w:rPr>
                <w:rFonts w:asciiTheme="minorHAnsi" w:hAnsiTheme="minorHAnsi"/>
                <w:color w:val="000000"/>
                <w:sz w:val="18"/>
                <w:szCs w:val="18"/>
                <w:lang w:val="sl-SI" w:eastAsia="en-US" w:bidi="hi-IN"/>
              </w:rPr>
              <w:t xml:space="preserve"> - </w:t>
            </w:r>
            <w:proofErr w:type="spellStart"/>
            <w:r w:rsidRPr="00275FBD">
              <w:rPr>
                <w:rFonts w:asciiTheme="minorHAnsi" w:hAnsiTheme="minorHAnsi"/>
                <w:color w:val="000000"/>
                <w:sz w:val="18"/>
                <w:szCs w:val="18"/>
                <w:lang w:val="sl-SI" w:eastAsia="en-US" w:bidi="hi-IN"/>
              </w:rPr>
              <w:t>Incomplete</w:t>
            </w:r>
            <w:proofErr w:type="spellEnd"/>
            <w:r w:rsidRPr="00275FBD">
              <w:rPr>
                <w:rFonts w:asciiTheme="minorHAnsi" w:hAnsiTheme="minorHAnsi"/>
                <w:color w:val="000000"/>
                <w:sz w:val="18"/>
                <w:szCs w:val="18"/>
                <w:lang w:val="sl-SI" w:eastAsia="en-US" w:bidi="hi-IN"/>
              </w:rPr>
              <w:t xml:space="preserve"> </w:t>
            </w:r>
            <w:proofErr w:type="spellStart"/>
            <w:r w:rsidRPr="00275FBD">
              <w:rPr>
                <w:rFonts w:asciiTheme="minorHAnsi" w:hAnsiTheme="minorHAnsi"/>
                <w:color w:val="000000"/>
                <w:sz w:val="18"/>
                <w:szCs w:val="18"/>
                <w:lang w:val="sl-SI" w:eastAsia="en-US" w:bidi="hi-IN"/>
              </w:rPr>
              <w:t>competence</w:t>
            </w:r>
            <w:proofErr w:type="spellEnd"/>
            <w:r w:rsidRPr="00275FBD">
              <w:rPr>
                <w:rFonts w:asciiTheme="minorHAnsi" w:hAnsiTheme="minorHAnsi"/>
                <w:color w:val="000000"/>
                <w:sz w:val="18"/>
                <w:szCs w:val="18"/>
                <w:lang w:val="sl-SI" w:eastAsia="en-US" w:bidi="hi-IN"/>
              </w:rPr>
              <w:t xml:space="preserve"> management </w:t>
            </w:r>
            <w:proofErr w:type="spellStart"/>
            <w:r w:rsidRPr="00275FBD">
              <w:rPr>
                <w:rFonts w:asciiTheme="minorHAnsi" w:hAnsiTheme="minorHAnsi"/>
                <w:color w:val="000000"/>
                <w:sz w:val="18"/>
                <w:szCs w:val="18"/>
                <w:lang w:val="sl-SI" w:eastAsia="en-US" w:bidi="hi-IN"/>
              </w:rPr>
              <w:t>process</w:t>
            </w:r>
            <w:proofErr w:type="spellEnd"/>
            <w:r w:rsidRPr="00275FBD">
              <w:rPr>
                <w:rFonts w:asciiTheme="minorHAnsi" w:hAnsiTheme="minorHAnsi"/>
                <w:color w:val="000000"/>
                <w:sz w:val="18"/>
                <w:szCs w:val="18"/>
                <w:lang w:val="sl-SI" w:eastAsia="en-US" w:bidi="hi-IN"/>
              </w:rPr>
              <w:t xml:space="preserve"> for LTO</w:t>
            </w:r>
          </w:p>
        </w:tc>
        <w:tc>
          <w:tcPr>
            <w:tcW w:w="2403" w:type="dxa"/>
          </w:tcPr>
          <w:p w14:paraId="384F7192" w14:textId="51675810"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 xml:space="preserve">According to </w:t>
            </w:r>
            <w:proofErr w:type="spellStart"/>
            <w:r w:rsidRPr="00275FBD">
              <w:rPr>
                <w:rFonts w:asciiTheme="minorHAnsi" w:hAnsiTheme="minorHAnsi"/>
                <w:bCs/>
                <w:sz w:val="18"/>
                <w:szCs w:val="18"/>
                <w:lang w:val="sl-SI" w:eastAsia="en-GB"/>
              </w:rPr>
              <w:t>Pre</w:t>
            </w:r>
            <w:proofErr w:type="spellEnd"/>
            <w:r w:rsidRPr="00275FBD">
              <w:rPr>
                <w:rFonts w:asciiTheme="minorHAnsi" w:hAnsiTheme="minorHAnsi"/>
                <w:bCs/>
                <w:sz w:val="18"/>
                <w:szCs w:val="18"/>
                <w:lang w:val="sl-SI" w:eastAsia="en-GB"/>
              </w:rPr>
              <w:t xml:space="preserve">-SALTO </w:t>
            </w:r>
            <w:proofErr w:type="spellStart"/>
            <w:r w:rsidRPr="00275FBD">
              <w:rPr>
                <w:rFonts w:asciiTheme="minorHAnsi" w:hAnsiTheme="minorHAnsi"/>
                <w:bCs/>
                <w:sz w:val="18"/>
                <w:szCs w:val="18"/>
                <w:lang w:val="sl-SI" w:eastAsia="en-GB"/>
              </w:rPr>
              <w:t>action</w:t>
            </w:r>
            <w:proofErr w:type="spellEnd"/>
            <w:r w:rsidRPr="00275FBD">
              <w:rPr>
                <w:rFonts w:asciiTheme="minorHAnsi" w:hAnsiTheme="minorHAnsi"/>
                <w:bCs/>
                <w:sz w:val="18"/>
                <w:szCs w:val="18"/>
                <w:lang w:val="sl-SI" w:eastAsia="en-GB"/>
              </w:rPr>
              <w:t xml:space="preserve"> plan </w:t>
            </w:r>
            <w:r w:rsidRPr="00275FBD">
              <w:rPr>
                <w:rFonts w:asciiTheme="minorHAnsi" w:hAnsiTheme="minorHAnsi"/>
                <w:bCs/>
                <w:sz w:val="18"/>
                <w:szCs w:val="18"/>
                <w:lang w:val="sl-SI" w:eastAsia="en-GB"/>
              </w:rPr>
              <w:fldChar w:fldCharType="begin"/>
            </w:r>
            <w:r w:rsidRPr="00275FBD">
              <w:rPr>
                <w:rFonts w:asciiTheme="minorHAnsi" w:hAnsiTheme="minorHAnsi"/>
                <w:bCs/>
                <w:sz w:val="18"/>
                <w:szCs w:val="18"/>
                <w:lang w:val="sl-SI" w:eastAsia="en-GB"/>
              </w:rPr>
              <w:instrText xml:space="preserve"> REF _Ref128405391 \r \h  \* MERGEFORMAT </w:instrText>
            </w:r>
            <w:r w:rsidRPr="00275FBD">
              <w:rPr>
                <w:rFonts w:asciiTheme="minorHAnsi" w:hAnsiTheme="minorHAnsi"/>
                <w:bCs/>
                <w:sz w:val="18"/>
                <w:szCs w:val="18"/>
                <w:lang w:val="sl-SI" w:eastAsia="en-GB"/>
              </w:rPr>
            </w:r>
            <w:r w:rsidRPr="00275FBD">
              <w:rPr>
                <w:rFonts w:asciiTheme="minorHAnsi" w:hAnsiTheme="minorHAnsi"/>
                <w:bCs/>
                <w:sz w:val="18"/>
                <w:szCs w:val="18"/>
                <w:lang w:val="sl-SI" w:eastAsia="en-GB"/>
              </w:rPr>
              <w:fldChar w:fldCharType="separate"/>
            </w:r>
            <w:r w:rsidR="00BA25CD">
              <w:rPr>
                <w:rFonts w:asciiTheme="minorHAnsi" w:hAnsiTheme="minorHAnsi"/>
                <w:bCs/>
                <w:sz w:val="18"/>
                <w:szCs w:val="18"/>
                <w:lang w:val="sl-SI" w:eastAsia="en-GB"/>
              </w:rPr>
              <w:t>[31]</w:t>
            </w:r>
            <w:r w:rsidRPr="00275FBD">
              <w:rPr>
                <w:rFonts w:asciiTheme="minorHAnsi" w:hAnsiTheme="minorHAnsi"/>
                <w:bCs/>
                <w:sz w:val="18"/>
                <w:szCs w:val="18"/>
                <w:lang w:val="sl-SI" w:eastAsia="en-GB"/>
              </w:rPr>
              <w:fldChar w:fldCharType="end"/>
            </w:r>
            <w:r w:rsidRPr="00275FBD">
              <w:rPr>
                <w:rFonts w:asciiTheme="minorHAnsi" w:hAnsiTheme="minorHAnsi"/>
                <w:bCs/>
                <w:sz w:val="18"/>
                <w:szCs w:val="18"/>
                <w:lang w:val="sl-SI" w:eastAsia="en-GB"/>
              </w:rPr>
              <w:t>.</w:t>
            </w:r>
          </w:p>
        </w:tc>
      </w:tr>
      <w:tr w:rsidR="00935B67" w:rsidRPr="00275FBD" w14:paraId="359D33D3" w14:textId="77777777" w:rsidTr="00935B67">
        <w:trPr>
          <w:trHeight w:val="559"/>
        </w:trPr>
        <w:tc>
          <w:tcPr>
            <w:tcW w:w="1418" w:type="dxa"/>
            <w:shd w:val="clear" w:color="auto" w:fill="auto"/>
            <w:noWrap/>
          </w:tcPr>
          <w:p w14:paraId="47327712"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PSR3 SAL-F-3</w:t>
            </w:r>
          </w:p>
        </w:tc>
        <w:tc>
          <w:tcPr>
            <w:tcW w:w="855" w:type="dxa"/>
            <w:shd w:val="clear" w:color="auto" w:fill="auto"/>
          </w:tcPr>
          <w:p w14:paraId="760EBED5"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US" w:bidi="hi-IN"/>
              </w:rPr>
              <w:t>M</w:t>
            </w:r>
          </w:p>
        </w:tc>
        <w:tc>
          <w:tcPr>
            <w:tcW w:w="993" w:type="dxa"/>
          </w:tcPr>
          <w:p w14:paraId="2EBBF4A8"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US" w:bidi="hi-IN"/>
              </w:rPr>
              <w:t>3</w:t>
            </w:r>
          </w:p>
        </w:tc>
        <w:tc>
          <w:tcPr>
            <w:tcW w:w="8730" w:type="dxa"/>
            <w:shd w:val="clear" w:color="auto" w:fill="auto"/>
          </w:tcPr>
          <w:p w14:paraId="7BA58D7F" w14:textId="77777777" w:rsidR="00935B67" w:rsidRPr="00275FBD" w:rsidRDefault="00935B67" w:rsidP="00935B67">
            <w:pPr>
              <w:jc w:val="left"/>
              <w:rPr>
                <w:rFonts w:asciiTheme="minorHAnsi" w:hAnsiTheme="minorHAnsi"/>
                <w:color w:val="000000"/>
                <w:sz w:val="18"/>
                <w:szCs w:val="18"/>
                <w:lang w:val="sl-SI" w:eastAsia="en-GB"/>
              </w:rPr>
            </w:pPr>
            <w:proofErr w:type="spellStart"/>
            <w:r w:rsidRPr="00275FBD">
              <w:rPr>
                <w:rFonts w:asciiTheme="minorHAnsi" w:hAnsiTheme="minorHAnsi"/>
                <w:b/>
                <w:bCs/>
                <w:color w:val="000000"/>
                <w:sz w:val="18"/>
                <w:szCs w:val="18"/>
                <w:lang w:val="sl-SI" w:eastAsia="en-US" w:bidi="hi-IN"/>
              </w:rPr>
              <w:t>Pre</w:t>
            </w:r>
            <w:proofErr w:type="spellEnd"/>
            <w:r w:rsidRPr="00275FBD">
              <w:rPr>
                <w:rFonts w:asciiTheme="minorHAnsi" w:hAnsiTheme="minorHAnsi"/>
                <w:b/>
                <w:bCs/>
                <w:color w:val="000000"/>
                <w:sz w:val="18"/>
                <w:szCs w:val="18"/>
                <w:lang w:val="sl-SI" w:eastAsia="en-US" w:bidi="hi-IN"/>
              </w:rPr>
              <w:t xml:space="preserve">-SALTO </w:t>
            </w:r>
            <w:proofErr w:type="spellStart"/>
            <w:r w:rsidRPr="00275FBD">
              <w:rPr>
                <w:rFonts w:asciiTheme="minorHAnsi" w:hAnsiTheme="minorHAnsi"/>
                <w:b/>
                <w:bCs/>
                <w:color w:val="000000"/>
                <w:sz w:val="18"/>
                <w:szCs w:val="18"/>
                <w:lang w:val="sl-SI" w:eastAsia="en-US" w:bidi="hi-IN"/>
              </w:rPr>
              <w:t>Issue</w:t>
            </w:r>
            <w:proofErr w:type="spellEnd"/>
            <w:r w:rsidRPr="00275FBD">
              <w:rPr>
                <w:rFonts w:asciiTheme="minorHAnsi" w:hAnsiTheme="minorHAnsi"/>
                <w:b/>
                <w:bCs/>
                <w:color w:val="000000"/>
                <w:sz w:val="18"/>
                <w:szCs w:val="18"/>
                <w:lang w:val="sl-SI" w:eastAsia="en-US" w:bidi="hi-IN"/>
              </w:rPr>
              <w:t xml:space="preserve"> 3 (R)</w:t>
            </w:r>
            <w:r w:rsidRPr="00275FBD">
              <w:rPr>
                <w:rFonts w:asciiTheme="minorHAnsi" w:hAnsiTheme="minorHAnsi"/>
                <w:color w:val="000000"/>
                <w:sz w:val="18"/>
                <w:szCs w:val="18"/>
                <w:lang w:val="sl-SI" w:eastAsia="en-US" w:bidi="hi-IN"/>
              </w:rPr>
              <w:t xml:space="preserve"> - Not </w:t>
            </w:r>
            <w:proofErr w:type="spellStart"/>
            <w:r w:rsidRPr="00275FBD">
              <w:rPr>
                <w:rFonts w:asciiTheme="minorHAnsi" w:hAnsiTheme="minorHAnsi"/>
                <w:color w:val="000000"/>
                <w:sz w:val="18"/>
                <w:szCs w:val="18"/>
                <w:lang w:val="sl-SI" w:eastAsia="en-US" w:bidi="hi-IN"/>
              </w:rPr>
              <w:t>fully</w:t>
            </w:r>
            <w:proofErr w:type="spellEnd"/>
            <w:r w:rsidRPr="00275FBD">
              <w:rPr>
                <w:rFonts w:asciiTheme="minorHAnsi" w:hAnsiTheme="minorHAnsi"/>
                <w:color w:val="000000"/>
                <w:sz w:val="18"/>
                <w:szCs w:val="18"/>
                <w:lang w:val="sl-SI" w:eastAsia="en-US" w:bidi="hi-IN"/>
              </w:rPr>
              <w:t xml:space="preserve"> </w:t>
            </w:r>
            <w:proofErr w:type="spellStart"/>
            <w:r w:rsidRPr="00275FBD">
              <w:rPr>
                <w:rFonts w:asciiTheme="minorHAnsi" w:hAnsiTheme="minorHAnsi"/>
                <w:color w:val="000000"/>
                <w:sz w:val="18"/>
                <w:szCs w:val="18"/>
                <w:lang w:val="sl-SI" w:eastAsia="en-US" w:bidi="hi-IN"/>
              </w:rPr>
              <w:t>effective</w:t>
            </w:r>
            <w:proofErr w:type="spellEnd"/>
            <w:r w:rsidRPr="00275FBD">
              <w:rPr>
                <w:rFonts w:asciiTheme="minorHAnsi" w:hAnsiTheme="minorHAnsi"/>
                <w:color w:val="000000"/>
                <w:sz w:val="18"/>
                <w:szCs w:val="18"/>
                <w:lang w:val="sl-SI" w:eastAsia="en-US" w:bidi="hi-IN"/>
              </w:rPr>
              <w:t xml:space="preserve"> </w:t>
            </w:r>
            <w:proofErr w:type="spellStart"/>
            <w:r w:rsidRPr="00275FBD">
              <w:rPr>
                <w:rFonts w:asciiTheme="minorHAnsi" w:hAnsiTheme="minorHAnsi"/>
                <w:color w:val="000000"/>
                <w:sz w:val="18"/>
                <w:szCs w:val="18"/>
                <w:lang w:val="sl-SI" w:eastAsia="en-US" w:bidi="hi-IN"/>
              </w:rPr>
              <w:t>knowledge</w:t>
            </w:r>
            <w:proofErr w:type="spellEnd"/>
            <w:r w:rsidRPr="00275FBD">
              <w:rPr>
                <w:rFonts w:asciiTheme="minorHAnsi" w:hAnsiTheme="minorHAnsi"/>
                <w:color w:val="000000"/>
                <w:sz w:val="18"/>
                <w:szCs w:val="18"/>
                <w:lang w:val="sl-SI" w:eastAsia="en-US" w:bidi="hi-IN"/>
              </w:rPr>
              <w:t xml:space="preserve"> management to </w:t>
            </w:r>
            <w:proofErr w:type="spellStart"/>
            <w:r w:rsidRPr="00275FBD">
              <w:rPr>
                <w:rFonts w:asciiTheme="minorHAnsi" w:hAnsiTheme="minorHAnsi"/>
                <w:color w:val="000000"/>
                <w:sz w:val="18"/>
                <w:szCs w:val="18"/>
                <w:lang w:val="sl-SI" w:eastAsia="en-US" w:bidi="hi-IN"/>
              </w:rPr>
              <w:t>support</w:t>
            </w:r>
            <w:proofErr w:type="spellEnd"/>
            <w:r w:rsidRPr="00275FBD">
              <w:rPr>
                <w:rFonts w:asciiTheme="minorHAnsi" w:hAnsiTheme="minorHAnsi"/>
                <w:color w:val="000000"/>
                <w:sz w:val="18"/>
                <w:szCs w:val="18"/>
                <w:lang w:val="sl-SI" w:eastAsia="en-US" w:bidi="hi-IN"/>
              </w:rPr>
              <w:t xml:space="preserve"> LTO</w:t>
            </w:r>
          </w:p>
        </w:tc>
        <w:tc>
          <w:tcPr>
            <w:tcW w:w="2403" w:type="dxa"/>
          </w:tcPr>
          <w:p w14:paraId="19323162" w14:textId="12F77E64"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 xml:space="preserve">According to </w:t>
            </w:r>
            <w:proofErr w:type="spellStart"/>
            <w:r w:rsidRPr="00275FBD">
              <w:rPr>
                <w:rFonts w:asciiTheme="minorHAnsi" w:hAnsiTheme="minorHAnsi"/>
                <w:bCs/>
                <w:sz w:val="18"/>
                <w:szCs w:val="18"/>
                <w:lang w:val="sl-SI" w:eastAsia="en-GB"/>
              </w:rPr>
              <w:t>Pre</w:t>
            </w:r>
            <w:proofErr w:type="spellEnd"/>
            <w:r w:rsidRPr="00275FBD">
              <w:rPr>
                <w:rFonts w:asciiTheme="minorHAnsi" w:hAnsiTheme="minorHAnsi"/>
                <w:bCs/>
                <w:sz w:val="18"/>
                <w:szCs w:val="18"/>
                <w:lang w:val="sl-SI" w:eastAsia="en-GB"/>
              </w:rPr>
              <w:t xml:space="preserve">-SALTO </w:t>
            </w:r>
            <w:proofErr w:type="spellStart"/>
            <w:r w:rsidRPr="00275FBD">
              <w:rPr>
                <w:rFonts w:asciiTheme="minorHAnsi" w:hAnsiTheme="minorHAnsi"/>
                <w:bCs/>
                <w:sz w:val="18"/>
                <w:szCs w:val="18"/>
                <w:lang w:val="sl-SI" w:eastAsia="en-GB"/>
              </w:rPr>
              <w:t>action</w:t>
            </w:r>
            <w:proofErr w:type="spellEnd"/>
            <w:r w:rsidRPr="00275FBD">
              <w:rPr>
                <w:rFonts w:asciiTheme="minorHAnsi" w:hAnsiTheme="minorHAnsi"/>
                <w:bCs/>
                <w:sz w:val="18"/>
                <w:szCs w:val="18"/>
                <w:lang w:val="sl-SI" w:eastAsia="en-GB"/>
              </w:rPr>
              <w:t xml:space="preserve"> plan </w:t>
            </w:r>
            <w:r w:rsidRPr="00275FBD">
              <w:rPr>
                <w:rFonts w:asciiTheme="minorHAnsi" w:hAnsiTheme="minorHAnsi"/>
                <w:bCs/>
                <w:sz w:val="18"/>
                <w:szCs w:val="18"/>
                <w:lang w:val="sl-SI" w:eastAsia="en-GB"/>
              </w:rPr>
              <w:fldChar w:fldCharType="begin"/>
            </w:r>
            <w:r w:rsidRPr="00275FBD">
              <w:rPr>
                <w:rFonts w:asciiTheme="minorHAnsi" w:hAnsiTheme="minorHAnsi"/>
                <w:bCs/>
                <w:sz w:val="18"/>
                <w:szCs w:val="18"/>
                <w:lang w:val="sl-SI" w:eastAsia="en-GB"/>
              </w:rPr>
              <w:instrText xml:space="preserve"> REF _Ref128405391 \r \h  \* MERGEFORMAT </w:instrText>
            </w:r>
            <w:r w:rsidRPr="00275FBD">
              <w:rPr>
                <w:rFonts w:asciiTheme="minorHAnsi" w:hAnsiTheme="minorHAnsi"/>
                <w:bCs/>
                <w:sz w:val="18"/>
                <w:szCs w:val="18"/>
                <w:lang w:val="sl-SI" w:eastAsia="en-GB"/>
              </w:rPr>
            </w:r>
            <w:r w:rsidRPr="00275FBD">
              <w:rPr>
                <w:rFonts w:asciiTheme="minorHAnsi" w:hAnsiTheme="minorHAnsi"/>
                <w:bCs/>
                <w:sz w:val="18"/>
                <w:szCs w:val="18"/>
                <w:lang w:val="sl-SI" w:eastAsia="en-GB"/>
              </w:rPr>
              <w:fldChar w:fldCharType="separate"/>
            </w:r>
            <w:r w:rsidR="00BA25CD">
              <w:rPr>
                <w:rFonts w:asciiTheme="minorHAnsi" w:hAnsiTheme="minorHAnsi"/>
                <w:bCs/>
                <w:sz w:val="18"/>
                <w:szCs w:val="18"/>
                <w:lang w:val="sl-SI" w:eastAsia="en-GB"/>
              </w:rPr>
              <w:t>[31]</w:t>
            </w:r>
            <w:r w:rsidRPr="00275FBD">
              <w:rPr>
                <w:rFonts w:asciiTheme="minorHAnsi" w:hAnsiTheme="minorHAnsi"/>
                <w:bCs/>
                <w:sz w:val="18"/>
                <w:szCs w:val="18"/>
                <w:lang w:val="sl-SI" w:eastAsia="en-GB"/>
              </w:rPr>
              <w:fldChar w:fldCharType="end"/>
            </w:r>
            <w:r w:rsidRPr="00275FBD">
              <w:rPr>
                <w:rFonts w:asciiTheme="minorHAnsi" w:hAnsiTheme="minorHAnsi"/>
                <w:bCs/>
                <w:sz w:val="18"/>
                <w:szCs w:val="18"/>
                <w:lang w:val="sl-SI" w:eastAsia="en-GB"/>
              </w:rPr>
              <w:t>.</w:t>
            </w:r>
          </w:p>
        </w:tc>
      </w:tr>
      <w:tr w:rsidR="00935B67" w:rsidRPr="00275FBD" w14:paraId="2F5BE892" w14:textId="77777777" w:rsidTr="00935B67">
        <w:trPr>
          <w:trHeight w:val="559"/>
        </w:trPr>
        <w:tc>
          <w:tcPr>
            <w:tcW w:w="1418" w:type="dxa"/>
            <w:shd w:val="clear" w:color="auto" w:fill="auto"/>
            <w:noWrap/>
            <w:vAlign w:val="center"/>
          </w:tcPr>
          <w:p w14:paraId="6AD9FA78" w14:textId="77777777" w:rsidR="00935B67" w:rsidRPr="00275FBD" w:rsidRDefault="00935B67" w:rsidP="00935B67">
            <w:pPr>
              <w:jc w:val="center"/>
              <w:rPr>
                <w:rFonts w:asciiTheme="minorHAnsi" w:hAnsiTheme="minorHAnsi"/>
                <w:color w:val="000000" w:themeColor="text1"/>
                <w:sz w:val="18"/>
                <w:szCs w:val="18"/>
                <w:lang w:val="sl-SI" w:eastAsia="en-US" w:bidi="hi-IN"/>
              </w:rPr>
            </w:pPr>
            <w:r w:rsidRPr="00275FBD">
              <w:rPr>
                <w:rFonts w:asciiTheme="minorHAnsi" w:hAnsiTheme="minorHAnsi"/>
                <w:color w:val="000000" w:themeColor="text1"/>
                <w:sz w:val="18"/>
                <w:szCs w:val="18"/>
                <w:lang w:val="sl-SI"/>
              </w:rPr>
              <w:t>PSR3 2.3-004</w:t>
            </w:r>
          </w:p>
        </w:tc>
        <w:tc>
          <w:tcPr>
            <w:tcW w:w="855" w:type="dxa"/>
            <w:shd w:val="clear" w:color="auto" w:fill="auto"/>
            <w:vAlign w:val="center"/>
          </w:tcPr>
          <w:p w14:paraId="476ABF1C" w14:textId="77777777" w:rsidR="00935B67" w:rsidRPr="00275FBD" w:rsidRDefault="00935B67" w:rsidP="00935B67">
            <w:pPr>
              <w:jc w:val="center"/>
              <w:rPr>
                <w:rFonts w:asciiTheme="minorHAnsi" w:hAnsiTheme="minorHAnsi"/>
                <w:color w:val="000000" w:themeColor="text1"/>
                <w:sz w:val="18"/>
                <w:szCs w:val="18"/>
                <w:lang w:val="sl-SI" w:eastAsia="en-US" w:bidi="hi-IN"/>
              </w:rPr>
            </w:pPr>
            <w:r w:rsidRPr="00275FBD">
              <w:rPr>
                <w:rFonts w:asciiTheme="minorHAnsi" w:hAnsiTheme="minorHAnsi"/>
                <w:color w:val="000000" w:themeColor="text1"/>
                <w:sz w:val="18"/>
                <w:szCs w:val="18"/>
                <w:lang w:val="sl-SI"/>
              </w:rPr>
              <w:t>M</w:t>
            </w:r>
          </w:p>
        </w:tc>
        <w:tc>
          <w:tcPr>
            <w:tcW w:w="993" w:type="dxa"/>
            <w:vAlign w:val="center"/>
          </w:tcPr>
          <w:p w14:paraId="65327634" w14:textId="77777777" w:rsidR="00935B67" w:rsidRPr="00275FBD" w:rsidRDefault="00935B67" w:rsidP="00935B67">
            <w:pPr>
              <w:jc w:val="center"/>
              <w:rPr>
                <w:rFonts w:asciiTheme="minorHAnsi" w:hAnsiTheme="minorHAnsi"/>
                <w:color w:val="000000" w:themeColor="text1"/>
                <w:sz w:val="18"/>
                <w:szCs w:val="18"/>
                <w:lang w:val="sl-SI" w:eastAsia="en-US" w:bidi="hi-IN"/>
              </w:rPr>
            </w:pPr>
            <w:r w:rsidRPr="00275FBD">
              <w:rPr>
                <w:rFonts w:asciiTheme="minorHAnsi" w:hAnsiTheme="minorHAnsi"/>
                <w:color w:val="000000" w:themeColor="text1"/>
                <w:sz w:val="18"/>
                <w:szCs w:val="18"/>
                <w:lang w:val="sl-SI"/>
              </w:rPr>
              <w:t>1,2,3</w:t>
            </w:r>
          </w:p>
        </w:tc>
        <w:tc>
          <w:tcPr>
            <w:tcW w:w="8730" w:type="dxa"/>
            <w:shd w:val="clear" w:color="auto" w:fill="auto"/>
            <w:vAlign w:val="center"/>
          </w:tcPr>
          <w:p w14:paraId="5BED8B58" w14:textId="77777777" w:rsidR="00935B67" w:rsidRPr="00275FBD" w:rsidRDefault="00935B67" w:rsidP="00935B67">
            <w:pPr>
              <w:jc w:val="left"/>
              <w:rPr>
                <w:rFonts w:asciiTheme="minorHAnsi" w:hAnsiTheme="minorHAnsi"/>
                <w:b/>
                <w:bCs/>
                <w:color w:val="000000" w:themeColor="text1"/>
                <w:sz w:val="18"/>
                <w:szCs w:val="18"/>
                <w:lang w:val="sl-SI" w:eastAsia="en-US" w:bidi="hi-IN"/>
              </w:rPr>
            </w:pPr>
            <w:r w:rsidRPr="00275FBD">
              <w:rPr>
                <w:rFonts w:asciiTheme="minorHAnsi" w:hAnsiTheme="minorHAnsi"/>
                <w:color w:val="000000" w:themeColor="text1"/>
                <w:sz w:val="18"/>
                <w:szCs w:val="18"/>
                <w:lang w:val="sl-SI"/>
              </w:rPr>
              <w:t>Update Probabilistic Seismic Hazard Analysis (PSHA)</w:t>
            </w:r>
          </w:p>
        </w:tc>
        <w:tc>
          <w:tcPr>
            <w:tcW w:w="2403" w:type="dxa"/>
          </w:tcPr>
          <w:p w14:paraId="4307A2BC" w14:textId="77777777" w:rsidR="00935B67" w:rsidRPr="00275FBD" w:rsidRDefault="00935B67" w:rsidP="00935B67">
            <w:pPr>
              <w:jc w:val="left"/>
              <w:rPr>
                <w:rFonts w:asciiTheme="minorHAnsi" w:hAnsiTheme="minorHAnsi"/>
                <w:bCs/>
                <w:sz w:val="18"/>
                <w:szCs w:val="18"/>
                <w:lang w:val="sl-SI" w:eastAsia="en-GB"/>
              </w:rPr>
            </w:pPr>
            <w:r w:rsidRPr="00275FBD">
              <w:rPr>
                <w:rFonts w:asciiTheme="minorHAnsi" w:hAnsiTheme="minorHAnsi"/>
                <w:bCs/>
                <w:sz w:val="18"/>
                <w:szCs w:val="18"/>
                <w:lang w:val="sl-SI" w:eastAsia="en-GB"/>
              </w:rPr>
              <w:t>Time implementation: II</w:t>
            </w:r>
          </w:p>
          <w:p w14:paraId="16FAD221" w14:textId="31EA8AB6" w:rsidR="00935B67" w:rsidRPr="00275FBD" w:rsidRDefault="00935B67" w:rsidP="00935B67">
            <w:pPr>
              <w:jc w:val="left"/>
              <w:rPr>
                <w:rFonts w:asciiTheme="minorHAnsi" w:hAnsiTheme="minorHAnsi"/>
                <w:bCs/>
                <w:sz w:val="18"/>
                <w:szCs w:val="18"/>
                <w:lang w:val="sl-SI" w:eastAsia="en-GB"/>
              </w:rPr>
            </w:pPr>
            <w:proofErr w:type="spellStart"/>
            <w:r w:rsidRPr="00275FBD">
              <w:rPr>
                <w:rFonts w:asciiTheme="minorHAnsi" w:hAnsiTheme="minorHAnsi"/>
                <w:bCs/>
                <w:sz w:val="18"/>
                <w:szCs w:val="18"/>
                <w:lang w:val="sl-SI" w:eastAsia="en-GB"/>
              </w:rPr>
              <w:t>Redirected</w:t>
            </w:r>
            <w:proofErr w:type="spellEnd"/>
            <w:r w:rsidRPr="00275FBD">
              <w:rPr>
                <w:rFonts w:asciiTheme="minorHAnsi" w:hAnsiTheme="minorHAnsi"/>
                <w:bCs/>
                <w:sz w:val="18"/>
                <w:szCs w:val="18"/>
                <w:lang w:val="sl-SI" w:eastAsia="en-GB"/>
              </w:rPr>
              <w:t xml:space="preserve"> to IRR from RE (SN 3.1.1) </w:t>
            </w:r>
            <w:proofErr w:type="spellStart"/>
            <w:r w:rsidRPr="00275FBD">
              <w:rPr>
                <w:rFonts w:asciiTheme="minorHAnsi" w:hAnsiTheme="minorHAnsi"/>
                <w:bCs/>
                <w:sz w:val="18"/>
                <w:szCs w:val="18"/>
                <w:lang w:val="sl-SI" w:eastAsia="en-GB"/>
              </w:rPr>
              <w:t>based</w:t>
            </w:r>
            <w:proofErr w:type="spellEnd"/>
            <w:r w:rsidRPr="00275FBD">
              <w:rPr>
                <w:rFonts w:asciiTheme="minorHAnsi" w:hAnsiTheme="minorHAnsi"/>
                <w:bCs/>
                <w:sz w:val="18"/>
                <w:szCs w:val="18"/>
                <w:lang w:val="sl-SI" w:eastAsia="en-GB"/>
              </w:rPr>
              <w:t xml:space="preserve"> on SNSA </w:t>
            </w:r>
            <w:proofErr w:type="spellStart"/>
            <w:r w:rsidRPr="00275FBD">
              <w:rPr>
                <w:rFonts w:asciiTheme="minorHAnsi" w:hAnsiTheme="minorHAnsi"/>
                <w:bCs/>
                <w:sz w:val="18"/>
                <w:szCs w:val="18"/>
                <w:lang w:val="sl-SI" w:eastAsia="en-GB"/>
              </w:rPr>
              <w:t>decree</w:t>
            </w:r>
            <w:proofErr w:type="spellEnd"/>
            <w:r w:rsidRPr="00275FBD">
              <w:rPr>
                <w:rFonts w:asciiTheme="minorHAnsi" w:hAnsiTheme="minorHAnsi"/>
                <w:bCs/>
                <w:sz w:val="18"/>
                <w:szCs w:val="18"/>
                <w:lang w:val="sl-SI" w:eastAsia="en-GB"/>
              </w:rPr>
              <w:t xml:space="preserve"> </w:t>
            </w:r>
            <w:r w:rsidR="00ED120F" w:rsidRPr="00275FBD">
              <w:rPr>
                <w:sz w:val="18"/>
                <w:szCs w:val="18"/>
                <w:lang w:val="sl-SI" w:eastAsia="en-GB"/>
              </w:rPr>
              <w:fldChar w:fldCharType="begin"/>
            </w:r>
            <w:r w:rsidR="00ED120F" w:rsidRPr="00275FBD">
              <w:rPr>
                <w:sz w:val="18"/>
                <w:szCs w:val="18"/>
                <w:lang w:val="sl-SI" w:eastAsia="en-GB"/>
              </w:rPr>
              <w:instrText xml:space="preserve"> REF _Ref135896735 \r \h  \* MERGEFORMAT </w:instrText>
            </w:r>
            <w:r w:rsidR="00ED120F" w:rsidRPr="00275FBD">
              <w:rPr>
                <w:sz w:val="18"/>
                <w:szCs w:val="18"/>
                <w:lang w:val="sl-SI" w:eastAsia="en-GB"/>
              </w:rPr>
            </w:r>
            <w:r w:rsidR="00ED120F" w:rsidRPr="00275FBD">
              <w:rPr>
                <w:sz w:val="18"/>
                <w:szCs w:val="18"/>
                <w:lang w:val="sl-SI" w:eastAsia="en-GB"/>
              </w:rPr>
              <w:fldChar w:fldCharType="separate"/>
            </w:r>
            <w:r w:rsidR="00BA25CD">
              <w:rPr>
                <w:sz w:val="18"/>
                <w:szCs w:val="18"/>
                <w:lang w:val="sl-SI" w:eastAsia="en-GB"/>
              </w:rPr>
              <w:t>[34]</w:t>
            </w:r>
            <w:r w:rsidR="00ED120F" w:rsidRPr="00275FBD">
              <w:rPr>
                <w:sz w:val="18"/>
                <w:szCs w:val="18"/>
                <w:lang w:val="sl-SI" w:eastAsia="en-GB"/>
              </w:rPr>
              <w:fldChar w:fldCharType="end"/>
            </w:r>
            <w:r w:rsidRPr="00275FBD">
              <w:rPr>
                <w:rFonts w:asciiTheme="minorHAnsi" w:hAnsiTheme="minorHAnsi"/>
                <w:bCs/>
                <w:sz w:val="18"/>
                <w:szCs w:val="18"/>
                <w:lang w:val="sl-SI" w:eastAsia="en-GB"/>
              </w:rPr>
              <w:t>.</w:t>
            </w:r>
          </w:p>
        </w:tc>
      </w:tr>
    </w:tbl>
    <w:p w14:paraId="73F605CC" w14:textId="77777777" w:rsidR="00935B67" w:rsidRPr="00275FBD" w:rsidRDefault="00935B67" w:rsidP="00935B67">
      <w:pPr>
        <w:rPr>
          <w:sz w:val="18"/>
          <w:szCs w:val="18"/>
          <w:lang w:val="sl-SI"/>
        </w:rPr>
      </w:pPr>
    </w:p>
    <w:p w14:paraId="40495E5E" w14:textId="77777777" w:rsidR="00935B67" w:rsidRPr="00275FBD" w:rsidRDefault="00935B67" w:rsidP="00935B67">
      <w:pPr>
        <w:rPr>
          <w:lang w:val="sl-SI"/>
        </w:rPr>
      </w:pPr>
    </w:p>
    <w:p w14:paraId="59B60E58" w14:textId="77777777" w:rsidR="00935B67" w:rsidRPr="00275FBD" w:rsidRDefault="00935B67" w:rsidP="00935B67">
      <w:pPr>
        <w:rPr>
          <w:lang w:val="sl-SI"/>
        </w:rPr>
        <w:sectPr w:rsidR="00935B67" w:rsidRPr="00275FBD" w:rsidSect="005F6909">
          <w:pgSz w:w="16838" w:h="11906" w:orient="landscape"/>
          <w:pgMar w:top="1418" w:right="1418" w:bottom="1418" w:left="1134" w:header="709" w:footer="709" w:gutter="0"/>
          <w:cols w:space="708"/>
          <w:docGrid w:linePitch="360"/>
        </w:sectPr>
      </w:pPr>
    </w:p>
    <w:p w14:paraId="1CBC68AC" w14:textId="77777777" w:rsidR="00935B67" w:rsidRPr="00275FBD" w:rsidRDefault="00935B67" w:rsidP="00935B67">
      <w:pPr>
        <w:rPr>
          <w:sz w:val="2"/>
          <w:szCs w:val="2"/>
          <w:lang w:val="sl-SI"/>
        </w:rPr>
      </w:pPr>
    </w:p>
    <w:p w14:paraId="37E43AAA" w14:textId="02FE108F" w:rsidR="00C75B55" w:rsidRPr="00275FBD" w:rsidRDefault="00C75B55" w:rsidP="00C75B55">
      <w:pPr>
        <w:pStyle w:val="Napis"/>
        <w:rPr>
          <w:lang w:val="sl-SI"/>
        </w:rPr>
      </w:pPr>
      <w:bookmarkStart w:id="185" w:name="_Ref138606525"/>
      <w:bookmarkStart w:id="186" w:name="_Toc163197447"/>
      <w:r w:rsidRPr="00275FBD">
        <w:rPr>
          <w:lang w:val="sl-SI"/>
        </w:rPr>
        <w:t>Tabela A-</w:t>
      </w:r>
      <w:r w:rsidRPr="00275FBD">
        <w:rPr>
          <w:lang w:val="sl-SI"/>
        </w:rPr>
        <w:fldChar w:fldCharType="begin"/>
      </w:r>
      <w:r w:rsidRPr="00275FBD">
        <w:rPr>
          <w:lang w:val="sl-SI"/>
        </w:rPr>
        <w:instrText xml:space="preserve"> SEQ Tabela_A- \* ARABIC </w:instrText>
      </w:r>
      <w:r w:rsidRPr="00275FBD">
        <w:rPr>
          <w:lang w:val="sl-SI"/>
        </w:rPr>
        <w:fldChar w:fldCharType="separate"/>
      </w:r>
      <w:r w:rsidR="00BA25CD">
        <w:rPr>
          <w:noProof/>
          <w:lang w:val="sl-SI"/>
        </w:rPr>
        <w:t>3</w:t>
      </w:r>
      <w:r w:rsidRPr="00275FBD">
        <w:rPr>
          <w:lang w:val="sl-SI"/>
        </w:rPr>
        <w:fldChar w:fldCharType="end"/>
      </w:r>
      <w:r w:rsidRPr="00275FBD">
        <w:rPr>
          <w:lang w:val="sl-SI"/>
        </w:rPr>
        <w:t xml:space="preserve">: Seznam </w:t>
      </w:r>
      <w:r w:rsidR="00BD5705" w:rsidRPr="00275FBD">
        <w:rPr>
          <w:lang w:val="sl-SI"/>
        </w:rPr>
        <w:t>najdb,</w:t>
      </w:r>
      <w:r w:rsidRPr="00275FBD">
        <w:rPr>
          <w:lang w:val="sl-SI"/>
        </w:rPr>
        <w:t xml:space="preserve"> ki </w:t>
      </w:r>
      <w:r w:rsidR="00A7693C">
        <w:rPr>
          <w:lang w:val="sl-SI"/>
        </w:rPr>
        <w:t>so izvedljive</w:t>
      </w:r>
      <w:r w:rsidRPr="00275FBD">
        <w:rPr>
          <w:lang w:val="sl-SI"/>
        </w:rPr>
        <w:t xml:space="preserve"> z </w:t>
      </w:r>
      <w:r w:rsidR="00477FBC" w:rsidRPr="00275FBD">
        <w:rPr>
          <w:lang w:val="sl-SI"/>
        </w:rPr>
        <w:t>ma</w:t>
      </w:r>
      <w:r w:rsidR="00477FBC">
        <w:rPr>
          <w:lang w:val="sl-SI"/>
        </w:rPr>
        <w:t>jhnim</w:t>
      </w:r>
      <w:r w:rsidR="00477FBC" w:rsidRPr="00275FBD">
        <w:rPr>
          <w:lang w:val="sl-SI"/>
        </w:rPr>
        <w:t xml:space="preserve"> </w:t>
      </w:r>
      <w:r w:rsidR="001500B9" w:rsidRPr="00275FBD">
        <w:rPr>
          <w:lang w:val="sl-SI"/>
        </w:rPr>
        <w:t>napor</w:t>
      </w:r>
      <w:r w:rsidR="00477FBC">
        <w:rPr>
          <w:lang w:val="sl-SI"/>
        </w:rPr>
        <w:t>om</w:t>
      </w:r>
      <w:r w:rsidR="001500B9" w:rsidRPr="00275FBD">
        <w:rPr>
          <w:lang w:val="sl-SI"/>
        </w:rPr>
        <w:t xml:space="preserve"> </w:t>
      </w:r>
      <w:r w:rsidRPr="00275FBD">
        <w:rPr>
          <w:lang w:val="sl-SI"/>
        </w:rPr>
        <w:t>- direkten vnos v CAP</w:t>
      </w:r>
      <w:bookmarkEnd w:id="185"/>
      <w:bookmarkEnd w:id="186"/>
    </w:p>
    <w:tbl>
      <w:tblPr>
        <w:tblW w:w="1403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5"/>
        <w:gridCol w:w="993"/>
        <w:gridCol w:w="8730"/>
        <w:gridCol w:w="2043"/>
      </w:tblGrid>
      <w:tr w:rsidR="00935B67" w:rsidRPr="00275FBD" w14:paraId="739F18A7" w14:textId="77777777" w:rsidTr="008D5B31">
        <w:trPr>
          <w:trHeight w:val="332"/>
          <w:tblHeader/>
        </w:trPr>
        <w:tc>
          <w:tcPr>
            <w:tcW w:w="1418" w:type="dxa"/>
            <w:vMerge w:val="restart"/>
            <w:shd w:val="clear" w:color="000000" w:fill="BFBFBF"/>
            <w:hideMark/>
          </w:tcPr>
          <w:p w14:paraId="72DF3D9C" w14:textId="77777777" w:rsidR="00935B67" w:rsidRPr="00275FBD" w:rsidRDefault="00935B67" w:rsidP="00935B67">
            <w:pPr>
              <w:jc w:val="center"/>
              <w:rPr>
                <w:rFonts w:asciiTheme="minorHAnsi" w:hAnsiTheme="minorHAnsi"/>
                <w:b/>
                <w:bCs/>
                <w:color w:val="000000"/>
                <w:sz w:val="18"/>
                <w:szCs w:val="18"/>
                <w:lang w:val="sl-SI" w:eastAsia="en-GB"/>
              </w:rPr>
            </w:pPr>
            <w:proofErr w:type="spellStart"/>
            <w:r w:rsidRPr="00275FBD">
              <w:rPr>
                <w:rFonts w:asciiTheme="minorHAnsi" w:hAnsiTheme="minorHAnsi"/>
                <w:b/>
                <w:bCs/>
                <w:color w:val="000000"/>
                <w:sz w:val="18"/>
                <w:szCs w:val="18"/>
                <w:lang w:val="sl-SI" w:eastAsia="en-GB"/>
              </w:rPr>
              <w:t>Issue</w:t>
            </w:r>
            <w:proofErr w:type="spellEnd"/>
            <w:r w:rsidRPr="00275FBD">
              <w:rPr>
                <w:rFonts w:asciiTheme="minorHAnsi" w:hAnsiTheme="minorHAnsi"/>
                <w:b/>
                <w:bCs/>
                <w:color w:val="000000"/>
                <w:sz w:val="18"/>
                <w:szCs w:val="18"/>
                <w:lang w:val="sl-SI" w:eastAsia="en-GB"/>
              </w:rPr>
              <w:t xml:space="preserve"> ID</w:t>
            </w:r>
          </w:p>
        </w:tc>
        <w:tc>
          <w:tcPr>
            <w:tcW w:w="1848" w:type="dxa"/>
            <w:gridSpan w:val="2"/>
            <w:shd w:val="clear" w:color="000000" w:fill="BFBFBF"/>
            <w:hideMark/>
          </w:tcPr>
          <w:p w14:paraId="794B73C5"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b/>
                <w:bCs/>
                <w:color w:val="000000"/>
                <w:sz w:val="18"/>
                <w:szCs w:val="18"/>
                <w:lang w:val="sl-SI" w:eastAsia="en-GB"/>
              </w:rPr>
              <w:t xml:space="preserve">Safety </w:t>
            </w:r>
            <w:proofErr w:type="spellStart"/>
            <w:r w:rsidRPr="00275FBD">
              <w:rPr>
                <w:rFonts w:asciiTheme="minorHAnsi" w:hAnsiTheme="minorHAnsi"/>
                <w:b/>
                <w:bCs/>
                <w:color w:val="000000"/>
                <w:sz w:val="18"/>
                <w:szCs w:val="18"/>
                <w:lang w:val="sl-SI" w:eastAsia="en-GB"/>
              </w:rPr>
              <w:t>Significance</w:t>
            </w:r>
            <w:proofErr w:type="spellEnd"/>
            <w:r w:rsidRPr="00275FBD">
              <w:rPr>
                <w:rFonts w:asciiTheme="minorHAnsi" w:hAnsiTheme="minorHAnsi"/>
                <w:b/>
                <w:bCs/>
                <w:color w:val="000000"/>
                <w:sz w:val="18"/>
                <w:szCs w:val="18"/>
                <w:lang w:val="sl-SI" w:eastAsia="en-GB"/>
              </w:rPr>
              <w:t xml:space="preserve"> </w:t>
            </w:r>
            <w:proofErr w:type="spellStart"/>
            <w:r w:rsidRPr="00275FBD">
              <w:rPr>
                <w:rFonts w:asciiTheme="minorHAnsi" w:hAnsiTheme="minorHAnsi"/>
                <w:b/>
                <w:bCs/>
                <w:color w:val="000000"/>
                <w:sz w:val="18"/>
                <w:szCs w:val="18"/>
                <w:lang w:val="sl-SI" w:eastAsia="en-GB"/>
              </w:rPr>
              <w:t>Final</w:t>
            </w:r>
            <w:proofErr w:type="spellEnd"/>
            <w:r w:rsidRPr="00275FBD">
              <w:rPr>
                <w:rFonts w:asciiTheme="minorHAnsi" w:hAnsiTheme="minorHAnsi"/>
                <w:b/>
                <w:bCs/>
                <w:color w:val="000000"/>
                <w:sz w:val="18"/>
                <w:szCs w:val="18"/>
                <w:lang w:val="sl-SI" w:eastAsia="en-GB"/>
              </w:rPr>
              <w:t xml:space="preserve"> </w:t>
            </w:r>
            <w:proofErr w:type="spellStart"/>
            <w:r w:rsidRPr="00275FBD">
              <w:rPr>
                <w:rFonts w:asciiTheme="minorHAnsi" w:hAnsiTheme="minorHAnsi"/>
                <w:b/>
                <w:bCs/>
                <w:color w:val="000000"/>
                <w:sz w:val="18"/>
                <w:szCs w:val="18"/>
                <w:lang w:val="sl-SI" w:eastAsia="en-GB"/>
              </w:rPr>
              <w:t>Broad</w:t>
            </w:r>
            <w:proofErr w:type="spellEnd"/>
            <w:r w:rsidRPr="00275FBD">
              <w:rPr>
                <w:rFonts w:asciiTheme="minorHAnsi" w:hAnsiTheme="minorHAnsi"/>
                <w:b/>
                <w:bCs/>
                <w:color w:val="000000"/>
                <w:sz w:val="18"/>
                <w:szCs w:val="18"/>
                <w:lang w:val="sl-SI" w:eastAsia="en-GB"/>
              </w:rPr>
              <w:t xml:space="preserve"> </w:t>
            </w:r>
            <w:proofErr w:type="spellStart"/>
            <w:r w:rsidRPr="00275FBD">
              <w:rPr>
                <w:rFonts w:asciiTheme="minorHAnsi" w:hAnsiTheme="minorHAnsi"/>
                <w:b/>
                <w:bCs/>
                <w:color w:val="000000"/>
                <w:sz w:val="18"/>
                <w:szCs w:val="18"/>
                <w:lang w:val="sl-SI" w:eastAsia="en-GB"/>
              </w:rPr>
              <w:t>Ranking</w:t>
            </w:r>
            <w:proofErr w:type="spellEnd"/>
          </w:p>
        </w:tc>
        <w:tc>
          <w:tcPr>
            <w:tcW w:w="8730" w:type="dxa"/>
            <w:vMerge w:val="restart"/>
            <w:shd w:val="clear" w:color="000000" w:fill="BFBFBF"/>
            <w:hideMark/>
          </w:tcPr>
          <w:p w14:paraId="5EA54520" w14:textId="77777777" w:rsidR="00935B67" w:rsidRPr="00275FBD" w:rsidRDefault="00935B67" w:rsidP="00935B67">
            <w:pPr>
              <w:jc w:val="center"/>
              <w:rPr>
                <w:rFonts w:asciiTheme="minorHAnsi" w:hAnsiTheme="minorHAnsi"/>
                <w:b/>
                <w:bCs/>
                <w:color w:val="000000"/>
                <w:sz w:val="18"/>
                <w:szCs w:val="18"/>
                <w:lang w:val="sl-SI" w:eastAsia="en-GB"/>
              </w:rPr>
            </w:pPr>
            <w:proofErr w:type="spellStart"/>
            <w:r w:rsidRPr="00275FBD">
              <w:rPr>
                <w:rFonts w:asciiTheme="minorHAnsi" w:hAnsiTheme="minorHAnsi"/>
                <w:b/>
                <w:bCs/>
                <w:color w:val="000000"/>
                <w:sz w:val="18"/>
                <w:szCs w:val="18"/>
                <w:lang w:val="sl-SI" w:eastAsia="en-GB"/>
              </w:rPr>
              <w:t>Corrective</w:t>
            </w:r>
            <w:proofErr w:type="spellEnd"/>
            <w:r w:rsidRPr="00275FBD">
              <w:rPr>
                <w:rFonts w:asciiTheme="minorHAnsi" w:hAnsiTheme="minorHAnsi"/>
                <w:b/>
                <w:bCs/>
                <w:color w:val="000000"/>
                <w:sz w:val="18"/>
                <w:szCs w:val="18"/>
                <w:lang w:val="sl-SI" w:eastAsia="en-GB"/>
              </w:rPr>
              <w:t xml:space="preserve"> </w:t>
            </w:r>
            <w:proofErr w:type="spellStart"/>
            <w:r w:rsidRPr="00275FBD">
              <w:rPr>
                <w:rFonts w:asciiTheme="minorHAnsi" w:hAnsiTheme="minorHAnsi"/>
                <w:b/>
                <w:bCs/>
                <w:color w:val="000000"/>
                <w:sz w:val="18"/>
                <w:szCs w:val="18"/>
                <w:lang w:val="sl-SI" w:eastAsia="en-GB"/>
              </w:rPr>
              <w:t>Measures</w:t>
            </w:r>
            <w:proofErr w:type="spellEnd"/>
            <w:r w:rsidRPr="00275FBD">
              <w:rPr>
                <w:rFonts w:asciiTheme="minorHAnsi" w:hAnsiTheme="minorHAnsi"/>
                <w:b/>
                <w:bCs/>
                <w:color w:val="000000"/>
                <w:sz w:val="18"/>
                <w:szCs w:val="18"/>
                <w:lang w:val="sl-SI" w:eastAsia="en-GB"/>
              </w:rPr>
              <w:t xml:space="preserve"> </w:t>
            </w:r>
            <w:proofErr w:type="spellStart"/>
            <w:r w:rsidRPr="00275FBD">
              <w:rPr>
                <w:rFonts w:asciiTheme="minorHAnsi" w:hAnsiTheme="minorHAnsi"/>
                <w:b/>
                <w:bCs/>
                <w:color w:val="000000"/>
                <w:sz w:val="18"/>
                <w:szCs w:val="18"/>
                <w:lang w:val="sl-SI" w:eastAsia="en-GB"/>
              </w:rPr>
              <w:t>Description</w:t>
            </w:r>
            <w:proofErr w:type="spellEnd"/>
          </w:p>
        </w:tc>
        <w:tc>
          <w:tcPr>
            <w:tcW w:w="2043" w:type="dxa"/>
            <w:vMerge w:val="restart"/>
            <w:shd w:val="clear" w:color="000000" w:fill="BFBFBF"/>
          </w:tcPr>
          <w:p w14:paraId="0559C082"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b/>
                <w:bCs/>
                <w:color w:val="000000"/>
                <w:sz w:val="18"/>
                <w:szCs w:val="18"/>
                <w:lang w:val="sl-SI" w:eastAsia="en-GB"/>
              </w:rPr>
              <w:t>Time Implementation</w:t>
            </w:r>
          </w:p>
          <w:p w14:paraId="5F3AF392" w14:textId="77777777" w:rsidR="00935B67" w:rsidRPr="00275FBD" w:rsidRDefault="00935B67" w:rsidP="00935B67">
            <w:pPr>
              <w:jc w:val="center"/>
              <w:rPr>
                <w:rFonts w:asciiTheme="minorHAnsi" w:hAnsiTheme="minorHAnsi"/>
                <w:b/>
                <w:bCs/>
                <w:color w:val="000000"/>
                <w:sz w:val="18"/>
                <w:szCs w:val="18"/>
                <w:lang w:val="sl-SI" w:eastAsia="en-GB"/>
              </w:rPr>
            </w:pPr>
            <w:proofErr w:type="spellStart"/>
            <w:r w:rsidRPr="00275FBD">
              <w:rPr>
                <w:rFonts w:asciiTheme="minorHAnsi" w:hAnsiTheme="minorHAnsi"/>
                <w:b/>
                <w:bCs/>
                <w:color w:val="000000"/>
                <w:sz w:val="18"/>
                <w:szCs w:val="18"/>
                <w:lang w:val="sl-SI" w:eastAsia="en-GB"/>
              </w:rPr>
              <w:t>Category</w:t>
            </w:r>
            <w:proofErr w:type="spellEnd"/>
          </w:p>
        </w:tc>
      </w:tr>
      <w:tr w:rsidR="00935B67" w:rsidRPr="00275FBD" w14:paraId="166A362D" w14:textId="77777777" w:rsidTr="008D5B31">
        <w:trPr>
          <w:trHeight w:val="331"/>
          <w:tblHeader/>
        </w:trPr>
        <w:tc>
          <w:tcPr>
            <w:tcW w:w="1418" w:type="dxa"/>
            <w:vMerge/>
            <w:shd w:val="clear" w:color="000000" w:fill="BFBFBF"/>
          </w:tcPr>
          <w:p w14:paraId="3981BF19" w14:textId="77777777" w:rsidR="00935B67" w:rsidRPr="00275FBD" w:rsidRDefault="00935B67" w:rsidP="00935B67">
            <w:pPr>
              <w:jc w:val="center"/>
              <w:rPr>
                <w:rFonts w:asciiTheme="minorHAnsi" w:hAnsiTheme="minorHAnsi"/>
                <w:b/>
                <w:bCs/>
                <w:color w:val="000000"/>
                <w:sz w:val="18"/>
                <w:szCs w:val="18"/>
                <w:lang w:val="sl-SI" w:eastAsia="en-GB"/>
              </w:rPr>
            </w:pPr>
          </w:p>
        </w:tc>
        <w:tc>
          <w:tcPr>
            <w:tcW w:w="855" w:type="dxa"/>
            <w:shd w:val="clear" w:color="000000" w:fill="BFBFBF"/>
          </w:tcPr>
          <w:p w14:paraId="418CE24C" w14:textId="77777777" w:rsidR="00935B67" w:rsidRPr="00275FBD" w:rsidRDefault="00935B67" w:rsidP="00935B67">
            <w:pPr>
              <w:jc w:val="center"/>
              <w:rPr>
                <w:rFonts w:asciiTheme="minorHAnsi" w:hAnsiTheme="minorHAnsi"/>
                <w:b/>
                <w:bCs/>
                <w:color w:val="000000"/>
                <w:sz w:val="18"/>
                <w:szCs w:val="18"/>
                <w:lang w:val="sl-SI" w:eastAsia="en-GB"/>
              </w:rPr>
            </w:pPr>
            <w:proofErr w:type="spellStart"/>
            <w:r w:rsidRPr="00275FBD">
              <w:rPr>
                <w:rFonts w:asciiTheme="minorHAnsi" w:hAnsiTheme="minorHAnsi"/>
                <w:b/>
                <w:bCs/>
                <w:color w:val="000000"/>
                <w:sz w:val="18"/>
                <w:szCs w:val="18"/>
                <w:lang w:val="sl-SI" w:eastAsia="en-GB"/>
              </w:rPr>
              <w:t>Broad</w:t>
            </w:r>
            <w:proofErr w:type="spellEnd"/>
            <w:r w:rsidRPr="00275FBD">
              <w:rPr>
                <w:rFonts w:asciiTheme="minorHAnsi" w:hAnsiTheme="minorHAnsi"/>
                <w:b/>
                <w:bCs/>
                <w:color w:val="000000"/>
                <w:sz w:val="18"/>
                <w:szCs w:val="18"/>
                <w:lang w:val="sl-SI" w:eastAsia="en-GB"/>
              </w:rPr>
              <w:t xml:space="preserve"> </w:t>
            </w:r>
            <w:proofErr w:type="spellStart"/>
            <w:r w:rsidRPr="00275FBD">
              <w:rPr>
                <w:rFonts w:asciiTheme="minorHAnsi" w:hAnsiTheme="minorHAnsi"/>
                <w:b/>
                <w:bCs/>
                <w:color w:val="000000"/>
                <w:sz w:val="18"/>
                <w:szCs w:val="18"/>
                <w:lang w:val="sl-SI" w:eastAsia="en-GB"/>
              </w:rPr>
              <w:t>Rank</w:t>
            </w:r>
            <w:proofErr w:type="spellEnd"/>
          </w:p>
        </w:tc>
        <w:tc>
          <w:tcPr>
            <w:tcW w:w="993" w:type="dxa"/>
            <w:shd w:val="clear" w:color="000000" w:fill="BFBFBF"/>
          </w:tcPr>
          <w:p w14:paraId="54D24AA2"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b/>
                <w:bCs/>
                <w:color w:val="000000"/>
                <w:sz w:val="18"/>
                <w:szCs w:val="18"/>
                <w:lang w:val="sl-SI" w:eastAsia="en-GB"/>
              </w:rPr>
              <w:t>Criteria</w:t>
            </w:r>
          </w:p>
        </w:tc>
        <w:tc>
          <w:tcPr>
            <w:tcW w:w="8730" w:type="dxa"/>
            <w:vMerge/>
            <w:shd w:val="clear" w:color="000000" w:fill="BFBFBF"/>
          </w:tcPr>
          <w:p w14:paraId="22861E91" w14:textId="77777777" w:rsidR="00935B67" w:rsidRPr="00275FBD" w:rsidRDefault="00935B67" w:rsidP="00935B67">
            <w:pPr>
              <w:jc w:val="center"/>
              <w:rPr>
                <w:rFonts w:asciiTheme="minorHAnsi" w:hAnsiTheme="minorHAnsi"/>
                <w:b/>
                <w:bCs/>
                <w:color w:val="000000"/>
                <w:sz w:val="18"/>
                <w:szCs w:val="18"/>
                <w:lang w:val="sl-SI" w:eastAsia="en-GB"/>
              </w:rPr>
            </w:pPr>
          </w:p>
        </w:tc>
        <w:tc>
          <w:tcPr>
            <w:tcW w:w="2043" w:type="dxa"/>
            <w:vMerge/>
            <w:shd w:val="clear" w:color="000000" w:fill="BFBFBF"/>
          </w:tcPr>
          <w:p w14:paraId="0E4F61DE" w14:textId="77777777" w:rsidR="00935B67" w:rsidRPr="00275FBD" w:rsidRDefault="00935B67" w:rsidP="00935B67">
            <w:pPr>
              <w:jc w:val="center"/>
              <w:rPr>
                <w:rFonts w:asciiTheme="minorHAnsi" w:hAnsiTheme="minorHAnsi"/>
                <w:b/>
                <w:bCs/>
                <w:color w:val="000000"/>
                <w:sz w:val="18"/>
                <w:szCs w:val="18"/>
                <w:lang w:val="sl-SI" w:eastAsia="en-GB"/>
              </w:rPr>
            </w:pPr>
          </w:p>
        </w:tc>
      </w:tr>
      <w:tr w:rsidR="00935B67" w:rsidRPr="00275FBD" w14:paraId="7C1EBA88" w14:textId="77777777" w:rsidTr="008D5B31">
        <w:trPr>
          <w:trHeight w:val="559"/>
        </w:trPr>
        <w:tc>
          <w:tcPr>
            <w:tcW w:w="1418" w:type="dxa"/>
            <w:shd w:val="clear" w:color="auto" w:fill="auto"/>
            <w:noWrap/>
          </w:tcPr>
          <w:p w14:paraId="03AD1C7E"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2.1-005</w:t>
            </w:r>
          </w:p>
        </w:tc>
        <w:tc>
          <w:tcPr>
            <w:tcW w:w="855" w:type="dxa"/>
            <w:shd w:val="clear" w:color="auto" w:fill="auto"/>
            <w:noWrap/>
          </w:tcPr>
          <w:p w14:paraId="232AAD78"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M</w:t>
            </w:r>
          </w:p>
        </w:tc>
        <w:tc>
          <w:tcPr>
            <w:tcW w:w="993" w:type="dxa"/>
          </w:tcPr>
          <w:p w14:paraId="374DA811"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4,5</w:t>
            </w:r>
          </w:p>
        </w:tc>
        <w:tc>
          <w:tcPr>
            <w:tcW w:w="8730" w:type="dxa"/>
            <w:shd w:val="clear" w:color="auto" w:fill="auto"/>
          </w:tcPr>
          <w:p w14:paraId="393554FD"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Non-</w:t>
            </w:r>
            <w:proofErr w:type="spellStart"/>
            <w:r w:rsidRPr="00275FBD">
              <w:rPr>
                <w:rFonts w:asciiTheme="minorHAnsi" w:hAnsiTheme="minorHAnsi"/>
                <w:b/>
                <w:bCs/>
                <w:color w:val="000000"/>
                <w:sz w:val="18"/>
                <w:szCs w:val="18"/>
                <w:lang w:val="sl-SI" w:eastAsia="en-GB"/>
              </w:rPr>
              <w:t>compliance</w:t>
            </w:r>
            <w:proofErr w:type="spellEnd"/>
            <w:r w:rsidRPr="00275FBD">
              <w:rPr>
                <w:rFonts w:asciiTheme="minorHAnsi" w:hAnsiTheme="minorHAnsi"/>
                <w:b/>
                <w:bCs/>
                <w:color w:val="000000"/>
                <w:sz w:val="18"/>
                <w:szCs w:val="18"/>
                <w:lang w:val="sl-SI" w:eastAsia="en-GB"/>
              </w:rPr>
              <w:t xml:space="preserve"> of DEC A </w:t>
            </w:r>
            <w:proofErr w:type="spellStart"/>
            <w:r w:rsidRPr="00275FBD">
              <w:rPr>
                <w:rFonts w:asciiTheme="minorHAnsi" w:hAnsiTheme="minorHAnsi"/>
                <w:b/>
                <w:bCs/>
                <w:color w:val="000000"/>
                <w:sz w:val="18"/>
                <w:szCs w:val="18"/>
                <w:lang w:val="sl-SI" w:eastAsia="en-GB"/>
              </w:rPr>
              <w:t>safety</w:t>
            </w:r>
            <w:proofErr w:type="spellEnd"/>
            <w:r w:rsidRPr="00275FBD">
              <w:rPr>
                <w:rFonts w:asciiTheme="minorHAnsi" w:hAnsiTheme="minorHAnsi"/>
                <w:b/>
                <w:bCs/>
                <w:color w:val="000000"/>
                <w:sz w:val="18"/>
                <w:szCs w:val="18"/>
                <w:lang w:val="sl-SI" w:eastAsia="en-GB"/>
              </w:rPr>
              <w:t xml:space="preserve"> </w:t>
            </w:r>
            <w:proofErr w:type="spellStart"/>
            <w:r w:rsidRPr="00275FBD">
              <w:rPr>
                <w:rFonts w:asciiTheme="minorHAnsi" w:hAnsiTheme="minorHAnsi"/>
                <w:b/>
                <w:bCs/>
                <w:color w:val="000000"/>
                <w:sz w:val="18"/>
                <w:szCs w:val="18"/>
                <w:lang w:val="sl-SI" w:eastAsia="en-GB"/>
              </w:rPr>
              <w:t>analysis</w:t>
            </w:r>
            <w:proofErr w:type="spellEnd"/>
            <w:r w:rsidRPr="00275FBD">
              <w:rPr>
                <w:rFonts w:asciiTheme="minorHAnsi" w:hAnsiTheme="minorHAnsi"/>
                <w:b/>
                <w:bCs/>
                <w:color w:val="000000"/>
                <w:sz w:val="18"/>
                <w:szCs w:val="18"/>
                <w:lang w:val="sl-SI" w:eastAsia="en-GB"/>
              </w:rPr>
              <w:t xml:space="preserve"> and </w:t>
            </w:r>
            <w:proofErr w:type="spellStart"/>
            <w:r w:rsidRPr="00275FBD">
              <w:rPr>
                <w:rFonts w:asciiTheme="minorHAnsi" w:hAnsiTheme="minorHAnsi"/>
                <w:b/>
                <w:bCs/>
                <w:color w:val="000000"/>
                <w:sz w:val="18"/>
                <w:szCs w:val="18"/>
                <w:lang w:val="sl-SI" w:eastAsia="en-GB"/>
              </w:rPr>
              <w:t>actual</w:t>
            </w:r>
            <w:proofErr w:type="spellEnd"/>
            <w:r w:rsidRPr="00275FBD">
              <w:rPr>
                <w:rFonts w:asciiTheme="minorHAnsi" w:hAnsiTheme="minorHAnsi"/>
                <w:b/>
                <w:bCs/>
                <w:color w:val="000000"/>
                <w:sz w:val="18"/>
                <w:szCs w:val="18"/>
                <w:lang w:val="sl-SI" w:eastAsia="en-GB"/>
              </w:rPr>
              <w:t xml:space="preserve"> conditions of the </w:t>
            </w:r>
            <w:proofErr w:type="spellStart"/>
            <w:r w:rsidRPr="00275FBD">
              <w:rPr>
                <w:rFonts w:asciiTheme="minorHAnsi" w:hAnsiTheme="minorHAnsi"/>
                <w:b/>
                <w:bCs/>
                <w:color w:val="000000"/>
                <w:sz w:val="18"/>
                <w:szCs w:val="18"/>
                <w:lang w:val="sl-SI" w:eastAsia="en-GB"/>
              </w:rPr>
              <w:t>plant</w:t>
            </w:r>
            <w:proofErr w:type="spellEnd"/>
            <w:r w:rsidRPr="00275FBD">
              <w:rPr>
                <w:rFonts w:asciiTheme="minorHAnsi" w:hAnsiTheme="minorHAnsi"/>
                <w:color w:val="000000"/>
                <w:sz w:val="18"/>
                <w:szCs w:val="18"/>
                <w:lang w:val="sl-SI" w:eastAsia="en-GB"/>
              </w:rPr>
              <w:t xml:space="preserve">: ASI pump </w:t>
            </w:r>
            <w:proofErr w:type="spellStart"/>
            <w:r w:rsidRPr="00275FBD">
              <w:rPr>
                <w:rFonts w:asciiTheme="minorHAnsi" w:hAnsiTheme="minorHAnsi"/>
                <w:color w:val="000000"/>
                <w:sz w:val="18"/>
                <w:szCs w:val="18"/>
                <w:lang w:val="sl-SI" w:eastAsia="en-GB"/>
              </w:rPr>
              <w:t>which</w:t>
            </w:r>
            <w:proofErr w:type="spellEnd"/>
            <w:r w:rsidRPr="00275FBD">
              <w:rPr>
                <w:rFonts w:asciiTheme="minorHAnsi" w:hAnsiTheme="minorHAnsi"/>
                <w:color w:val="000000"/>
                <w:sz w:val="18"/>
                <w:szCs w:val="18"/>
                <w:lang w:val="sl-SI" w:eastAsia="en-GB"/>
              </w:rPr>
              <w:t xml:space="preserve"> is used in </w:t>
            </w:r>
            <w:proofErr w:type="spellStart"/>
            <w:r w:rsidRPr="00275FBD">
              <w:rPr>
                <w:rFonts w:asciiTheme="minorHAnsi" w:hAnsiTheme="minorHAnsi"/>
                <w:color w:val="000000"/>
                <w:sz w:val="18"/>
                <w:szCs w:val="18"/>
                <w:lang w:val="sl-SI" w:eastAsia="en-GB"/>
              </w:rPr>
              <w:t>Feed&amp;Bleed</w:t>
            </w:r>
            <w:proofErr w:type="spellEnd"/>
            <w:r w:rsidRPr="00275FBD">
              <w:rPr>
                <w:rFonts w:asciiTheme="minorHAnsi" w:hAnsiTheme="minorHAnsi"/>
                <w:color w:val="000000"/>
                <w:sz w:val="18"/>
                <w:szCs w:val="18"/>
                <w:lang w:val="sl-SI" w:eastAsia="en-GB"/>
              </w:rPr>
              <w:t xml:space="preserve"> operation in DEC-A conditions </w:t>
            </w:r>
            <w:proofErr w:type="spellStart"/>
            <w:r w:rsidRPr="00275FBD">
              <w:rPr>
                <w:rFonts w:asciiTheme="minorHAnsi" w:hAnsiTheme="minorHAnsi"/>
                <w:color w:val="000000"/>
                <w:sz w:val="18"/>
                <w:szCs w:val="18"/>
                <w:lang w:val="sl-SI" w:eastAsia="en-GB"/>
              </w:rPr>
              <w:t>will</w:t>
            </w:r>
            <w:proofErr w:type="spellEnd"/>
            <w:r w:rsidRPr="00275FBD">
              <w:rPr>
                <w:rFonts w:asciiTheme="minorHAnsi" w:hAnsiTheme="minorHAnsi"/>
                <w:color w:val="000000"/>
                <w:sz w:val="18"/>
                <w:szCs w:val="18"/>
                <w:lang w:val="sl-SI" w:eastAsia="en-GB"/>
              </w:rPr>
              <w:t xml:space="preserve"> be </w:t>
            </w:r>
            <w:proofErr w:type="spellStart"/>
            <w:r w:rsidRPr="00275FBD">
              <w:rPr>
                <w:rFonts w:asciiTheme="minorHAnsi" w:hAnsiTheme="minorHAnsi"/>
                <w:color w:val="000000"/>
                <w:sz w:val="18"/>
                <w:szCs w:val="18"/>
                <w:lang w:val="sl-SI" w:eastAsia="en-GB"/>
              </w:rPr>
              <w:t>introduced</w:t>
            </w:r>
            <w:proofErr w:type="spellEnd"/>
            <w:r w:rsidRPr="00275FBD">
              <w:rPr>
                <w:rFonts w:asciiTheme="minorHAnsi" w:hAnsiTheme="minorHAnsi"/>
                <w:color w:val="000000"/>
                <w:sz w:val="18"/>
                <w:szCs w:val="18"/>
                <w:lang w:val="sl-SI" w:eastAsia="en-GB"/>
              </w:rPr>
              <w:t xml:space="preserve"> in USAR Rev.28 with the </w:t>
            </w:r>
            <w:proofErr w:type="spellStart"/>
            <w:r w:rsidRPr="00275FBD">
              <w:rPr>
                <w:rFonts w:asciiTheme="minorHAnsi" w:hAnsiTheme="minorHAnsi"/>
                <w:color w:val="000000"/>
                <w:sz w:val="18"/>
                <w:szCs w:val="18"/>
                <w:lang w:val="sl-SI" w:eastAsia="en-GB"/>
              </w:rPr>
              <w:t>modification</w:t>
            </w:r>
            <w:proofErr w:type="spellEnd"/>
            <w:r w:rsidRPr="00275FBD">
              <w:rPr>
                <w:rFonts w:asciiTheme="minorHAnsi" w:hAnsiTheme="minorHAnsi"/>
                <w:color w:val="000000"/>
                <w:sz w:val="18"/>
                <w:szCs w:val="18"/>
                <w:lang w:val="sl-SI" w:eastAsia="en-GB"/>
              </w:rPr>
              <w:t xml:space="preserve"> 1005-SI-L "</w:t>
            </w:r>
            <w:proofErr w:type="spellStart"/>
            <w:r w:rsidRPr="00275FBD">
              <w:rPr>
                <w:rFonts w:asciiTheme="minorHAnsi" w:hAnsiTheme="minorHAnsi"/>
                <w:color w:val="000000"/>
                <w:sz w:val="18"/>
                <w:szCs w:val="18"/>
                <w:lang w:val="sl-SI" w:eastAsia="en-GB"/>
              </w:rPr>
              <w:t>Alternate</w:t>
            </w:r>
            <w:proofErr w:type="spellEnd"/>
            <w:r w:rsidRPr="00275FBD">
              <w:rPr>
                <w:rFonts w:asciiTheme="minorHAnsi" w:hAnsiTheme="minorHAnsi"/>
                <w:color w:val="000000"/>
                <w:sz w:val="18"/>
                <w:szCs w:val="18"/>
                <w:lang w:val="sl-SI" w:eastAsia="en-GB"/>
              </w:rPr>
              <w:t xml:space="preserve"> Safety </w:t>
            </w:r>
            <w:proofErr w:type="spellStart"/>
            <w:r w:rsidRPr="00275FBD">
              <w:rPr>
                <w:rFonts w:asciiTheme="minorHAnsi" w:hAnsiTheme="minorHAnsi"/>
                <w:color w:val="000000"/>
                <w:sz w:val="18"/>
                <w:szCs w:val="18"/>
                <w:lang w:val="sl-SI" w:eastAsia="en-GB"/>
              </w:rPr>
              <w:t>Injection</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which</w:t>
            </w:r>
            <w:proofErr w:type="spellEnd"/>
            <w:r w:rsidRPr="00275FBD">
              <w:rPr>
                <w:rFonts w:asciiTheme="minorHAnsi" w:hAnsiTheme="minorHAnsi"/>
                <w:color w:val="000000"/>
                <w:sz w:val="18"/>
                <w:szCs w:val="18"/>
                <w:lang w:val="sl-SI" w:eastAsia="en-GB"/>
              </w:rPr>
              <w:t xml:space="preserve"> is </w:t>
            </w:r>
            <w:proofErr w:type="spellStart"/>
            <w:r w:rsidRPr="00275FBD">
              <w:rPr>
                <w:rFonts w:asciiTheme="minorHAnsi" w:hAnsiTheme="minorHAnsi"/>
                <w:color w:val="000000"/>
                <w:sz w:val="18"/>
                <w:szCs w:val="18"/>
                <w:lang w:val="sl-SI" w:eastAsia="en-GB"/>
              </w:rPr>
              <w:t>obviously</w:t>
            </w:r>
            <w:proofErr w:type="spellEnd"/>
            <w:r w:rsidRPr="00275FBD">
              <w:rPr>
                <w:rFonts w:asciiTheme="minorHAnsi" w:hAnsiTheme="minorHAnsi"/>
                <w:color w:val="000000"/>
                <w:sz w:val="18"/>
                <w:szCs w:val="18"/>
                <w:lang w:val="sl-SI" w:eastAsia="en-GB"/>
              </w:rPr>
              <w:t xml:space="preserve"> past the PSR3 </w:t>
            </w:r>
            <w:proofErr w:type="spellStart"/>
            <w:r w:rsidRPr="00275FBD">
              <w:rPr>
                <w:rFonts w:asciiTheme="minorHAnsi" w:hAnsiTheme="minorHAnsi"/>
                <w:color w:val="000000"/>
                <w:sz w:val="18"/>
                <w:szCs w:val="18"/>
                <w:lang w:val="sl-SI" w:eastAsia="en-GB"/>
              </w:rPr>
              <w:t>cut-off</w:t>
            </w:r>
            <w:proofErr w:type="spellEnd"/>
            <w:r w:rsidRPr="00275FBD">
              <w:rPr>
                <w:rFonts w:asciiTheme="minorHAnsi" w:hAnsiTheme="minorHAnsi"/>
                <w:color w:val="000000"/>
                <w:sz w:val="18"/>
                <w:szCs w:val="18"/>
                <w:lang w:val="sl-SI" w:eastAsia="en-GB"/>
              </w:rPr>
              <w:t xml:space="preserve"> date. </w:t>
            </w:r>
          </w:p>
        </w:tc>
        <w:tc>
          <w:tcPr>
            <w:tcW w:w="2043" w:type="dxa"/>
          </w:tcPr>
          <w:p w14:paraId="4E0A4C52"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6FA88476" w14:textId="77777777" w:rsidTr="008D5B31">
        <w:trPr>
          <w:trHeight w:val="559"/>
        </w:trPr>
        <w:tc>
          <w:tcPr>
            <w:tcW w:w="1418" w:type="dxa"/>
            <w:shd w:val="clear" w:color="auto" w:fill="auto"/>
            <w:noWrap/>
          </w:tcPr>
          <w:p w14:paraId="41E6DDF4"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2.1-011</w:t>
            </w:r>
          </w:p>
        </w:tc>
        <w:tc>
          <w:tcPr>
            <w:tcW w:w="855" w:type="dxa"/>
            <w:shd w:val="clear" w:color="auto" w:fill="auto"/>
          </w:tcPr>
          <w:p w14:paraId="50DDBEB8"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M</w:t>
            </w:r>
          </w:p>
        </w:tc>
        <w:tc>
          <w:tcPr>
            <w:tcW w:w="993" w:type="dxa"/>
          </w:tcPr>
          <w:p w14:paraId="65EA73F4"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4,5</w:t>
            </w:r>
          </w:p>
        </w:tc>
        <w:tc>
          <w:tcPr>
            <w:tcW w:w="8730" w:type="dxa"/>
            <w:shd w:val="clear" w:color="auto" w:fill="auto"/>
          </w:tcPr>
          <w:p w14:paraId="6E6F530C" w14:textId="77777777" w:rsidR="00935B67" w:rsidRPr="00275FBD" w:rsidRDefault="00935B67" w:rsidP="00935B67">
            <w:pPr>
              <w:jc w:val="left"/>
              <w:rPr>
                <w:rFonts w:asciiTheme="minorHAnsi" w:hAnsiTheme="minorHAnsi"/>
                <w:color w:val="000000"/>
                <w:sz w:val="18"/>
                <w:szCs w:val="18"/>
                <w:lang w:val="sl-SI" w:eastAsia="en-GB"/>
              </w:rPr>
            </w:pPr>
            <w:proofErr w:type="spellStart"/>
            <w:r w:rsidRPr="00275FBD">
              <w:rPr>
                <w:rFonts w:asciiTheme="minorHAnsi" w:hAnsiTheme="minorHAnsi"/>
                <w:b/>
                <w:bCs/>
                <w:color w:val="000000"/>
                <w:sz w:val="18"/>
                <w:szCs w:val="18"/>
                <w:lang w:val="sl-SI" w:eastAsia="en-GB"/>
              </w:rPr>
              <w:t>Ensuring</w:t>
            </w:r>
            <w:proofErr w:type="spellEnd"/>
            <w:r w:rsidRPr="00275FBD">
              <w:rPr>
                <w:rFonts w:asciiTheme="minorHAnsi" w:hAnsiTheme="minorHAnsi"/>
                <w:b/>
                <w:bCs/>
                <w:color w:val="000000"/>
                <w:sz w:val="18"/>
                <w:szCs w:val="18"/>
                <w:lang w:val="sl-SI" w:eastAsia="en-GB"/>
              </w:rPr>
              <w:t xml:space="preserve"> </w:t>
            </w:r>
            <w:proofErr w:type="spellStart"/>
            <w:r w:rsidRPr="00275FBD">
              <w:rPr>
                <w:rFonts w:asciiTheme="minorHAnsi" w:hAnsiTheme="minorHAnsi"/>
                <w:b/>
                <w:bCs/>
                <w:color w:val="000000"/>
                <w:sz w:val="18"/>
                <w:szCs w:val="18"/>
                <w:lang w:val="sl-SI" w:eastAsia="en-GB"/>
              </w:rPr>
              <w:t>long</w:t>
            </w:r>
            <w:proofErr w:type="spellEnd"/>
            <w:r w:rsidRPr="00275FBD">
              <w:rPr>
                <w:rFonts w:asciiTheme="minorHAnsi" w:hAnsiTheme="minorHAnsi"/>
                <w:b/>
                <w:bCs/>
                <w:color w:val="000000"/>
                <w:sz w:val="18"/>
                <w:szCs w:val="18"/>
                <w:lang w:val="sl-SI" w:eastAsia="en-GB"/>
              </w:rPr>
              <w:t xml:space="preserve">-term reactor </w:t>
            </w:r>
            <w:proofErr w:type="spellStart"/>
            <w:r w:rsidRPr="00275FBD">
              <w:rPr>
                <w:rFonts w:asciiTheme="minorHAnsi" w:hAnsiTheme="minorHAnsi"/>
                <w:b/>
                <w:bCs/>
                <w:color w:val="000000"/>
                <w:sz w:val="18"/>
                <w:szCs w:val="18"/>
                <w:lang w:val="sl-SI" w:eastAsia="en-GB"/>
              </w:rPr>
              <w:t>subcriticality</w:t>
            </w:r>
            <w:proofErr w:type="spellEnd"/>
            <w:r w:rsidRPr="00275FBD">
              <w:rPr>
                <w:rFonts w:asciiTheme="minorHAnsi" w:hAnsiTheme="minorHAnsi"/>
                <w:b/>
                <w:bCs/>
                <w:color w:val="000000"/>
                <w:sz w:val="18"/>
                <w:szCs w:val="18"/>
                <w:lang w:val="sl-SI" w:eastAsia="en-GB"/>
              </w:rPr>
              <w:t xml:space="preserve"> during design extension conditions</w:t>
            </w:r>
            <w:r w:rsidRPr="00275FBD">
              <w:rPr>
                <w:rFonts w:asciiTheme="minorHAnsi" w:hAnsiTheme="minorHAnsi"/>
                <w:color w:val="000000"/>
                <w:sz w:val="18"/>
                <w:szCs w:val="18"/>
                <w:lang w:val="sl-SI" w:eastAsia="en-GB"/>
              </w:rPr>
              <w:t xml:space="preserve">: No </w:t>
            </w:r>
            <w:proofErr w:type="spellStart"/>
            <w:r w:rsidRPr="00275FBD">
              <w:rPr>
                <w:rFonts w:asciiTheme="minorHAnsi" w:hAnsiTheme="minorHAnsi"/>
                <w:color w:val="000000"/>
                <w:sz w:val="18"/>
                <w:szCs w:val="18"/>
                <w:lang w:val="sl-SI" w:eastAsia="en-GB"/>
              </w:rPr>
              <w:t>information</w:t>
            </w:r>
            <w:proofErr w:type="spellEnd"/>
            <w:r w:rsidRPr="00275FBD">
              <w:rPr>
                <w:rFonts w:asciiTheme="minorHAnsi" w:hAnsiTheme="minorHAnsi"/>
                <w:color w:val="000000"/>
                <w:sz w:val="18"/>
                <w:szCs w:val="18"/>
                <w:lang w:val="sl-SI" w:eastAsia="en-GB"/>
              </w:rPr>
              <w:t xml:space="preserve"> on how the reactor </w:t>
            </w:r>
            <w:proofErr w:type="spellStart"/>
            <w:r w:rsidRPr="00275FBD">
              <w:rPr>
                <w:rFonts w:asciiTheme="minorHAnsi" w:hAnsiTheme="minorHAnsi"/>
                <w:color w:val="000000"/>
                <w:sz w:val="18"/>
                <w:szCs w:val="18"/>
                <w:lang w:val="sl-SI" w:eastAsia="en-GB"/>
              </w:rPr>
              <w:t>subcriticality</w:t>
            </w:r>
            <w:proofErr w:type="spellEnd"/>
            <w:r w:rsidRPr="00275FBD">
              <w:rPr>
                <w:rFonts w:asciiTheme="minorHAnsi" w:hAnsiTheme="minorHAnsi"/>
                <w:color w:val="000000"/>
                <w:sz w:val="18"/>
                <w:szCs w:val="18"/>
                <w:lang w:val="sl-SI" w:eastAsia="en-GB"/>
              </w:rPr>
              <w:t xml:space="preserve"> is </w:t>
            </w:r>
            <w:proofErr w:type="spellStart"/>
            <w:r w:rsidRPr="00275FBD">
              <w:rPr>
                <w:rFonts w:asciiTheme="minorHAnsi" w:hAnsiTheme="minorHAnsi"/>
                <w:color w:val="000000"/>
                <w:sz w:val="18"/>
                <w:szCs w:val="18"/>
                <w:lang w:val="sl-SI" w:eastAsia="en-GB"/>
              </w:rPr>
              <w:t>ensured</w:t>
            </w:r>
            <w:proofErr w:type="spellEnd"/>
            <w:r w:rsidRPr="00275FBD">
              <w:rPr>
                <w:rFonts w:asciiTheme="minorHAnsi" w:hAnsiTheme="minorHAnsi"/>
                <w:color w:val="000000"/>
                <w:sz w:val="18"/>
                <w:szCs w:val="18"/>
                <w:lang w:val="sl-SI" w:eastAsia="en-GB"/>
              </w:rPr>
              <w:t xml:space="preserve"> in the design extension conditions is </w:t>
            </w:r>
            <w:proofErr w:type="spellStart"/>
            <w:r w:rsidRPr="00275FBD">
              <w:rPr>
                <w:rFonts w:asciiTheme="minorHAnsi" w:hAnsiTheme="minorHAnsi"/>
                <w:color w:val="000000"/>
                <w:sz w:val="18"/>
                <w:szCs w:val="18"/>
                <w:lang w:val="sl-SI" w:eastAsia="en-GB"/>
              </w:rPr>
              <w:t>provided</w:t>
            </w:r>
            <w:proofErr w:type="spellEnd"/>
            <w:r w:rsidRPr="00275FBD">
              <w:rPr>
                <w:rFonts w:asciiTheme="minorHAnsi" w:hAnsiTheme="minorHAnsi"/>
                <w:color w:val="000000"/>
                <w:sz w:val="18"/>
                <w:szCs w:val="18"/>
                <w:lang w:val="sl-SI" w:eastAsia="en-GB"/>
              </w:rPr>
              <w:t xml:space="preserve"> in USAR </w:t>
            </w:r>
            <w:proofErr w:type="spellStart"/>
            <w:r w:rsidRPr="00275FBD">
              <w:rPr>
                <w:rFonts w:asciiTheme="minorHAnsi" w:hAnsiTheme="minorHAnsi"/>
                <w:color w:val="000000"/>
                <w:sz w:val="18"/>
                <w:szCs w:val="18"/>
                <w:lang w:val="sl-SI" w:eastAsia="en-GB"/>
              </w:rPr>
              <w:t>Chapter</w:t>
            </w:r>
            <w:proofErr w:type="spellEnd"/>
            <w:r w:rsidRPr="00275FBD">
              <w:rPr>
                <w:rFonts w:asciiTheme="minorHAnsi" w:hAnsiTheme="minorHAnsi"/>
                <w:color w:val="000000"/>
                <w:sz w:val="18"/>
                <w:szCs w:val="18"/>
                <w:lang w:val="sl-SI" w:eastAsia="en-GB"/>
              </w:rPr>
              <w:t xml:space="preserve"> 20.</w:t>
            </w:r>
          </w:p>
        </w:tc>
        <w:tc>
          <w:tcPr>
            <w:tcW w:w="2043" w:type="dxa"/>
          </w:tcPr>
          <w:p w14:paraId="3FD1D36B"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II</w:t>
            </w:r>
          </w:p>
        </w:tc>
      </w:tr>
      <w:tr w:rsidR="00935B67" w:rsidRPr="00275FBD" w14:paraId="6F0DD034" w14:textId="77777777" w:rsidTr="008D5B31">
        <w:trPr>
          <w:trHeight w:val="559"/>
        </w:trPr>
        <w:tc>
          <w:tcPr>
            <w:tcW w:w="1418" w:type="dxa"/>
            <w:shd w:val="clear" w:color="auto" w:fill="auto"/>
            <w:noWrap/>
          </w:tcPr>
          <w:p w14:paraId="2EEEA5D8"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2.1-012</w:t>
            </w:r>
          </w:p>
        </w:tc>
        <w:tc>
          <w:tcPr>
            <w:tcW w:w="855" w:type="dxa"/>
            <w:shd w:val="clear" w:color="auto" w:fill="auto"/>
          </w:tcPr>
          <w:p w14:paraId="145D166E"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M</w:t>
            </w:r>
          </w:p>
        </w:tc>
        <w:tc>
          <w:tcPr>
            <w:tcW w:w="993" w:type="dxa"/>
          </w:tcPr>
          <w:p w14:paraId="52322DF6"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4,5</w:t>
            </w:r>
          </w:p>
        </w:tc>
        <w:tc>
          <w:tcPr>
            <w:tcW w:w="8730" w:type="dxa"/>
            <w:shd w:val="clear" w:color="auto" w:fill="auto"/>
          </w:tcPr>
          <w:p w14:paraId="6A1A1274" w14:textId="77777777" w:rsidR="00935B67" w:rsidRPr="00275FBD" w:rsidRDefault="00935B67" w:rsidP="00935B67">
            <w:pPr>
              <w:jc w:val="left"/>
              <w:rPr>
                <w:rFonts w:asciiTheme="minorHAnsi" w:hAnsiTheme="minorHAnsi"/>
                <w:color w:val="000000"/>
                <w:sz w:val="18"/>
                <w:szCs w:val="18"/>
                <w:lang w:val="sl-SI" w:eastAsia="en-GB"/>
              </w:rPr>
            </w:pPr>
            <w:proofErr w:type="spellStart"/>
            <w:r w:rsidRPr="00275FBD">
              <w:rPr>
                <w:rFonts w:asciiTheme="minorHAnsi" w:hAnsiTheme="minorHAnsi"/>
                <w:b/>
                <w:bCs/>
                <w:color w:val="000000"/>
                <w:sz w:val="18"/>
                <w:szCs w:val="18"/>
                <w:lang w:val="sl-SI" w:eastAsia="en-GB"/>
              </w:rPr>
              <w:t>Comments</w:t>
            </w:r>
            <w:proofErr w:type="spellEnd"/>
            <w:r w:rsidRPr="00275FBD">
              <w:rPr>
                <w:rFonts w:asciiTheme="minorHAnsi" w:hAnsiTheme="minorHAnsi"/>
                <w:b/>
                <w:bCs/>
                <w:color w:val="000000"/>
                <w:sz w:val="18"/>
                <w:szCs w:val="18"/>
                <w:lang w:val="sl-SI" w:eastAsia="en-GB"/>
              </w:rPr>
              <w:t xml:space="preserve"> to the </w:t>
            </w:r>
            <w:proofErr w:type="spellStart"/>
            <w:r w:rsidRPr="00275FBD">
              <w:rPr>
                <w:rFonts w:asciiTheme="minorHAnsi" w:hAnsiTheme="minorHAnsi"/>
                <w:b/>
                <w:bCs/>
                <w:color w:val="000000"/>
                <w:sz w:val="18"/>
                <w:szCs w:val="18"/>
                <w:lang w:val="sl-SI" w:eastAsia="en-GB"/>
              </w:rPr>
              <w:t>licensing</w:t>
            </w:r>
            <w:proofErr w:type="spellEnd"/>
            <w:r w:rsidRPr="00275FBD">
              <w:rPr>
                <w:rFonts w:asciiTheme="minorHAnsi" w:hAnsiTheme="minorHAnsi"/>
                <w:b/>
                <w:bCs/>
                <w:color w:val="000000"/>
                <w:sz w:val="18"/>
                <w:szCs w:val="18"/>
                <w:lang w:val="sl-SI" w:eastAsia="en-GB"/>
              </w:rPr>
              <w:t xml:space="preserve"> </w:t>
            </w:r>
            <w:proofErr w:type="spellStart"/>
            <w:r w:rsidRPr="00275FBD">
              <w:rPr>
                <w:rFonts w:asciiTheme="minorHAnsi" w:hAnsiTheme="minorHAnsi"/>
                <w:b/>
                <w:bCs/>
                <w:color w:val="000000"/>
                <w:sz w:val="18"/>
                <w:szCs w:val="18"/>
                <w:lang w:val="sl-SI" w:eastAsia="en-GB"/>
              </w:rPr>
              <w:t>documentation</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Missing</w:t>
            </w:r>
            <w:proofErr w:type="spellEnd"/>
            <w:r w:rsidRPr="00275FBD">
              <w:rPr>
                <w:rFonts w:asciiTheme="minorHAnsi" w:hAnsiTheme="minorHAnsi"/>
                <w:color w:val="000000"/>
                <w:sz w:val="18"/>
                <w:szCs w:val="18"/>
                <w:lang w:val="sl-SI" w:eastAsia="en-GB"/>
              </w:rPr>
              <w:t xml:space="preserve"> or </w:t>
            </w:r>
            <w:proofErr w:type="spellStart"/>
            <w:r w:rsidRPr="00275FBD">
              <w:rPr>
                <w:rFonts w:asciiTheme="minorHAnsi" w:hAnsiTheme="minorHAnsi"/>
                <w:color w:val="000000"/>
                <w:sz w:val="18"/>
                <w:szCs w:val="18"/>
                <w:lang w:val="sl-SI" w:eastAsia="en-GB"/>
              </w:rPr>
              <w:t>inadequate</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information</w:t>
            </w:r>
            <w:proofErr w:type="spellEnd"/>
            <w:r w:rsidRPr="00275FBD">
              <w:rPr>
                <w:rFonts w:asciiTheme="minorHAnsi" w:hAnsiTheme="minorHAnsi"/>
                <w:color w:val="000000"/>
                <w:sz w:val="18"/>
                <w:szCs w:val="18"/>
                <w:lang w:val="sl-SI" w:eastAsia="en-GB"/>
              </w:rPr>
              <w:t xml:space="preserve"> and </w:t>
            </w:r>
            <w:proofErr w:type="spellStart"/>
            <w:r w:rsidRPr="00275FBD">
              <w:rPr>
                <w:rFonts w:asciiTheme="minorHAnsi" w:hAnsiTheme="minorHAnsi"/>
                <w:color w:val="000000"/>
                <w:sz w:val="18"/>
                <w:szCs w:val="18"/>
                <w:lang w:val="sl-SI" w:eastAsia="en-GB"/>
              </w:rPr>
              <w:t>references</w:t>
            </w:r>
            <w:proofErr w:type="spellEnd"/>
            <w:r w:rsidRPr="00275FBD">
              <w:rPr>
                <w:rFonts w:asciiTheme="minorHAnsi" w:hAnsiTheme="minorHAnsi"/>
                <w:color w:val="000000"/>
                <w:sz w:val="18"/>
                <w:szCs w:val="18"/>
                <w:lang w:val="sl-SI" w:eastAsia="en-GB"/>
              </w:rPr>
              <w:t xml:space="preserve"> in TS, rev. 181 and USAR, rev. 27 (</w:t>
            </w:r>
            <w:proofErr w:type="spellStart"/>
            <w:r w:rsidRPr="00275FBD">
              <w:rPr>
                <w:rFonts w:asciiTheme="minorHAnsi" w:hAnsiTheme="minorHAnsi"/>
                <w:color w:val="000000"/>
                <w:sz w:val="18"/>
                <w:szCs w:val="18"/>
                <w:lang w:val="sl-SI" w:eastAsia="en-GB"/>
              </w:rPr>
              <w:t>Chapters</w:t>
            </w:r>
            <w:proofErr w:type="spellEnd"/>
            <w:r w:rsidRPr="00275FBD">
              <w:rPr>
                <w:rFonts w:asciiTheme="minorHAnsi" w:hAnsiTheme="minorHAnsi"/>
                <w:color w:val="000000"/>
                <w:sz w:val="18"/>
                <w:szCs w:val="18"/>
                <w:lang w:val="sl-SI" w:eastAsia="en-GB"/>
              </w:rPr>
              <w:t xml:space="preserve"> 11, 15, 19 and 20)</w:t>
            </w:r>
          </w:p>
        </w:tc>
        <w:tc>
          <w:tcPr>
            <w:tcW w:w="2043" w:type="dxa"/>
          </w:tcPr>
          <w:p w14:paraId="0542CF0D"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11B7EBE6" w14:textId="77777777" w:rsidTr="008D5B31">
        <w:trPr>
          <w:trHeight w:val="559"/>
        </w:trPr>
        <w:tc>
          <w:tcPr>
            <w:tcW w:w="1418" w:type="dxa"/>
            <w:shd w:val="clear" w:color="auto" w:fill="auto"/>
            <w:noWrap/>
          </w:tcPr>
          <w:p w14:paraId="7FF95AB7"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1.1-006</w:t>
            </w:r>
          </w:p>
        </w:tc>
        <w:tc>
          <w:tcPr>
            <w:tcW w:w="855" w:type="dxa"/>
            <w:shd w:val="clear" w:color="auto" w:fill="auto"/>
          </w:tcPr>
          <w:p w14:paraId="1C1A1A0A"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3065B957"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4,5</w:t>
            </w:r>
          </w:p>
        </w:tc>
        <w:tc>
          <w:tcPr>
            <w:tcW w:w="8730" w:type="dxa"/>
            <w:shd w:val="clear" w:color="auto" w:fill="auto"/>
          </w:tcPr>
          <w:p w14:paraId="498411ED" w14:textId="77777777" w:rsidR="00935B67" w:rsidRPr="00275FBD" w:rsidRDefault="00935B67" w:rsidP="00935B67">
            <w:pPr>
              <w:jc w:val="left"/>
              <w:rPr>
                <w:rFonts w:asciiTheme="minorHAnsi" w:hAnsiTheme="minorHAnsi"/>
                <w:color w:val="000000"/>
                <w:sz w:val="18"/>
                <w:szCs w:val="18"/>
                <w:lang w:val="sl-SI" w:eastAsia="en-GB"/>
              </w:rPr>
            </w:pPr>
            <w:proofErr w:type="spellStart"/>
            <w:r w:rsidRPr="00275FBD">
              <w:rPr>
                <w:rFonts w:asciiTheme="minorHAnsi" w:hAnsiTheme="minorHAnsi"/>
                <w:b/>
                <w:bCs/>
                <w:color w:val="000000"/>
                <w:sz w:val="18"/>
                <w:szCs w:val="18"/>
                <w:lang w:val="sl-SI" w:eastAsia="en-GB"/>
              </w:rPr>
              <w:t>Typo</w:t>
            </w:r>
            <w:proofErr w:type="spellEnd"/>
            <w:r w:rsidRPr="00275FBD">
              <w:rPr>
                <w:rFonts w:asciiTheme="minorHAnsi" w:hAnsiTheme="minorHAnsi"/>
                <w:b/>
                <w:bCs/>
                <w:color w:val="000000"/>
                <w:sz w:val="18"/>
                <w:szCs w:val="18"/>
                <w:lang w:val="sl-SI" w:eastAsia="en-GB"/>
              </w:rPr>
              <w:t xml:space="preserve"> </w:t>
            </w:r>
            <w:proofErr w:type="spellStart"/>
            <w:r w:rsidRPr="00275FBD">
              <w:rPr>
                <w:rFonts w:asciiTheme="minorHAnsi" w:hAnsiTheme="minorHAnsi"/>
                <w:b/>
                <w:bCs/>
                <w:color w:val="000000"/>
                <w:sz w:val="18"/>
                <w:szCs w:val="18"/>
                <w:lang w:val="sl-SI" w:eastAsia="en-GB"/>
              </w:rPr>
              <w:t>correction</w:t>
            </w:r>
            <w:proofErr w:type="spellEnd"/>
            <w:r w:rsidRPr="00275FBD">
              <w:rPr>
                <w:rFonts w:asciiTheme="minorHAnsi" w:hAnsiTheme="minorHAnsi"/>
                <w:b/>
                <w:bCs/>
                <w:color w:val="000000"/>
                <w:sz w:val="18"/>
                <w:szCs w:val="18"/>
                <w:lang w:val="sl-SI" w:eastAsia="en-GB"/>
              </w:rPr>
              <w:t xml:space="preserve"> on NEK </w:t>
            </w:r>
            <w:proofErr w:type="spellStart"/>
            <w:r w:rsidRPr="00275FBD">
              <w:rPr>
                <w:rFonts w:asciiTheme="minorHAnsi" w:hAnsiTheme="minorHAnsi"/>
                <w:b/>
                <w:bCs/>
                <w:color w:val="000000"/>
                <w:sz w:val="18"/>
                <w:szCs w:val="18"/>
                <w:lang w:val="sl-SI" w:eastAsia="en-GB"/>
              </w:rPr>
              <w:t>answer</w:t>
            </w:r>
            <w:proofErr w:type="spellEnd"/>
            <w:r w:rsidRPr="00275FBD">
              <w:rPr>
                <w:rFonts w:asciiTheme="minorHAnsi" w:hAnsiTheme="minorHAnsi"/>
                <w:b/>
                <w:bCs/>
                <w:color w:val="000000"/>
                <w:sz w:val="18"/>
                <w:szCs w:val="18"/>
                <w:lang w:val="sl-SI" w:eastAsia="en-GB"/>
              </w:rPr>
              <w:t xml:space="preserve"> to BL 2012-01</w:t>
            </w:r>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item</w:t>
            </w:r>
            <w:proofErr w:type="spellEnd"/>
            <w:r w:rsidRPr="00275FBD">
              <w:rPr>
                <w:rFonts w:asciiTheme="minorHAnsi" w:hAnsiTheme="minorHAnsi"/>
                <w:color w:val="000000"/>
                <w:sz w:val="18"/>
                <w:szCs w:val="18"/>
                <w:lang w:val="sl-SI" w:eastAsia="en-GB"/>
              </w:rPr>
              <w:t xml:space="preserve"> 168 §6.3 of RCP4)</w:t>
            </w:r>
          </w:p>
        </w:tc>
        <w:tc>
          <w:tcPr>
            <w:tcW w:w="2043" w:type="dxa"/>
          </w:tcPr>
          <w:p w14:paraId="6AB08A56"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268607EC" w14:textId="77777777" w:rsidTr="008D5B31">
        <w:trPr>
          <w:trHeight w:val="559"/>
        </w:trPr>
        <w:tc>
          <w:tcPr>
            <w:tcW w:w="1418" w:type="dxa"/>
            <w:shd w:val="clear" w:color="auto" w:fill="auto"/>
            <w:noWrap/>
          </w:tcPr>
          <w:p w14:paraId="57E1842F"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1.1-008</w:t>
            </w:r>
          </w:p>
        </w:tc>
        <w:tc>
          <w:tcPr>
            <w:tcW w:w="855" w:type="dxa"/>
            <w:shd w:val="clear" w:color="auto" w:fill="auto"/>
          </w:tcPr>
          <w:p w14:paraId="0198F0AB"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635591AE"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4,5</w:t>
            </w:r>
          </w:p>
        </w:tc>
        <w:tc>
          <w:tcPr>
            <w:tcW w:w="8730" w:type="dxa"/>
            <w:shd w:val="clear" w:color="auto" w:fill="auto"/>
          </w:tcPr>
          <w:p w14:paraId="64C2BDF1"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General consideration-1</w:t>
            </w:r>
            <w:r w:rsidRPr="00275FBD">
              <w:rPr>
                <w:rFonts w:asciiTheme="minorHAnsi" w:hAnsiTheme="minorHAnsi"/>
                <w:color w:val="000000"/>
                <w:sz w:val="18"/>
                <w:szCs w:val="18"/>
                <w:lang w:val="sl-SI" w:eastAsia="en-GB"/>
              </w:rPr>
              <w:t xml:space="preserve">: Update of the </w:t>
            </w:r>
            <w:proofErr w:type="spellStart"/>
            <w:r w:rsidRPr="00275FBD">
              <w:rPr>
                <w:rFonts w:asciiTheme="minorHAnsi" w:hAnsiTheme="minorHAnsi"/>
                <w:color w:val="000000"/>
                <w:sz w:val="18"/>
                <w:szCs w:val="18"/>
                <w:lang w:val="sl-SI" w:eastAsia="en-GB"/>
              </w:rPr>
              <w:t>specific</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section</w:t>
            </w:r>
            <w:proofErr w:type="spellEnd"/>
            <w:r w:rsidRPr="00275FBD">
              <w:rPr>
                <w:rFonts w:asciiTheme="minorHAnsi" w:hAnsiTheme="minorHAnsi"/>
                <w:color w:val="000000"/>
                <w:sz w:val="18"/>
                <w:szCs w:val="18"/>
                <w:lang w:val="sl-SI" w:eastAsia="en-GB"/>
              </w:rPr>
              <w:t xml:space="preserve"> of NEK USAR rev.27</w:t>
            </w:r>
          </w:p>
        </w:tc>
        <w:tc>
          <w:tcPr>
            <w:tcW w:w="2043" w:type="dxa"/>
          </w:tcPr>
          <w:p w14:paraId="1DFDA3EA"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156A4133" w14:textId="77777777" w:rsidTr="008D5B31">
        <w:trPr>
          <w:trHeight w:val="559"/>
        </w:trPr>
        <w:tc>
          <w:tcPr>
            <w:tcW w:w="1418" w:type="dxa"/>
            <w:shd w:val="clear" w:color="auto" w:fill="auto"/>
            <w:noWrap/>
          </w:tcPr>
          <w:p w14:paraId="7EEAC03F"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1.1-046</w:t>
            </w:r>
          </w:p>
        </w:tc>
        <w:tc>
          <w:tcPr>
            <w:tcW w:w="855" w:type="dxa"/>
            <w:shd w:val="clear" w:color="auto" w:fill="auto"/>
          </w:tcPr>
          <w:p w14:paraId="0EDE3716"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7DF406C1"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4,5</w:t>
            </w:r>
          </w:p>
        </w:tc>
        <w:tc>
          <w:tcPr>
            <w:tcW w:w="8730" w:type="dxa"/>
            <w:shd w:val="clear" w:color="auto" w:fill="auto"/>
          </w:tcPr>
          <w:p w14:paraId="15B40A0F"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DG 1.1-1</w:t>
            </w:r>
            <w:r w:rsidRPr="00275FBD">
              <w:rPr>
                <w:rFonts w:asciiTheme="minorHAnsi" w:hAnsiTheme="minorHAnsi"/>
                <w:color w:val="000000"/>
                <w:sz w:val="18"/>
                <w:szCs w:val="18"/>
                <w:lang w:val="sl-SI" w:eastAsia="en-GB"/>
              </w:rPr>
              <w:t xml:space="preserve">, SDD DCM-SD -104 for DG#3 </w:t>
            </w:r>
            <w:proofErr w:type="spellStart"/>
            <w:r w:rsidRPr="00275FBD">
              <w:rPr>
                <w:rFonts w:asciiTheme="minorHAnsi" w:hAnsiTheme="minorHAnsi"/>
                <w:color w:val="000000"/>
                <w:sz w:val="18"/>
                <w:szCs w:val="18"/>
                <w:lang w:val="sl-SI" w:eastAsia="en-GB"/>
              </w:rPr>
              <w:t>will</w:t>
            </w:r>
            <w:proofErr w:type="spellEnd"/>
            <w:r w:rsidRPr="00275FBD">
              <w:rPr>
                <w:rFonts w:asciiTheme="minorHAnsi" w:hAnsiTheme="minorHAnsi"/>
                <w:color w:val="000000"/>
                <w:sz w:val="18"/>
                <w:szCs w:val="18"/>
                <w:lang w:val="sl-SI" w:eastAsia="en-GB"/>
              </w:rPr>
              <w:t xml:space="preserve"> be </w:t>
            </w:r>
            <w:proofErr w:type="spellStart"/>
            <w:r w:rsidRPr="00275FBD">
              <w:rPr>
                <w:rFonts w:asciiTheme="minorHAnsi" w:hAnsiTheme="minorHAnsi"/>
                <w:color w:val="000000"/>
                <w:sz w:val="18"/>
                <w:szCs w:val="18"/>
                <w:lang w:val="sl-SI" w:eastAsia="en-GB"/>
              </w:rPr>
              <w:t>issued</w:t>
            </w:r>
            <w:proofErr w:type="spellEnd"/>
            <w:r w:rsidRPr="00275FBD">
              <w:rPr>
                <w:rFonts w:asciiTheme="minorHAnsi" w:hAnsiTheme="minorHAnsi"/>
                <w:color w:val="000000"/>
                <w:sz w:val="18"/>
                <w:szCs w:val="18"/>
                <w:lang w:val="sl-SI" w:eastAsia="en-GB"/>
              </w:rPr>
              <w:t xml:space="preserve"> and </w:t>
            </w:r>
            <w:proofErr w:type="spellStart"/>
            <w:r w:rsidRPr="00275FBD">
              <w:rPr>
                <w:rFonts w:asciiTheme="minorHAnsi" w:hAnsiTheme="minorHAnsi"/>
                <w:color w:val="000000"/>
                <w:sz w:val="18"/>
                <w:szCs w:val="18"/>
                <w:lang w:val="sl-SI" w:eastAsia="en-GB"/>
              </w:rPr>
              <w:t>its</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development</w:t>
            </w:r>
            <w:proofErr w:type="spellEnd"/>
            <w:r w:rsidRPr="00275FBD">
              <w:rPr>
                <w:rFonts w:asciiTheme="minorHAnsi" w:hAnsiTheme="minorHAnsi"/>
                <w:color w:val="000000"/>
                <w:sz w:val="18"/>
                <w:szCs w:val="18"/>
                <w:lang w:val="sl-SI" w:eastAsia="en-GB"/>
              </w:rPr>
              <w:t xml:space="preserve"> is </w:t>
            </w:r>
            <w:proofErr w:type="spellStart"/>
            <w:r w:rsidRPr="00275FBD">
              <w:rPr>
                <w:rFonts w:asciiTheme="minorHAnsi" w:hAnsiTheme="minorHAnsi"/>
                <w:color w:val="000000"/>
                <w:sz w:val="18"/>
                <w:szCs w:val="18"/>
                <w:lang w:val="sl-SI" w:eastAsia="en-GB"/>
              </w:rPr>
              <w:t>ongoing</w:t>
            </w:r>
            <w:proofErr w:type="spellEnd"/>
          </w:p>
        </w:tc>
        <w:tc>
          <w:tcPr>
            <w:tcW w:w="2043" w:type="dxa"/>
          </w:tcPr>
          <w:p w14:paraId="36F2A32A"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II</w:t>
            </w:r>
          </w:p>
        </w:tc>
      </w:tr>
      <w:tr w:rsidR="00935B67" w:rsidRPr="00275FBD" w14:paraId="58EDDF3D" w14:textId="77777777" w:rsidTr="008D5B31">
        <w:trPr>
          <w:trHeight w:val="559"/>
        </w:trPr>
        <w:tc>
          <w:tcPr>
            <w:tcW w:w="1418" w:type="dxa"/>
            <w:shd w:val="clear" w:color="auto" w:fill="auto"/>
            <w:noWrap/>
          </w:tcPr>
          <w:p w14:paraId="28540B2F"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1.1-075</w:t>
            </w:r>
          </w:p>
        </w:tc>
        <w:tc>
          <w:tcPr>
            <w:tcW w:w="855" w:type="dxa"/>
            <w:shd w:val="clear" w:color="auto" w:fill="auto"/>
          </w:tcPr>
          <w:p w14:paraId="3B3DD2C1"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4DCB174B"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4,5</w:t>
            </w:r>
          </w:p>
        </w:tc>
        <w:tc>
          <w:tcPr>
            <w:tcW w:w="8730" w:type="dxa"/>
            <w:shd w:val="clear" w:color="auto" w:fill="auto"/>
          </w:tcPr>
          <w:p w14:paraId="034988A4"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USAR §3.2.1.1</w:t>
            </w:r>
            <w:r w:rsidRPr="00275FBD">
              <w:rPr>
                <w:rFonts w:asciiTheme="minorHAnsi" w:hAnsiTheme="minorHAnsi"/>
                <w:color w:val="000000"/>
                <w:sz w:val="18"/>
                <w:szCs w:val="18"/>
                <w:lang w:val="sl-SI" w:eastAsia="en-GB"/>
              </w:rPr>
              <w:t xml:space="preserve">, Waste </w:t>
            </w:r>
            <w:proofErr w:type="spellStart"/>
            <w:r w:rsidRPr="00275FBD">
              <w:rPr>
                <w:rFonts w:asciiTheme="minorHAnsi" w:hAnsiTheme="minorHAnsi"/>
                <w:color w:val="000000"/>
                <w:sz w:val="18"/>
                <w:szCs w:val="18"/>
                <w:lang w:val="sl-SI" w:eastAsia="en-GB"/>
              </w:rPr>
              <w:t>Manipulation</w:t>
            </w:r>
            <w:proofErr w:type="spellEnd"/>
            <w:r w:rsidRPr="00275FBD">
              <w:rPr>
                <w:rFonts w:asciiTheme="minorHAnsi" w:hAnsiTheme="minorHAnsi"/>
                <w:color w:val="000000"/>
                <w:sz w:val="18"/>
                <w:szCs w:val="18"/>
                <w:lang w:val="sl-SI" w:eastAsia="en-GB"/>
              </w:rPr>
              <w:t xml:space="preserve"> Building (WMB) is not on the list of SC I </w:t>
            </w:r>
            <w:proofErr w:type="spellStart"/>
            <w:r w:rsidRPr="00275FBD">
              <w:rPr>
                <w:rFonts w:asciiTheme="minorHAnsi" w:hAnsiTheme="minorHAnsi"/>
                <w:color w:val="000000"/>
                <w:sz w:val="18"/>
                <w:szCs w:val="18"/>
                <w:lang w:val="sl-SI" w:eastAsia="en-GB"/>
              </w:rPr>
              <w:t>structures</w:t>
            </w:r>
            <w:proofErr w:type="spellEnd"/>
            <w:r w:rsidRPr="00275FBD">
              <w:rPr>
                <w:rFonts w:asciiTheme="minorHAnsi" w:hAnsiTheme="minorHAnsi"/>
                <w:color w:val="000000"/>
                <w:sz w:val="18"/>
                <w:szCs w:val="18"/>
                <w:lang w:val="sl-SI" w:eastAsia="en-GB"/>
              </w:rPr>
              <w:t>. </w:t>
            </w:r>
          </w:p>
        </w:tc>
        <w:tc>
          <w:tcPr>
            <w:tcW w:w="2043" w:type="dxa"/>
          </w:tcPr>
          <w:p w14:paraId="370BC0BD"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430081AF" w14:textId="77777777" w:rsidTr="008D5B31">
        <w:trPr>
          <w:trHeight w:val="559"/>
        </w:trPr>
        <w:tc>
          <w:tcPr>
            <w:tcW w:w="1418" w:type="dxa"/>
            <w:shd w:val="clear" w:color="auto" w:fill="auto"/>
            <w:noWrap/>
          </w:tcPr>
          <w:p w14:paraId="389A0A11"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1.1-077</w:t>
            </w:r>
          </w:p>
        </w:tc>
        <w:tc>
          <w:tcPr>
            <w:tcW w:w="855" w:type="dxa"/>
            <w:shd w:val="clear" w:color="auto" w:fill="auto"/>
          </w:tcPr>
          <w:p w14:paraId="0880FF07"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57C462A5"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4,5</w:t>
            </w:r>
          </w:p>
        </w:tc>
        <w:tc>
          <w:tcPr>
            <w:tcW w:w="8730" w:type="dxa"/>
            <w:shd w:val="clear" w:color="auto" w:fill="auto"/>
          </w:tcPr>
          <w:p w14:paraId="24092923"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USAR §3.2.1.3</w:t>
            </w:r>
            <w:r w:rsidRPr="00275FBD">
              <w:rPr>
                <w:rFonts w:asciiTheme="minorHAnsi" w:hAnsiTheme="minorHAnsi"/>
                <w:color w:val="000000"/>
                <w:sz w:val="18"/>
                <w:szCs w:val="18"/>
                <w:lang w:val="sl-SI" w:eastAsia="en-GB"/>
              </w:rPr>
              <w:t xml:space="preserve">, The MCB is SC I </w:t>
            </w:r>
            <w:proofErr w:type="spellStart"/>
            <w:r w:rsidRPr="00275FBD">
              <w:rPr>
                <w:rFonts w:asciiTheme="minorHAnsi" w:hAnsiTheme="minorHAnsi"/>
                <w:color w:val="000000"/>
                <w:sz w:val="18"/>
                <w:szCs w:val="18"/>
                <w:lang w:val="sl-SI" w:eastAsia="en-GB"/>
              </w:rPr>
              <w:t>Class</w:t>
            </w:r>
            <w:proofErr w:type="spellEnd"/>
            <w:r w:rsidRPr="00275FBD">
              <w:rPr>
                <w:rFonts w:asciiTheme="minorHAnsi" w:hAnsiTheme="minorHAnsi"/>
                <w:color w:val="000000"/>
                <w:sz w:val="18"/>
                <w:szCs w:val="18"/>
                <w:lang w:val="sl-SI" w:eastAsia="en-GB"/>
              </w:rPr>
              <w:t xml:space="preserve"> 1E </w:t>
            </w:r>
            <w:proofErr w:type="spellStart"/>
            <w:r w:rsidRPr="00275FBD">
              <w:rPr>
                <w:rFonts w:asciiTheme="minorHAnsi" w:hAnsiTheme="minorHAnsi"/>
                <w:color w:val="000000"/>
                <w:sz w:val="18"/>
                <w:szCs w:val="18"/>
                <w:lang w:val="sl-SI" w:eastAsia="en-GB"/>
              </w:rPr>
              <w:t>structure</w:t>
            </w:r>
            <w:proofErr w:type="spellEnd"/>
            <w:r w:rsidRPr="00275FBD">
              <w:rPr>
                <w:rFonts w:asciiTheme="minorHAnsi" w:hAnsiTheme="minorHAnsi"/>
                <w:color w:val="000000"/>
                <w:sz w:val="18"/>
                <w:szCs w:val="18"/>
                <w:lang w:val="sl-SI" w:eastAsia="en-GB"/>
              </w:rPr>
              <w:t xml:space="preserve"> not </w:t>
            </w:r>
            <w:proofErr w:type="spellStart"/>
            <w:r w:rsidRPr="00275FBD">
              <w:rPr>
                <w:rFonts w:asciiTheme="minorHAnsi" w:hAnsiTheme="minorHAnsi"/>
                <w:color w:val="000000"/>
                <w:sz w:val="18"/>
                <w:szCs w:val="18"/>
                <w:lang w:val="sl-SI" w:eastAsia="en-GB"/>
              </w:rPr>
              <w:t>listed</w:t>
            </w:r>
            <w:proofErr w:type="spellEnd"/>
            <w:r w:rsidRPr="00275FBD">
              <w:rPr>
                <w:rFonts w:asciiTheme="minorHAnsi" w:hAnsiTheme="minorHAnsi"/>
                <w:color w:val="000000"/>
                <w:sz w:val="18"/>
                <w:szCs w:val="18"/>
                <w:lang w:val="sl-SI" w:eastAsia="en-GB"/>
              </w:rPr>
              <w:t xml:space="preserve"> in 3.2.1.3. </w:t>
            </w:r>
            <w:proofErr w:type="spellStart"/>
            <w:r w:rsidRPr="00275FBD">
              <w:rPr>
                <w:rFonts w:asciiTheme="minorHAnsi" w:hAnsiTheme="minorHAnsi"/>
                <w:color w:val="000000"/>
                <w:sz w:val="18"/>
                <w:szCs w:val="18"/>
                <w:lang w:val="sl-SI" w:eastAsia="en-GB"/>
              </w:rPr>
              <w:t>Suggest</w:t>
            </w:r>
            <w:proofErr w:type="spellEnd"/>
            <w:r w:rsidRPr="00275FBD">
              <w:rPr>
                <w:rFonts w:asciiTheme="minorHAnsi" w:hAnsiTheme="minorHAnsi"/>
                <w:color w:val="000000"/>
                <w:sz w:val="18"/>
                <w:szCs w:val="18"/>
                <w:lang w:val="sl-SI" w:eastAsia="en-GB"/>
              </w:rPr>
              <w:t xml:space="preserve"> to </w:t>
            </w:r>
            <w:proofErr w:type="spellStart"/>
            <w:r w:rsidRPr="00275FBD">
              <w:rPr>
                <w:rFonts w:asciiTheme="minorHAnsi" w:hAnsiTheme="minorHAnsi"/>
                <w:color w:val="000000"/>
                <w:sz w:val="18"/>
                <w:szCs w:val="18"/>
                <w:lang w:val="sl-SI" w:eastAsia="en-GB"/>
              </w:rPr>
              <w:t>add</w:t>
            </w:r>
            <w:proofErr w:type="spellEnd"/>
            <w:r w:rsidRPr="00275FBD">
              <w:rPr>
                <w:rFonts w:asciiTheme="minorHAnsi" w:hAnsiTheme="minorHAnsi"/>
                <w:color w:val="000000"/>
                <w:sz w:val="18"/>
                <w:szCs w:val="18"/>
                <w:lang w:val="sl-SI" w:eastAsia="en-GB"/>
              </w:rPr>
              <w:t xml:space="preserve"> MCB on the list (to follow the same </w:t>
            </w:r>
            <w:proofErr w:type="spellStart"/>
            <w:r w:rsidRPr="00275FBD">
              <w:rPr>
                <w:rFonts w:asciiTheme="minorHAnsi" w:hAnsiTheme="minorHAnsi"/>
                <w:color w:val="000000"/>
                <w:sz w:val="18"/>
                <w:szCs w:val="18"/>
                <w:lang w:val="sl-SI" w:eastAsia="en-GB"/>
              </w:rPr>
              <w:t>approach</w:t>
            </w:r>
            <w:proofErr w:type="spellEnd"/>
            <w:r w:rsidRPr="00275FBD">
              <w:rPr>
                <w:rFonts w:asciiTheme="minorHAnsi" w:hAnsiTheme="minorHAnsi"/>
                <w:color w:val="000000"/>
                <w:sz w:val="18"/>
                <w:szCs w:val="18"/>
                <w:lang w:val="sl-SI" w:eastAsia="en-GB"/>
              </w:rPr>
              <w:t xml:space="preserve"> as for ECR, </w:t>
            </w:r>
            <w:proofErr w:type="spellStart"/>
            <w:r w:rsidRPr="00275FBD">
              <w:rPr>
                <w:rFonts w:asciiTheme="minorHAnsi" w:hAnsiTheme="minorHAnsi"/>
                <w:color w:val="000000"/>
                <w:sz w:val="18"/>
                <w:szCs w:val="18"/>
                <w:lang w:val="sl-SI" w:eastAsia="en-GB"/>
              </w:rPr>
              <w:t>which</w:t>
            </w:r>
            <w:proofErr w:type="spellEnd"/>
            <w:r w:rsidRPr="00275FBD">
              <w:rPr>
                <w:rFonts w:asciiTheme="minorHAnsi" w:hAnsiTheme="minorHAnsi"/>
                <w:color w:val="000000"/>
                <w:sz w:val="18"/>
                <w:szCs w:val="18"/>
                <w:lang w:val="sl-SI" w:eastAsia="en-GB"/>
              </w:rPr>
              <w:t xml:space="preserve"> is </w:t>
            </w:r>
            <w:proofErr w:type="spellStart"/>
            <w:r w:rsidRPr="00275FBD">
              <w:rPr>
                <w:rFonts w:asciiTheme="minorHAnsi" w:hAnsiTheme="minorHAnsi"/>
                <w:color w:val="000000"/>
                <w:sz w:val="18"/>
                <w:szCs w:val="18"/>
                <w:lang w:val="sl-SI" w:eastAsia="en-GB"/>
              </w:rPr>
              <w:t>listed</w:t>
            </w:r>
            <w:proofErr w:type="spellEnd"/>
            <w:r w:rsidRPr="00275FBD">
              <w:rPr>
                <w:rFonts w:asciiTheme="minorHAnsi" w:hAnsiTheme="minorHAnsi"/>
                <w:color w:val="000000"/>
                <w:sz w:val="18"/>
                <w:szCs w:val="18"/>
                <w:lang w:val="sl-SI" w:eastAsia="en-GB"/>
              </w:rPr>
              <w:t>).</w:t>
            </w:r>
          </w:p>
        </w:tc>
        <w:tc>
          <w:tcPr>
            <w:tcW w:w="2043" w:type="dxa"/>
          </w:tcPr>
          <w:p w14:paraId="0E7BEB5A"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1279A7BE" w14:textId="77777777" w:rsidTr="008D5B31">
        <w:trPr>
          <w:trHeight w:val="559"/>
        </w:trPr>
        <w:tc>
          <w:tcPr>
            <w:tcW w:w="1418" w:type="dxa"/>
            <w:shd w:val="clear" w:color="auto" w:fill="auto"/>
            <w:noWrap/>
          </w:tcPr>
          <w:p w14:paraId="057BF3F0"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1.1-092</w:t>
            </w:r>
          </w:p>
        </w:tc>
        <w:tc>
          <w:tcPr>
            <w:tcW w:w="855" w:type="dxa"/>
            <w:shd w:val="clear" w:color="auto" w:fill="auto"/>
          </w:tcPr>
          <w:p w14:paraId="7F49FE19"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54A602F6"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4,5</w:t>
            </w:r>
          </w:p>
        </w:tc>
        <w:tc>
          <w:tcPr>
            <w:tcW w:w="8730" w:type="dxa"/>
            <w:shd w:val="clear" w:color="auto" w:fill="auto"/>
          </w:tcPr>
          <w:p w14:paraId="7FCC7732"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USAR Table 3.2-2, sh2/2</w:t>
            </w:r>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Refuelling</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Water</w:t>
            </w:r>
            <w:proofErr w:type="spellEnd"/>
            <w:r w:rsidRPr="00275FBD">
              <w:rPr>
                <w:rFonts w:asciiTheme="minorHAnsi" w:hAnsiTheme="minorHAnsi"/>
                <w:color w:val="000000"/>
                <w:sz w:val="18"/>
                <w:szCs w:val="18"/>
                <w:lang w:val="sl-SI" w:eastAsia="en-GB"/>
              </w:rPr>
              <w:t xml:space="preserve"> Storage and </w:t>
            </w:r>
            <w:proofErr w:type="spellStart"/>
            <w:r w:rsidRPr="00275FBD">
              <w:rPr>
                <w:rFonts w:asciiTheme="minorHAnsi" w:hAnsiTheme="minorHAnsi"/>
                <w:color w:val="000000"/>
                <w:sz w:val="18"/>
                <w:szCs w:val="18"/>
                <w:lang w:val="sl-SI" w:eastAsia="en-GB"/>
              </w:rPr>
              <w:t>Purification</w:t>
            </w:r>
            <w:proofErr w:type="spellEnd"/>
            <w:r w:rsidRPr="00275FBD">
              <w:rPr>
                <w:rFonts w:asciiTheme="minorHAnsi" w:hAnsiTheme="minorHAnsi"/>
                <w:color w:val="000000"/>
                <w:sz w:val="18"/>
                <w:szCs w:val="18"/>
                <w:lang w:val="sl-SI" w:eastAsia="en-GB"/>
              </w:rPr>
              <w:t xml:space="preserve">. RWST is </w:t>
            </w:r>
            <w:proofErr w:type="spellStart"/>
            <w:r w:rsidRPr="00275FBD">
              <w:rPr>
                <w:rFonts w:asciiTheme="minorHAnsi" w:hAnsiTheme="minorHAnsi"/>
                <w:color w:val="000000"/>
                <w:sz w:val="18"/>
                <w:szCs w:val="18"/>
                <w:lang w:val="sl-SI" w:eastAsia="en-GB"/>
              </w:rPr>
              <w:t>equipment</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important</w:t>
            </w:r>
            <w:proofErr w:type="spellEnd"/>
            <w:r w:rsidRPr="00275FBD">
              <w:rPr>
                <w:rFonts w:asciiTheme="minorHAnsi" w:hAnsiTheme="minorHAnsi"/>
                <w:color w:val="000000"/>
                <w:sz w:val="18"/>
                <w:szCs w:val="18"/>
                <w:lang w:val="sl-SI" w:eastAsia="en-GB"/>
              </w:rPr>
              <w:t xml:space="preserve"> for </w:t>
            </w:r>
            <w:proofErr w:type="spellStart"/>
            <w:r w:rsidRPr="00275FBD">
              <w:rPr>
                <w:rFonts w:asciiTheme="minorHAnsi" w:hAnsiTheme="minorHAnsi"/>
                <w:color w:val="000000"/>
                <w:sz w:val="18"/>
                <w:szCs w:val="18"/>
                <w:lang w:val="sl-SI" w:eastAsia="en-GB"/>
              </w:rPr>
              <w:t>accident</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mitigation</w:t>
            </w:r>
            <w:proofErr w:type="spellEnd"/>
            <w:r w:rsidRPr="00275FBD">
              <w:rPr>
                <w:rFonts w:asciiTheme="minorHAnsi" w:hAnsiTheme="minorHAnsi"/>
                <w:color w:val="000000"/>
                <w:sz w:val="18"/>
                <w:szCs w:val="18"/>
                <w:lang w:val="sl-SI" w:eastAsia="en-GB"/>
              </w:rPr>
              <w:t xml:space="preserve">. USAR figure </w:t>
            </w:r>
            <w:proofErr w:type="spellStart"/>
            <w:r w:rsidRPr="00275FBD">
              <w:rPr>
                <w:rFonts w:asciiTheme="minorHAnsi" w:hAnsiTheme="minorHAnsi"/>
                <w:color w:val="000000"/>
                <w:sz w:val="18"/>
                <w:szCs w:val="18"/>
                <w:lang w:val="sl-SI" w:eastAsia="en-GB"/>
              </w:rPr>
              <w:t>missing</w:t>
            </w:r>
            <w:proofErr w:type="spellEnd"/>
            <w:r w:rsidRPr="00275FBD">
              <w:rPr>
                <w:rFonts w:asciiTheme="minorHAnsi" w:hAnsiTheme="minorHAnsi"/>
                <w:color w:val="000000"/>
                <w:sz w:val="18"/>
                <w:szCs w:val="18"/>
                <w:lang w:val="sl-SI" w:eastAsia="en-GB"/>
              </w:rPr>
              <w:t xml:space="preserve"> (WS </w:t>
            </w:r>
            <w:proofErr w:type="spellStart"/>
            <w:r w:rsidRPr="00275FBD">
              <w:rPr>
                <w:rFonts w:asciiTheme="minorHAnsi" w:hAnsiTheme="minorHAnsi"/>
                <w:color w:val="000000"/>
                <w:sz w:val="18"/>
                <w:szCs w:val="18"/>
                <w:lang w:val="sl-SI" w:eastAsia="en-GB"/>
              </w:rPr>
              <w:t>system</w:t>
            </w:r>
            <w:proofErr w:type="spellEnd"/>
            <w:r w:rsidRPr="00275FBD">
              <w:rPr>
                <w:rFonts w:asciiTheme="minorHAnsi" w:hAnsiTheme="minorHAnsi"/>
                <w:color w:val="000000"/>
                <w:sz w:val="18"/>
                <w:szCs w:val="18"/>
                <w:lang w:val="sl-SI" w:eastAsia="en-GB"/>
              </w:rPr>
              <w:t xml:space="preserve"> ref. D-302-701)</w:t>
            </w:r>
          </w:p>
        </w:tc>
        <w:tc>
          <w:tcPr>
            <w:tcW w:w="2043" w:type="dxa"/>
          </w:tcPr>
          <w:p w14:paraId="6205C594"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3409F6E1" w14:textId="77777777" w:rsidTr="008D5B31">
        <w:trPr>
          <w:trHeight w:val="559"/>
        </w:trPr>
        <w:tc>
          <w:tcPr>
            <w:tcW w:w="1418" w:type="dxa"/>
            <w:shd w:val="clear" w:color="auto" w:fill="auto"/>
            <w:noWrap/>
          </w:tcPr>
          <w:p w14:paraId="6024E9DB"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1.1-115</w:t>
            </w:r>
          </w:p>
        </w:tc>
        <w:tc>
          <w:tcPr>
            <w:tcW w:w="855" w:type="dxa"/>
            <w:shd w:val="clear" w:color="auto" w:fill="auto"/>
          </w:tcPr>
          <w:p w14:paraId="032C5B7E"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57BE9796"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4,5</w:t>
            </w:r>
          </w:p>
        </w:tc>
        <w:tc>
          <w:tcPr>
            <w:tcW w:w="8730" w:type="dxa"/>
            <w:shd w:val="clear" w:color="auto" w:fill="auto"/>
          </w:tcPr>
          <w:p w14:paraId="45CA32C8"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PSR2-1.1-61:</w:t>
            </w:r>
            <w:r w:rsidRPr="00275FBD">
              <w:rPr>
                <w:rFonts w:asciiTheme="minorHAnsi" w:hAnsiTheme="minorHAnsi"/>
                <w:color w:val="000000"/>
                <w:sz w:val="18"/>
                <w:szCs w:val="18"/>
                <w:lang w:val="sl-SI" w:eastAsia="en-GB"/>
              </w:rPr>
              <w:t xml:space="preserve"> Design </w:t>
            </w:r>
            <w:proofErr w:type="spellStart"/>
            <w:r w:rsidRPr="00275FBD">
              <w:rPr>
                <w:rFonts w:asciiTheme="minorHAnsi" w:hAnsiTheme="minorHAnsi"/>
                <w:color w:val="000000"/>
                <w:sz w:val="18"/>
                <w:szCs w:val="18"/>
                <w:lang w:val="sl-SI" w:eastAsia="en-GB"/>
              </w:rPr>
              <w:t>Bases</w:t>
            </w:r>
            <w:proofErr w:type="spellEnd"/>
            <w:r w:rsidRPr="00275FBD">
              <w:rPr>
                <w:rFonts w:asciiTheme="minorHAnsi" w:hAnsiTheme="minorHAnsi"/>
                <w:color w:val="000000"/>
                <w:sz w:val="18"/>
                <w:szCs w:val="18"/>
                <w:lang w:val="sl-SI" w:eastAsia="en-GB"/>
              </w:rPr>
              <w:t xml:space="preserve">: The </w:t>
            </w:r>
            <w:proofErr w:type="spellStart"/>
            <w:r w:rsidRPr="00275FBD">
              <w:rPr>
                <w:rFonts w:asciiTheme="minorHAnsi" w:hAnsiTheme="minorHAnsi"/>
                <w:color w:val="000000"/>
                <w:sz w:val="18"/>
                <w:szCs w:val="18"/>
                <w:lang w:val="sl-SI" w:eastAsia="en-GB"/>
              </w:rPr>
              <w:t>missing</w:t>
            </w:r>
            <w:proofErr w:type="spellEnd"/>
            <w:r w:rsidRPr="00275FBD">
              <w:rPr>
                <w:rFonts w:asciiTheme="minorHAnsi" w:hAnsiTheme="minorHAnsi"/>
                <w:color w:val="000000"/>
                <w:sz w:val="18"/>
                <w:szCs w:val="18"/>
                <w:lang w:val="sl-SI" w:eastAsia="en-GB"/>
              </w:rPr>
              <w:t xml:space="preserve"> RG and IEEE Standards </w:t>
            </w:r>
            <w:proofErr w:type="spellStart"/>
            <w:r w:rsidRPr="00275FBD">
              <w:rPr>
                <w:rFonts w:asciiTheme="minorHAnsi" w:hAnsiTheme="minorHAnsi"/>
                <w:color w:val="000000"/>
                <w:sz w:val="18"/>
                <w:szCs w:val="18"/>
                <w:lang w:val="sl-SI" w:eastAsia="en-GB"/>
              </w:rPr>
              <w:t>should</w:t>
            </w:r>
            <w:proofErr w:type="spellEnd"/>
            <w:r w:rsidRPr="00275FBD">
              <w:rPr>
                <w:rFonts w:asciiTheme="minorHAnsi" w:hAnsiTheme="minorHAnsi"/>
                <w:color w:val="000000"/>
                <w:sz w:val="18"/>
                <w:szCs w:val="18"/>
                <w:lang w:val="sl-SI" w:eastAsia="en-GB"/>
              </w:rPr>
              <w:t xml:space="preserve"> be </w:t>
            </w:r>
            <w:proofErr w:type="spellStart"/>
            <w:r w:rsidRPr="00275FBD">
              <w:rPr>
                <w:rFonts w:asciiTheme="minorHAnsi" w:hAnsiTheme="minorHAnsi"/>
                <w:color w:val="000000"/>
                <w:sz w:val="18"/>
                <w:szCs w:val="18"/>
                <w:lang w:val="sl-SI" w:eastAsia="en-GB"/>
              </w:rPr>
              <w:t>added</w:t>
            </w:r>
            <w:proofErr w:type="spellEnd"/>
            <w:r w:rsidRPr="00275FBD">
              <w:rPr>
                <w:rFonts w:asciiTheme="minorHAnsi" w:hAnsiTheme="minorHAnsi"/>
                <w:color w:val="000000"/>
                <w:sz w:val="18"/>
                <w:szCs w:val="18"/>
                <w:lang w:val="sl-SI" w:eastAsia="en-GB"/>
              </w:rPr>
              <w:t xml:space="preserve"> to NEK USAR </w:t>
            </w:r>
            <w:proofErr w:type="spellStart"/>
            <w:r w:rsidRPr="00275FBD">
              <w:rPr>
                <w:rFonts w:asciiTheme="minorHAnsi" w:hAnsiTheme="minorHAnsi"/>
                <w:color w:val="000000"/>
                <w:sz w:val="18"/>
                <w:szCs w:val="18"/>
                <w:lang w:val="sl-SI" w:eastAsia="en-GB"/>
              </w:rPr>
              <w:t>document</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This</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issue</w:t>
            </w:r>
            <w:proofErr w:type="spellEnd"/>
            <w:r w:rsidRPr="00275FBD">
              <w:rPr>
                <w:rFonts w:asciiTheme="minorHAnsi" w:hAnsiTheme="minorHAnsi"/>
                <w:color w:val="000000"/>
                <w:sz w:val="18"/>
                <w:szCs w:val="18"/>
                <w:lang w:val="sl-SI" w:eastAsia="en-GB"/>
              </w:rPr>
              <w:t xml:space="preserve"> is </w:t>
            </w:r>
            <w:proofErr w:type="spellStart"/>
            <w:r w:rsidRPr="00275FBD">
              <w:rPr>
                <w:rFonts w:asciiTheme="minorHAnsi" w:hAnsiTheme="minorHAnsi"/>
                <w:color w:val="000000"/>
                <w:sz w:val="18"/>
                <w:szCs w:val="18"/>
                <w:lang w:val="sl-SI" w:eastAsia="en-GB"/>
              </w:rPr>
              <w:t>related</w:t>
            </w:r>
            <w:proofErr w:type="spellEnd"/>
            <w:r w:rsidRPr="00275FBD">
              <w:rPr>
                <w:rFonts w:asciiTheme="minorHAnsi" w:hAnsiTheme="minorHAnsi"/>
                <w:color w:val="000000"/>
                <w:sz w:val="18"/>
                <w:szCs w:val="18"/>
                <w:lang w:val="sl-SI" w:eastAsia="en-GB"/>
              </w:rPr>
              <w:t xml:space="preserve"> to PSR3-1.1-08.</w:t>
            </w:r>
          </w:p>
        </w:tc>
        <w:tc>
          <w:tcPr>
            <w:tcW w:w="2043" w:type="dxa"/>
          </w:tcPr>
          <w:p w14:paraId="790AF29A"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0E2CEAFA" w14:textId="77777777" w:rsidTr="008D5B31">
        <w:trPr>
          <w:trHeight w:val="559"/>
        </w:trPr>
        <w:tc>
          <w:tcPr>
            <w:tcW w:w="1418" w:type="dxa"/>
            <w:shd w:val="clear" w:color="auto" w:fill="auto"/>
            <w:noWrap/>
          </w:tcPr>
          <w:p w14:paraId="7D50F605"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lastRenderedPageBreak/>
              <w:t>PSR3 1.2-005</w:t>
            </w:r>
          </w:p>
        </w:tc>
        <w:tc>
          <w:tcPr>
            <w:tcW w:w="855" w:type="dxa"/>
            <w:shd w:val="clear" w:color="auto" w:fill="auto"/>
          </w:tcPr>
          <w:p w14:paraId="25FB0751"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2A547EAD"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4,5</w:t>
            </w:r>
          </w:p>
        </w:tc>
        <w:tc>
          <w:tcPr>
            <w:tcW w:w="8730" w:type="dxa"/>
            <w:shd w:val="clear" w:color="auto" w:fill="auto"/>
          </w:tcPr>
          <w:p w14:paraId="068C7AEF"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 xml:space="preserve">TD-2C </w:t>
            </w:r>
            <w:proofErr w:type="spellStart"/>
            <w:r w:rsidRPr="00275FBD">
              <w:rPr>
                <w:rFonts w:asciiTheme="minorHAnsi" w:hAnsiTheme="minorHAnsi"/>
                <w:b/>
                <w:bCs/>
                <w:color w:val="000000"/>
                <w:sz w:val="18"/>
                <w:szCs w:val="18"/>
                <w:lang w:val="sl-SI" w:eastAsia="en-GB"/>
              </w:rPr>
              <w:t>incorrect</w:t>
            </w:r>
            <w:proofErr w:type="spellEnd"/>
            <w:r w:rsidRPr="00275FBD">
              <w:rPr>
                <w:rFonts w:asciiTheme="minorHAnsi" w:hAnsiTheme="minorHAnsi"/>
                <w:b/>
                <w:bCs/>
                <w:color w:val="000000"/>
                <w:sz w:val="18"/>
                <w:szCs w:val="18"/>
                <w:lang w:val="sl-SI" w:eastAsia="en-GB"/>
              </w:rPr>
              <w:t xml:space="preserve"> reference</w:t>
            </w:r>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Incorrect</w:t>
            </w:r>
            <w:proofErr w:type="spellEnd"/>
            <w:r w:rsidRPr="00275FBD">
              <w:rPr>
                <w:rFonts w:asciiTheme="minorHAnsi" w:hAnsiTheme="minorHAnsi"/>
                <w:color w:val="000000"/>
                <w:sz w:val="18"/>
                <w:szCs w:val="18"/>
                <w:lang w:val="sl-SI" w:eastAsia="en-GB"/>
              </w:rPr>
              <w:t xml:space="preserve"> reference (ref. 2.15) (see PSR3-NEK-1.2.2)</w:t>
            </w:r>
          </w:p>
        </w:tc>
        <w:tc>
          <w:tcPr>
            <w:tcW w:w="2043" w:type="dxa"/>
          </w:tcPr>
          <w:p w14:paraId="5654CC42"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4E530107" w14:textId="77777777" w:rsidTr="008D5B31">
        <w:trPr>
          <w:trHeight w:val="559"/>
        </w:trPr>
        <w:tc>
          <w:tcPr>
            <w:tcW w:w="1418" w:type="dxa"/>
            <w:shd w:val="clear" w:color="auto" w:fill="auto"/>
            <w:noWrap/>
          </w:tcPr>
          <w:p w14:paraId="6C3F3AFB"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1.2-006</w:t>
            </w:r>
          </w:p>
        </w:tc>
        <w:tc>
          <w:tcPr>
            <w:tcW w:w="855" w:type="dxa"/>
            <w:shd w:val="clear" w:color="auto" w:fill="auto"/>
          </w:tcPr>
          <w:p w14:paraId="50C697EF"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6DBF831D"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4,5</w:t>
            </w:r>
          </w:p>
        </w:tc>
        <w:tc>
          <w:tcPr>
            <w:tcW w:w="8730" w:type="dxa"/>
            <w:shd w:val="clear" w:color="auto" w:fill="auto"/>
          </w:tcPr>
          <w:p w14:paraId="6715E0D3"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 xml:space="preserve">ADP-1.4-003 </w:t>
            </w:r>
            <w:proofErr w:type="spellStart"/>
            <w:r w:rsidRPr="00275FBD">
              <w:rPr>
                <w:rFonts w:asciiTheme="minorHAnsi" w:hAnsiTheme="minorHAnsi"/>
                <w:b/>
                <w:bCs/>
                <w:color w:val="000000"/>
                <w:sz w:val="18"/>
                <w:szCs w:val="18"/>
                <w:lang w:val="sl-SI" w:eastAsia="en-GB"/>
              </w:rPr>
              <w:t>incorrect</w:t>
            </w:r>
            <w:proofErr w:type="spellEnd"/>
            <w:r w:rsidRPr="00275FBD">
              <w:rPr>
                <w:rFonts w:asciiTheme="minorHAnsi" w:hAnsiTheme="minorHAnsi"/>
                <w:b/>
                <w:bCs/>
                <w:color w:val="000000"/>
                <w:sz w:val="18"/>
                <w:szCs w:val="18"/>
                <w:lang w:val="sl-SI" w:eastAsia="en-GB"/>
              </w:rPr>
              <w:t xml:space="preserve"> reference</w:t>
            </w:r>
            <w:r w:rsidRPr="00275FBD">
              <w:rPr>
                <w:rFonts w:asciiTheme="minorHAnsi" w:hAnsiTheme="minorHAnsi"/>
                <w:color w:val="000000"/>
                <w:sz w:val="18"/>
                <w:szCs w:val="18"/>
                <w:lang w:val="sl-SI" w:eastAsia="en-GB"/>
              </w:rPr>
              <w:t xml:space="preserve">: The </w:t>
            </w:r>
            <w:proofErr w:type="spellStart"/>
            <w:r w:rsidRPr="00275FBD">
              <w:rPr>
                <w:rFonts w:asciiTheme="minorHAnsi" w:hAnsiTheme="minorHAnsi"/>
                <w:color w:val="000000"/>
                <w:sz w:val="18"/>
                <w:szCs w:val="18"/>
                <w:lang w:val="sl-SI" w:eastAsia="en-GB"/>
              </w:rPr>
              <w:t>references</w:t>
            </w:r>
            <w:proofErr w:type="spellEnd"/>
            <w:r w:rsidRPr="00275FBD">
              <w:rPr>
                <w:rFonts w:asciiTheme="minorHAnsi" w:hAnsiTheme="minorHAnsi"/>
                <w:color w:val="000000"/>
                <w:sz w:val="18"/>
                <w:szCs w:val="18"/>
                <w:lang w:val="sl-SI" w:eastAsia="en-GB"/>
              </w:rPr>
              <w:t xml:space="preserve"> for EQMEL and EQSEL are </w:t>
            </w:r>
            <w:proofErr w:type="spellStart"/>
            <w:r w:rsidRPr="00275FBD">
              <w:rPr>
                <w:rFonts w:asciiTheme="minorHAnsi" w:hAnsiTheme="minorHAnsi"/>
                <w:color w:val="000000"/>
                <w:sz w:val="18"/>
                <w:szCs w:val="18"/>
                <w:lang w:val="sl-SI" w:eastAsia="en-GB"/>
              </w:rPr>
              <w:t>wrong</w:t>
            </w:r>
            <w:proofErr w:type="spellEnd"/>
            <w:r w:rsidRPr="00275FBD">
              <w:rPr>
                <w:rFonts w:asciiTheme="minorHAnsi" w:hAnsiTheme="minorHAnsi"/>
                <w:color w:val="000000"/>
                <w:sz w:val="18"/>
                <w:szCs w:val="18"/>
                <w:lang w:val="sl-SI" w:eastAsia="en-GB"/>
              </w:rPr>
              <w:t>. (See PSR3-NEK-1.2.2)</w:t>
            </w:r>
          </w:p>
        </w:tc>
        <w:tc>
          <w:tcPr>
            <w:tcW w:w="2043" w:type="dxa"/>
          </w:tcPr>
          <w:p w14:paraId="4D5EF111"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109C6086" w14:textId="77777777" w:rsidTr="008D5B31">
        <w:trPr>
          <w:trHeight w:val="559"/>
        </w:trPr>
        <w:tc>
          <w:tcPr>
            <w:tcW w:w="1418" w:type="dxa"/>
            <w:shd w:val="clear" w:color="auto" w:fill="auto"/>
            <w:noWrap/>
          </w:tcPr>
          <w:p w14:paraId="615B39F0"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1.2-007</w:t>
            </w:r>
          </w:p>
        </w:tc>
        <w:tc>
          <w:tcPr>
            <w:tcW w:w="855" w:type="dxa"/>
            <w:shd w:val="clear" w:color="auto" w:fill="auto"/>
          </w:tcPr>
          <w:p w14:paraId="03CAA893"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10B1B099"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4,5</w:t>
            </w:r>
          </w:p>
        </w:tc>
        <w:tc>
          <w:tcPr>
            <w:tcW w:w="8730" w:type="dxa"/>
            <w:shd w:val="clear" w:color="auto" w:fill="auto"/>
          </w:tcPr>
          <w:p w14:paraId="0BD0A2F8"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 xml:space="preserve">TD-0D </w:t>
            </w:r>
            <w:proofErr w:type="spellStart"/>
            <w:r w:rsidRPr="00275FBD">
              <w:rPr>
                <w:rFonts w:asciiTheme="minorHAnsi" w:hAnsiTheme="minorHAnsi"/>
                <w:b/>
                <w:bCs/>
                <w:color w:val="000000"/>
                <w:sz w:val="18"/>
                <w:szCs w:val="18"/>
                <w:lang w:val="sl-SI" w:eastAsia="en-GB"/>
              </w:rPr>
              <w:t>incorrect</w:t>
            </w:r>
            <w:proofErr w:type="spellEnd"/>
            <w:r w:rsidRPr="00275FBD">
              <w:rPr>
                <w:rFonts w:asciiTheme="minorHAnsi" w:hAnsiTheme="minorHAnsi"/>
                <w:b/>
                <w:bCs/>
                <w:color w:val="000000"/>
                <w:sz w:val="18"/>
                <w:szCs w:val="18"/>
                <w:lang w:val="sl-SI" w:eastAsia="en-GB"/>
              </w:rPr>
              <w:t xml:space="preserve"> reference</w:t>
            </w:r>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Incorrect</w:t>
            </w:r>
            <w:proofErr w:type="spellEnd"/>
            <w:r w:rsidRPr="00275FBD">
              <w:rPr>
                <w:rFonts w:asciiTheme="minorHAnsi" w:hAnsiTheme="minorHAnsi"/>
                <w:color w:val="000000"/>
                <w:sz w:val="18"/>
                <w:szCs w:val="18"/>
                <w:lang w:val="sl-SI" w:eastAsia="en-GB"/>
              </w:rPr>
              <w:t xml:space="preserve"> reference TD-1J (see PSR3-NEK-1.2.2).</w:t>
            </w:r>
          </w:p>
        </w:tc>
        <w:tc>
          <w:tcPr>
            <w:tcW w:w="2043" w:type="dxa"/>
          </w:tcPr>
          <w:p w14:paraId="5E08BF36"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42D57A4E" w14:textId="77777777" w:rsidTr="008D5B31">
        <w:trPr>
          <w:trHeight w:val="559"/>
        </w:trPr>
        <w:tc>
          <w:tcPr>
            <w:tcW w:w="1418" w:type="dxa"/>
            <w:shd w:val="clear" w:color="auto" w:fill="auto"/>
            <w:noWrap/>
          </w:tcPr>
          <w:p w14:paraId="5A2FA95A"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1.2-008</w:t>
            </w:r>
          </w:p>
        </w:tc>
        <w:tc>
          <w:tcPr>
            <w:tcW w:w="855" w:type="dxa"/>
            <w:shd w:val="clear" w:color="auto" w:fill="auto"/>
          </w:tcPr>
          <w:p w14:paraId="7180D622"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76A3BA87"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4,5</w:t>
            </w:r>
          </w:p>
        </w:tc>
        <w:tc>
          <w:tcPr>
            <w:tcW w:w="8730" w:type="dxa"/>
            <w:shd w:val="clear" w:color="auto" w:fill="auto"/>
          </w:tcPr>
          <w:p w14:paraId="0237C7B4"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 xml:space="preserve">ADP-1.4.456 </w:t>
            </w:r>
            <w:proofErr w:type="spellStart"/>
            <w:r w:rsidRPr="00275FBD">
              <w:rPr>
                <w:rFonts w:asciiTheme="minorHAnsi" w:hAnsiTheme="minorHAnsi"/>
                <w:b/>
                <w:bCs/>
                <w:color w:val="000000"/>
                <w:sz w:val="18"/>
                <w:szCs w:val="18"/>
                <w:lang w:val="sl-SI" w:eastAsia="en-GB"/>
              </w:rPr>
              <w:t>suspended</w:t>
            </w:r>
            <w:proofErr w:type="spellEnd"/>
            <w:r w:rsidRPr="00275FBD">
              <w:rPr>
                <w:rFonts w:asciiTheme="minorHAnsi" w:hAnsiTheme="minorHAnsi"/>
                <w:b/>
                <w:bCs/>
                <w:color w:val="000000"/>
                <w:sz w:val="18"/>
                <w:szCs w:val="18"/>
                <w:lang w:val="sl-SI" w:eastAsia="en-GB"/>
              </w:rPr>
              <w:t xml:space="preserve"> reference</w:t>
            </w:r>
            <w:r w:rsidRPr="00275FBD">
              <w:rPr>
                <w:rFonts w:asciiTheme="minorHAnsi" w:hAnsiTheme="minorHAnsi"/>
                <w:color w:val="000000"/>
                <w:sz w:val="18"/>
                <w:szCs w:val="18"/>
                <w:lang w:val="sl-SI" w:eastAsia="en-GB"/>
              </w:rPr>
              <w:t xml:space="preserve">: NUREG-1801, September 2005 is </w:t>
            </w:r>
            <w:proofErr w:type="spellStart"/>
            <w:r w:rsidRPr="00275FBD">
              <w:rPr>
                <w:rFonts w:asciiTheme="minorHAnsi" w:hAnsiTheme="minorHAnsi"/>
                <w:color w:val="000000"/>
                <w:sz w:val="18"/>
                <w:szCs w:val="18"/>
                <w:lang w:val="sl-SI" w:eastAsia="en-GB"/>
              </w:rPr>
              <w:t>suspended</w:t>
            </w:r>
            <w:proofErr w:type="spellEnd"/>
            <w:r w:rsidRPr="00275FBD">
              <w:rPr>
                <w:rFonts w:asciiTheme="minorHAnsi" w:hAnsiTheme="minorHAnsi"/>
                <w:color w:val="000000"/>
                <w:sz w:val="18"/>
                <w:szCs w:val="18"/>
                <w:lang w:val="sl-SI" w:eastAsia="en-GB"/>
              </w:rPr>
              <w:t>. (See PSR3-NEK-1.2.2)</w:t>
            </w:r>
          </w:p>
        </w:tc>
        <w:tc>
          <w:tcPr>
            <w:tcW w:w="2043" w:type="dxa"/>
          </w:tcPr>
          <w:p w14:paraId="30F50534"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770E7D34" w14:textId="77777777" w:rsidTr="008D5B31">
        <w:trPr>
          <w:trHeight w:val="559"/>
        </w:trPr>
        <w:tc>
          <w:tcPr>
            <w:tcW w:w="1418" w:type="dxa"/>
            <w:shd w:val="clear" w:color="auto" w:fill="auto"/>
            <w:noWrap/>
          </w:tcPr>
          <w:p w14:paraId="12C1C7B9"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1.2-009</w:t>
            </w:r>
          </w:p>
        </w:tc>
        <w:tc>
          <w:tcPr>
            <w:tcW w:w="855" w:type="dxa"/>
            <w:shd w:val="clear" w:color="auto" w:fill="auto"/>
          </w:tcPr>
          <w:p w14:paraId="2F17BF54"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3D13B90E"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4,5</w:t>
            </w:r>
          </w:p>
        </w:tc>
        <w:tc>
          <w:tcPr>
            <w:tcW w:w="8730" w:type="dxa"/>
            <w:shd w:val="clear" w:color="auto" w:fill="auto"/>
          </w:tcPr>
          <w:p w14:paraId="38AF2920"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 xml:space="preserve">MD-5 </w:t>
            </w:r>
            <w:proofErr w:type="spellStart"/>
            <w:r w:rsidRPr="00275FBD">
              <w:rPr>
                <w:rFonts w:asciiTheme="minorHAnsi" w:hAnsiTheme="minorHAnsi"/>
                <w:b/>
                <w:bCs/>
                <w:color w:val="000000"/>
                <w:sz w:val="18"/>
                <w:szCs w:val="18"/>
                <w:lang w:val="sl-SI" w:eastAsia="en-GB"/>
              </w:rPr>
              <w:t>incorrect</w:t>
            </w:r>
            <w:proofErr w:type="spellEnd"/>
            <w:r w:rsidRPr="00275FBD">
              <w:rPr>
                <w:rFonts w:asciiTheme="minorHAnsi" w:hAnsiTheme="minorHAnsi"/>
                <w:b/>
                <w:bCs/>
                <w:color w:val="000000"/>
                <w:sz w:val="18"/>
                <w:szCs w:val="18"/>
                <w:lang w:val="sl-SI" w:eastAsia="en-GB"/>
              </w:rPr>
              <w:t xml:space="preserve"> reference</w:t>
            </w:r>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Incorrect</w:t>
            </w:r>
            <w:proofErr w:type="spellEnd"/>
            <w:r w:rsidRPr="00275FBD">
              <w:rPr>
                <w:rFonts w:asciiTheme="minorHAnsi" w:hAnsiTheme="minorHAnsi"/>
                <w:color w:val="000000"/>
                <w:sz w:val="18"/>
                <w:szCs w:val="18"/>
                <w:lang w:val="sl-SI" w:eastAsia="en-GB"/>
              </w:rPr>
              <w:t xml:space="preserve"> reference ADP-1.1.116 (see PSR3-NEK-1.2.2)</w:t>
            </w:r>
          </w:p>
        </w:tc>
        <w:tc>
          <w:tcPr>
            <w:tcW w:w="2043" w:type="dxa"/>
          </w:tcPr>
          <w:p w14:paraId="32C97EB4"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4840C7C8" w14:textId="77777777" w:rsidTr="008D5B31">
        <w:trPr>
          <w:trHeight w:val="559"/>
        </w:trPr>
        <w:tc>
          <w:tcPr>
            <w:tcW w:w="1418" w:type="dxa"/>
            <w:shd w:val="clear" w:color="auto" w:fill="auto"/>
            <w:noWrap/>
          </w:tcPr>
          <w:p w14:paraId="01E62E7A"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1.2-011</w:t>
            </w:r>
          </w:p>
        </w:tc>
        <w:tc>
          <w:tcPr>
            <w:tcW w:w="855" w:type="dxa"/>
            <w:shd w:val="clear" w:color="auto" w:fill="auto"/>
          </w:tcPr>
          <w:p w14:paraId="7691B816"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4F5025EB"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4,5</w:t>
            </w:r>
          </w:p>
        </w:tc>
        <w:tc>
          <w:tcPr>
            <w:tcW w:w="8730" w:type="dxa"/>
            <w:shd w:val="clear" w:color="auto" w:fill="auto"/>
          </w:tcPr>
          <w:p w14:paraId="50CB97CA"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 xml:space="preserve">TD-2XX </w:t>
            </w:r>
            <w:proofErr w:type="spellStart"/>
            <w:r w:rsidRPr="00275FBD">
              <w:rPr>
                <w:rFonts w:asciiTheme="minorHAnsi" w:hAnsiTheme="minorHAnsi"/>
                <w:b/>
                <w:bCs/>
                <w:color w:val="000000"/>
                <w:sz w:val="18"/>
                <w:szCs w:val="18"/>
                <w:lang w:val="sl-SI" w:eastAsia="en-GB"/>
              </w:rPr>
              <w:t>missing</w:t>
            </w:r>
            <w:proofErr w:type="spellEnd"/>
            <w:r w:rsidRPr="00275FBD">
              <w:rPr>
                <w:rFonts w:asciiTheme="minorHAnsi" w:hAnsiTheme="minorHAnsi"/>
                <w:b/>
                <w:bCs/>
                <w:color w:val="000000"/>
                <w:sz w:val="18"/>
                <w:szCs w:val="18"/>
                <w:lang w:val="sl-SI" w:eastAsia="en-GB"/>
              </w:rPr>
              <w:t xml:space="preserve"> CC </w:t>
            </w:r>
            <w:proofErr w:type="spellStart"/>
            <w:r w:rsidRPr="00275FBD">
              <w:rPr>
                <w:rFonts w:asciiTheme="minorHAnsi" w:hAnsiTheme="minorHAnsi"/>
                <w:b/>
                <w:bCs/>
                <w:color w:val="000000"/>
                <w:sz w:val="18"/>
                <w:szCs w:val="18"/>
                <w:lang w:val="sl-SI" w:eastAsia="en-GB"/>
              </w:rPr>
              <w:t>system</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References</w:t>
            </w:r>
            <w:proofErr w:type="spellEnd"/>
            <w:r w:rsidRPr="00275FBD">
              <w:rPr>
                <w:rFonts w:asciiTheme="minorHAnsi" w:hAnsiTheme="minorHAnsi"/>
                <w:color w:val="000000"/>
                <w:sz w:val="18"/>
                <w:szCs w:val="18"/>
                <w:lang w:val="sl-SI" w:eastAsia="en-GB"/>
              </w:rPr>
              <w:t xml:space="preserve"> for AMP of CS, CZ, VA and SS </w:t>
            </w:r>
            <w:proofErr w:type="spellStart"/>
            <w:r w:rsidRPr="00275FBD">
              <w:rPr>
                <w:rFonts w:asciiTheme="minorHAnsi" w:hAnsiTheme="minorHAnsi"/>
                <w:color w:val="000000"/>
                <w:sz w:val="18"/>
                <w:szCs w:val="18"/>
                <w:lang w:val="sl-SI" w:eastAsia="en-GB"/>
              </w:rPr>
              <w:t>systems</w:t>
            </w:r>
            <w:proofErr w:type="spellEnd"/>
            <w:r w:rsidRPr="00275FBD">
              <w:rPr>
                <w:rFonts w:asciiTheme="minorHAnsi" w:hAnsiTheme="minorHAnsi"/>
                <w:color w:val="000000"/>
                <w:sz w:val="18"/>
                <w:szCs w:val="18"/>
                <w:lang w:val="sl-SI" w:eastAsia="en-GB"/>
              </w:rPr>
              <w:t xml:space="preserve"> are not </w:t>
            </w:r>
            <w:proofErr w:type="spellStart"/>
            <w:r w:rsidRPr="00275FBD">
              <w:rPr>
                <w:rFonts w:asciiTheme="minorHAnsi" w:hAnsiTheme="minorHAnsi"/>
                <w:color w:val="000000"/>
                <w:sz w:val="18"/>
                <w:szCs w:val="18"/>
                <w:lang w:val="sl-SI" w:eastAsia="en-GB"/>
              </w:rPr>
              <w:t>included</w:t>
            </w:r>
            <w:proofErr w:type="spellEnd"/>
            <w:r w:rsidRPr="00275FBD">
              <w:rPr>
                <w:rFonts w:asciiTheme="minorHAnsi" w:hAnsiTheme="minorHAnsi"/>
                <w:color w:val="000000"/>
                <w:sz w:val="18"/>
                <w:szCs w:val="18"/>
                <w:lang w:val="sl-SI" w:eastAsia="en-GB"/>
              </w:rPr>
              <w:t xml:space="preserve"> in TD-2XX (see PSR3-NEK-1.2.2)</w:t>
            </w:r>
          </w:p>
        </w:tc>
        <w:tc>
          <w:tcPr>
            <w:tcW w:w="2043" w:type="dxa"/>
          </w:tcPr>
          <w:p w14:paraId="2D8AFE0B"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II</w:t>
            </w:r>
          </w:p>
        </w:tc>
      </w:tr>
      <w:tr w:rsidR="00935B67" w:rsidRPr="00275FBD" w14:paraId="2E7A0E5D" w14:textId="77777777" w:rsidTr="008D5B31">
        <w:trPr>
          <w:trHeight w:val="559"/>
        </w:trPr>
        <w:tc>
          <w:tcPr>
            <w:tcW w:w="1418" w:type="dxa"/>
            <w:shd w:val="clear" w:color="auto" w:fill="auto"/>
            <w:noWrap/>
          </w:tcPr>
          <w:p w14:paraId="783D310C"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1.2-013</w:t>
            </w:r>
          </w:p>
        </w:tc>
        <w:tc>
          <w:tcPr>
            <w:tcW w:w="855" w:type="dxa"/>
            <w:shd w:val="clear" w:color="auto" w:fill="auto"/>
          </w:tcPr>
          <w:p w14:paraId="5E8FA10E"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47226E20"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4,5</w:t>
            </w:r>
          </w:p>
        </w:tc>
        <w:tc>
          <w:tcPr>
            <w:tcW w:w="8730" w:type="dxa"/>
            <w:shd w:val="clear" w:color="auto" w:fill="auto"/>
          </w:tcPr>
          <w:p w14:paraId="0EE7ABE0"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 xml:space="preserve">ADP-1.4.150 </w:t>
            </w:r>
            <w:proofErr w:type="spellStart"/>
            <w:r w:rsidRPr="00275FBD">
              <w:rPr>
                <w:rFonts w:asciiTheme="minorHAnsi" w:hAnsiTheme="minorHAnsi"/>
                <w:b/>
                <w:bCs/>
                <w:color w:val="000000"/>
                <w:sz w:val="18"/>
                <w:szCs w:val="18"/>
                <w:lang w:val="sl-SI" w:eastAsia="en-GB"/>
              </w:rPr>
              <w:t>imperfection</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Oil</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exchange</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frequency</w:t>
            </w:r>
            <w:proofErr w:type="spellEnd"/>
            <w:r w:rsidRPr="00275FBD">
              <w:rPr>
                <w:rFonts w:asciiTheme="minorHAnsi" w:hAnsiTheme="minorHAnsi"/>
                <w:color w:val="000000"/>
                <w:sz w:val="18"/>
                <w:szCs w:val="18"/>
                <w:lang w:val="sl-SI" w:eastAsia="en-GB"/>
              </w:rPr>
              <w:t xml:space="preserve"> in ADP-1.4.150 CC102PMP 01A) is defined by </w:t>
            </w:r>
            <w:proofErr w:type="spellStart"/>
            <w:r w:rsidRPr="00275FBD">
              <w:rPr>
                <w:rFonts w:asciiTheme="minorHAnsi" w:hAnsiTheme="minorHAnsi"/>
                <w:color w:val="000000"/>
                <w:sz w:val="18"/>
                <w:szCs w:val="18"/>
                <w:lang w:val="sl-SI" w:eastAsia="en-GB"/>
              </w:rPr>
              <w:t>mistake</w:t>
            </w:r>
            <w:proofErr w:type="spellEnd"/>
            <w:r w:rsidRPr="00275FBD">
              <w:rPr>
                <w:rFonts w:asciiTheme="minorHAnsi" w:hAnsiTheme="minorHAnsi"/>
                <w:color w:val="000000"/>
                <w:sz w:val="18"/>
                <w:szCs w:val="18"/>
                <w:lang w:val="sl-SI" w:eastAsia="en-GB"/>
              </w:rPr>
              <w:t xml:space="preserve"> 9 </w:t>
            </w:r>
            <w:proofErr w:type="spellStart"/>
            <w:r w:rsidRPr="00275FBD">
              <w:rPr>
                <w:rFonts w:asciiTheme="minorHAnsi" w:hAnsiTheme="minorHAnsi"/>
                <w:color w:val="000000"/>
                <w:sz w:val="18"/>
                <w:szCs w:val="18"/>
                <w:lang w:val="sl-SI" w:eastAsia="en-GB"/>
              </w:rPr>
              <w:t>months</w:t>
            </w:r>
            <w:proofErr w:type="spellEnd"/>
            <w:r w:rsidRPr="00275FBD">
              <w:rPr>
                <w:rFonts w:asciiTheme="minorHAnsi" w:hAnsiTheme="minorHAnsi"/>
                <w:color w:val="000000"/>
                <w:sz w:val="18"/>
                <w:szCs w:val="18"/>
                <w:lang w:val="sl-SI" w:eastAsia="en-GB"/>
              </w:rPr>
              <w:t xml:space="preserve"> in "Priloga 6.4", </w:t>
            </w:r>
            <w:proofErr w:type="spellStart"/>
            <w:r w:rsidRPr="00275FBD">
              <w:rPr>
                <w:rFonts w:asciiTheme="minorHAnsi" w:hAnsiTheme="minorHAnsi"/>
                <w:color w:val="000000"/>
                <w:sz w:val="18"/>
                <w:szCs w:val="18"/>
                <w:lang w:val="sl-SI" w:eastAsia="en-GB"/>
              </w:rPr>
              <w:t>while</w:t>
            </w:r>
            <w:proofErr w:type="spellEnd"/>
            <w:r w:rsidRPr="00275FBD">
              <w:rPr>
                <w:rFonts w:asciiTheme="minorHAnsi" w:hAnsiTheme="minorHAnsi"/>
                <w:color w:val="000000"/>
                <w:sz w:val="18"/>
                <w:szCs w:val="18"/>
                <w:lang w:val="sl-SI" w:eastAsia="en-GB"/>
              </w:rPr>
              <w:t xml:space="preserve"> it </w:t>
            </w:r>
            <w:proofErr w:type="spellStart"/>
            <w:r w:rsidRPr="00275FBD">
              <w:rPr>
                <w:rFonts w:asciiTheme="minorHAnsi" w:hAnsiTheme="minorHAnsi"/>
                <w:color w:val="000000"/>
                <w:sz w:val="18"/>
                <w:szCs w:val="18"/>
                <w:lang w:val="sl-SI" w:eastAsia="en-GB"/>
              </w:rPr>
              <w:t>should</w:t>
            </w:r>
            <w:proofErr w:type="spellEnd"/>
            <w:r w:rsidRPr="00275FBD">
              <w:rPr>
                <w:rFonts w:asciiTheme="minorHAnsi" w:hAnsiTheme="minorHAnsi"/>
                <w:color w:val="000000"/>
                <w:sz w:val="18"/>
                <w:szCs w:val="18"/>
                <w:lang w:val="sl-SI" w:eastAsia="en-GB"/>
              </w:rPr>
              <w:t xml:space="preserve"> be 12 </w:t>
            </w:r>
            <w:proofErr w:type="spellStart"/>
            <w:r w:rsidRPr="00275FBD">
              <w:rPr>
                <w:rFonts w:asciiTheme="minorHAnsi" w:hAnsiTheme="minorHAnsi"/>
                <w:color w:val="000000"/>
                <w:sz w:val="18"/>
                <w:szCs w:val="18"/>
                <w:lang w:val="sl-SI" w:eastAsia="en-GB"/>
              </w:rPr>
              <w:t>months</w:t>
            </w:r>
            <w:proofErr w:type="spellEnd"/>
            <w:r w:rsidRPr="00275FBD">
              <w:rPr>
                <w:rFonts w:asciiTheme="minorHAnsi" w:hAnsiTheme="minorHAnsi"/>
                <w:color w:val="000000"/>
                <w:sz w:val="18"/>
                <w:szCs w:val="18"/>
                <w:lang w:val="sl-SI" w:eastAsia="en-GB"/>
              </w:rPr>
              <w:t xml:space="preserve"> (see PSR3-NEK-1.2.4)</w:t>
            </w:r>
          </w:p>
        </w:tc>
        <w:tc>
          <w:tcPr>
            <w:tcW w:w="2043" w:type="dxa"/>
          </w:tcPr>
          <w:p w14:paraId="68B97994"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73FDF1E0" w14:textId="77777777" w:rsidTr="008D5B31">
        <w:trPr>
          <w:trHeight w:val="559"/>
        </w:trPr>
        <w:tc>
          <w:tcPr>
            <w:tcW w:w="1418" w:type="dxa"/>
            <w:shd w:val="clear" w:color="auto" w:fill="auto"/>
            <w:noWrap/>
          </w:tcPr>
          <w:p w14:paraId="1B85D955"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1.2-014</w:t>
            </w:r>
          </w:p>
        </w:tc>
        <w:tc>
          <w:tcPr>
            <w:tcW w:w="855" w:type="dxa"/>
            <w:shd w:val="clear" w:color="auto" w:fill="auto"/>
          </w:tcPr>
          <w:p w14:paraId="78EF59A8"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114F82B0"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4,5</w:t>
            </w:r>
          </w:p>
        </w:tc>
        <w:tc>
          <w:tcPr>
            <w:tcW w:w="8730" w:type="dxa"/>
            <w:shd w:val="clear" w:color="auto" w:fill="auto"/>
          </w:tcPr>
          <w:p w14:paraId="325548C5"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 xml:space="preserve">ADP-1.4.130 </w:t>
            </w:r>
            <w:proofErr w:type="spellStart"/>
            <w:r w:rsidRPr="00275FBD">
              <w:rPr>
                <w:rFonts w:asciiTheme="minorHAnsi" w:hAnsiTheme="minorHAnsi"/>
                <w:b/>
                <w:bCs/>
                <w:color w:val="000000"/>
                <w:sz w:val="18"/>
                <w:szCs w:val="18"/>
                <w:lang w:val="sl-SI" w:eastAsia="en-GB"/>
              </w:rPr>
              <w:t>imperfection</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Oil</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exchange</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frequency</w:t>
            </w:r>
            <w:proofErr w:type="spellEnd"/>
            <w:r w:rsidRPr="00275FBD">
              <w:rPr>
                <w:rFonts w:asciiTheme="minorHAnsi" w:hAnsiTheme="minorHAnsi"/>
                <w:color w:val="000000"/>
                <w:sz w:val="18"/>
                <w:szCs w:val="18"/>
                <w:lang w:val="sl-SI" w:eastAsia="en-GB"/>
              </w:rPr>
              <w:t xml:space="preserve"> in ADP-1.4.130 (CC102PMP-01A) is </w:t>
            </w:r>
            <w:proofErr w:type="spellStart"/>
            <w:r w:rsidRPr="00275FBD">
              <w:rPr>
                <w:rFonts w:asciiTheme="minorHAnsi" w:hAnsiTheme="minorHAnsi"/>
                <w:color w:val="000000"/>
                <w:sz w:val="18"/>
                <w:szCs w:val="18"/>
                <w:lang w:val="sl-SI" w:eastAsia="en-GB"/>
              </w:rPr>
              <w:t>twice</w:t>
            </w:r>
            <w:proofErr w:type="spellEnd"/>
            <w:r w:rsidRPr="00275FBD">
              <w:rPr>
                <w:rFonts w:asciiTheme="minorHAnsi" w:hAnsiTheme="minorHAnsi"/>
                <w:color w:val="000000"/>
                <w:sz w:val="18"/>
                <w:szCs w:val="18"/>
                <w:lang w:val="sl-SI" w:eastAsia="en-GB"/>
              </w:rPr>
              <w:t xml:space="preserve"> per 18 </w:t>
            </w:r>
            <w:proofErr w:type="spellStart"/>
            <w:r w:rsidRPr="00275FBD">
              <w:rPr>
                <w:rFonts w:asciiTheme="minorHAnsi" w:hAnsiTheme="minorHAnsi"/>
                <w:color w:val="000000"/>
                <w:sz w:val="18"/>
                <w:szCs w:val="18"/>
                <w:lang w:val="sl-SI" w:eastAsia="en-GB"/>
              </w:rPr>
              <w:t>months</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actual</w:t>
            </w:r>
            <w:proofErr w:type="spellEnd"/>
            <w:r w:rsidRPr="00275FBD">
              <w:rPr>
                <w:rFonts w:asciiTheme="minorHAnsi" w:hAnsiTheme="minorHAnsi"/>
                <w:color w:val="000000"/>
                <w:sz w:val="18"/>
                <w:szCs w:val="18"/>
                <w:lang w:val="sl-SI" w:eastAsia="en-GB"/>
              </w:rPr>
              <w:t xml:space="preserve"> is 12 </w:t>
            </w:r>
            <w:proofErr w:type="spellStart"/>
            <w:r w:rsidRPr="00275FBD">
              <w:rPr>
                <w:rFonts w:asciiTheme="minorHAnsi" w:hAnsiTheme="minorHAnsi"/>
                <w:color w:val="000000"/>
                <w:sz w:val="18"/>
                <w:szCs w:val="18"/>
                <w:lang w:val="sl-SI" w:eastAsia="en-GB"/>
              </w:rPr>
              <w:t>months</w:t>
            </w:r>
            <w:proofErr w:type="spellEnd"/>
            <w:r w:rsidRPr="00275FBD">
              <w:rPr>
                <w:rFonts w:asciiTheme="minorHAnsi" w:hAnsiTheme="minorHAnsi"/>
                <w:color w:val="000000"/>
                <w:sz w:val="18"/>
                <w:szCs w:val="18"/>
                <w:lang w:val="sl-SI" w:eastAsia="en-GB"/>
              </w:rPr>
              <w:t xml:space="preserve"> (see PSR3-NEK-1.2.4)</w:t>
            </w:r>
          </w:p>
        </w:tc>
        <w:tc>
          <w:tcPr>
            <w:tcW w:w="2043" w:type="dxa"/>
          </w:tcPr>
          <w:p w14:paraId="0CD57534"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6BA88CD3" w14:textId="77777777" w:rsidTr="008D5B31">
        <w:trPr>
          <w:trHeight w:val="559"/>
        </w:trPr>
        <w:tc>
          <w:tcPr>
            <w:tcW w:w="1418" w:type="dxa"/>
            <w:shd w:val="clear" w:color="auto" w:fill="auto"/>
            <w:noWrap/>
          </w:tcPr>
          <w:p w14:paraId="70352219"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1.2-015</w:t>
            </w:r>
          </w:p>
        </w:tc>
        <w:tc>
          <w:tcPr>
            <w:tcW w:w="855" w:type="dxa"/>
            <w:shd w:val="clear" w:color="auto" w:fill="auto"/>
          </w:tcPr>
          <w:p w14:paraId="4169FF5C"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1A764404"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4,5</w:t>
            </w:r>
          </w:p>
        </w:tc>
        <w:tc>
          <w:tcPr>
            <w:tcW w:w="8730" w:type="dxa"/>
            <w:shd w:val="clear" w:color="auto" w:fill="auto"/>
          </w:tcPr>
          <w:p w14:paraId="461C0DE4"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 xml:space="preserve">ADP-1.4.454 </w:t>
            </w:r>
            <w:proofErr w:type="spellStart"/>
            <w:r w:rsidRPr="00275FBD">
              <w:rPr>
                <w:rFonts w:asciiTheme="minorHAnsi" w:hAnsiTheme="minorHAnsi"/>
                <w:b/>
                <w:bCs/>
                <w:color w:val="000000"/>
                <w:sz w:val="18"/>
                <w:szCs w:val="18"/>
                <w:lang w:val="sl-SI" w:eastAsia="en-GB"/>
              </w:rPr>
              <w:t>imperfection</w:t>
            </w:r>
            <w:proofErr w:type="spellEnd"/>
            <w:r w:rsidRPr="00275FBD">
              <w:rPr>
                <w:rFonts w:asciiTheme="minorHAnsi" w:hAnsiTheme="minorHAnsi"/>
                <w:color w:val="000000"/>
                <w:sz w:val="18"/>
                <w:szCs w:val="18"/>
                <w:lang w:val="sl-SI" w:eastAsia="en-GB"/>
              </w:rPr>
              <w:t xml:space="preserve">: MOA test </w:t>
            </w:r>
            <w:proofErr w:type="spellStart"/>
            <w:r w:rsidRPr="00275FBD">
              <w:rPr>
                <w:rFonts w:asciiTheme="minorHAnsi" w:hAnsiTheme="minorHAnsi"/>
                <w:color w:val="000000"/>
                <w:sz w:val="18"/>
                <w:szCs w:val="18"/>
                <w:lang w:val="sl-SI" w:eastAsia="en-GB"/>
              </w:rPr>
              <w:t>frequency</w:t>
            </w:r>
            <w:proofErr w:type="spellEnd"/>
            <w:r w:rsidRPr="00275FBD">
              <w:rPr>
                <w:rFonts w:asciiTheme="minorHAnsi" w:hAnsiTheme="minorHAnsi"/>
                <w:color w:val="000000"/>
                <w:sz w:val="18"/>
                <w:szCs w:val="18"/>
                <w:lang w:val="sl-SI" w:eastAsia="en-GB"/>
              </w:rPr>
              <w:t xml:space="preserve"> in ADP is not </w:t>
            </w:r>
            <w:proofErr w:type="spellStart"/>
            <w:r w:rsidRPr="00275FBD">
              <w:rPr>
                <w:rFonts w:asciiTheme="minorHAnsi" w:hAnsiTheme="minorHAnsi"/>
                <w:color w:val="000000"/>
                <w:sz w:val="18"/>
                <w:szCs w:val="18"/>
                <w:lang w:val="sl-SI" w:eastAsia="en-GB"/>
              </w:rPr>
              <w:t>updated</w:t>
            </w:r>
            <w:proofErr w:type="spellEnd"/>
            <w:r w:rsidRPr="00275FBD">
              <w:rPr>
                <w:rFonts w:asciiTheme="minorHAnsi" w:hAnsiTheme="minorHAnsi"/>
                <w:color w:val="000000"/>
                <w:sz w:val="18"/>
                <w:szCs w:val="18"/>
                <w:lang w:val="sl-SI" w:eastAsia="en-GB"/>
              </w:rPr>
              <w:t>. (See PSR3-NEK-1.2.4)</w:t>
            </w:r>
          </w:p>
        </w:tc>
        <w:tc>
          <w:tcPr>
            <w:tcW w:w="2043" w:type="dxa"/>
          </w:tcPr>
          <w:p w14:paraId="3D4DC5C3"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4A4E18B6" w14:textId="77777777" w:rsidTr="008D5B31">
        <w:trPr>
          <w:trHeight w:val="559"/>
        </w:trPr>
        <w:tc>
          <w:tcPr>
            <w:tcW w:w="1418" w:type="dxa"/>
            <w:shd w:val="clear" w:color="auto" w:fill="auto"/>
            <w:noWrap/>
          </w:tcPr>
          <w:p w14:paraId="3C2F6354"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3.2-001</w:t>
            </w:r>
          </w:p>
        </w:tc>
        <w:tc>
          <w:tcPr>
            <w:tcW w:w="855" w:type="dxa"/>
            <w:shd w:val="clear" w:color="auto" w:fill="auto"/>
          </w:tcPr>
          <w:p w14:paraId="01025DEB"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52D9B006"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5</w:t>
            </w:r>
          </w:p>
        </w:tc>
        <w:tc>
          <w:tcPr>
            <w:tcW w:w="8730" w:type="dxa"/>
            <w:shd w:val="clear" w:color="auto" w:fill="auto"/>
          </w:tcPr>
          <w:p w14:paraId="0442C41B"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 xml:space="preserve">MD-20 </w:t>
            </w:r>
            <w:proofErr w:type="spellStart"/>
            <w:r w:rsidRPr="00275FBD">
              <w:rPr>
                <w:rFonts w:asciiTheme="minorHAnsi" w:hAnsiTheme="minorHAnsi"/>
                <w:b/>
                <w:bCs/>
                <w:color w:val="000000"/>
                <w:sz w:val="18"/>
                <w:szCs w:val="18"/>
                <w:lang w:val="sl-SI" w:eastAsia="en-GB"/>
              </w:rPr>
              <w:t>outdated</w:t>
            </w:r>
            <w:proofErr w:type="spellEnd"/>
            <w:r w:rsidRPr="00275FBD">
              <w:rPr>
                <w:rFonts w:asciiTheme="minorHAnsi" w:hAnsiTheme="minorHAnsi"/>
                <w:b/>
                <w:bCs/>
                <w:color w:val="000000"/>
                <w:sz w:val="18"/>
                <w:szCs w:val="18"/>
                <w:lang w:val="sl-SI" w:eastAsia="en-GB"/>
              </w:rPr>
              <w:t xml:space="preserve"> </w:t>
            </w:r>
            <w:proofErr w:type="spellStart"/>
            <w:r w:rsidRPr="00275FBD">
              <w:rPr>
                <w:rFonts w:asciiTheme="minorHAnsi" w:hAnsiTheme="minorHAnsi"/>
                <w:b/>
                <w:bCs/>
                <w:color w:val="000000"/>
                <w:sz w:val="18"/>
                <w:szCs w:val="18"/>
                <w:lang w:val="sl-SI" w:eastAsia="en-GB"/>
              </w:rPr>
              <w:t>references</w:t>
            </w:r>
            <w:proofErr w:type="spellEnd"/>
            <w:r w:rsidRPr="00275FBD">
              <w:rPr>
                <w:rFonts w:asciiTheme="minorHAnsi" w:hAnsiTheme="minorHAnsi"/>
                <w:color w:val="000000"/>
                <w:sz w:val="18"/>
                <w:szCs w:val="18"/>
                <w:lang w:val="sl-SI" w:eastAsia="en-GB"/>
              </w:rPr>
              <w:t xml:space="preserve">. Update the reference to IAEA </w:t>
            </w:r>
            <w:proofErr w:type="spellStart"/>
            <w:r w:rsidRPr="00275FBD">
              <w:rPr>
                <w:rFonts w:asciiTheme="minorHAnsi" w:hAnsiTheme="minorHAnsi"/>
                <w:color w:val="000000"/>
                <w:sz w:val="18"/>
                <w:szCs w:val="18"/>
                <w:lang w:val="sl-SI" w:eastAsia="en-GB"/>
              </w:rPr>
              <w:t>safety</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guide</w:t>
            </w:r>
            <w:proofErr w:type="spellEnd"/>
            <w:r w:rsidRPr="00275FBD">
              <w:rPr>
                <w:rFonts w:asciiTheme="minorHAnsi" w:hAnsiTheme="minorHAnsi"/>
                <w:color w:val="000000"/>
                <w:sz w:val="18"/>
                <w:szCs w:val="18"/>
                <w:lang w:val="sl-SI" w:eastAsia="en-GB"/>
              </w:rPr>
              <w:t>.</w:t>
            </w:r>
          </w:p>
        </w:tc>
        <w:tc>
          <w:tcPr>
            <w:tcW w:w="2043" w:type="dxa"/>
          </w:tcPr>
          <w:p w14:paraId="1069EA4C"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0ADB9AA0" w14:textId="77777777" w:rsidTr="008D5B31">
        <w:trPr>
          <w:trHeight w:val="559"/>
        </w:trPr>
        <w:tc>
          <w:tcPr>
            <w:tcW w:w="1418" w:type="dxa"/>
            <w:shd w:val="clear" w:color="auto" w:fill="auto"/>
            <w:noWrap/>
          </w:tcPr>
          <w:p w14:paraId="3116D350"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3.2-004</w:t>
            </w:r>
          </w:p>
        </w:tc>
        <w:tc>
          <w:tcPr>
            <w:tcW w:w="855" w:type="dxa"/>
            <w:shd w:val="clear" w:color="auto" w:fill="auto"/>
          </w:tcPr>
          <w:p w14:paraId="53B56BB1"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71F15803"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5</w:t>
            </w:r>
          </w:p>
        </w:tc>
        <w:tc>
          <w:tcPr>
            <w:tcW w:w="8730" w:type="dxa"/>
            <w:shd w:val="clear" w:color="auto" w:fill="auto"/>
          </w:tcPr>
          <w:p w14:paraId="52CA6ED0"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 xml:space="preserve">NEK ADP-1.1.200, </w:t>
            </w:r>
            <w:proofErr w:type="spellStart"/>
            <w:r w:rsidRPr="00275FBD">
              <w:rPr>
                <w:rFonts w:asciiTheme="minorHAnsi" w:hAnsiTheme="minorHAnsi"/>
                <w:b/>
                <w:bCs/>
                <w:color w:val="000000"/>
                <w:sz w:val="18"/>
                <w:szCs w:val="18"/>
                <w:lang w:val="sl-SI" w:eastAsia="en-GB"/>
              </w:rPr>
              <w:t>Appendix</w:t>
            </w:r>
            <w:proofErr w:type="spellEnd"/>
            <w:r w:rsidRPr="00275FBD">
              <w:rPr>
                <w:rFonts w:asciiTheme="minorHAnsi" w:hAnsiTheme="minorHAnsi"/>
                <w:b/>
                <w:bCs/>
                <w:color w:val="000000"/>
                <w:sz w:val="18"/>
                <w:szCs w:val="18"/>
                <w:lang w:val="sl-SI" w:eastAsia="en-GB"/>
              </w:rPr>
              <w:t xml:space="preserve"> 6.3, </w:t>
            </w:r>
            <w:proofErr w:type="spellStart"/>
            <w:r w:rsidRPr="00275FBD">
              <w:rPr>
                <w:rFonts w:asciiTheme="minorHAnsi" w:hAnsiTheme="minorHAnsi"/>
                <w:b/>
                <w:bCs/>
                <w:color w:val="000000"/>
                <w:sz w:val="18"/>
                <w:szCs w:val="18"/>
                <w:lang w:val="sl-SI" w:eastAsia="en-GB"/>
              </w:rPr>
              <w:t>Screening</w:t>
            </w:r>
            <w:proofErr w:type="spellEnd"/>
            <w:r w:rsidRPr="00275FBD">
              <w:rPr>
                <w:rFonts w:asciiTheme="minorHAnsi" w:hAnsiTheme="minorHAnsi"/>
                <w:b/>
                <w:bCs/>
                <w:color w:val="000000"/>
                <w:sz w:val="18"/>
                <w:szCs w:val="18"/>
                <w:lang w:val="sl-SI" w:eastAsia="en-GB"/>
              </w:rPr>
              <w:t xml:space="preserve"> </w:t>
            </w:r>
            <w:proofErr w:type="spellStart"/>
            <w:r w:rsidRPr="00275FBD">
              <w:rPr>
                <w:rFonts w:asciiTheme="minorHAnsi" w:hAnsiTheme="minorHAnsi"/>
                <w:b/>
                <w:bCs/>
                <w:color w:val="000000"/>
                <w:sz w:val="18"/>
                <w:szCs w:val="18"/>
                <w:lang w:val="sl-SI" w:eastAsia="en-GB"/>
              </w:rPr>
              <w:t>criteria</w:t>
            </w:r>
            <w:proofErr w:type="spellEnd"/>
            <w:r w:rsidRPr="00275FBD">
              <w:rPr>
                <w:rFonts w:asciiTheme="minorHAnsi" w:hAnsiTheme="minorHAnsi"/>
                <w:b/>
                <w:bCs/>
                <w:color w:val="000000"/>
                <w:sz w:val="18"/>
                <w:szCs w:val="18"/>
                <w:lang w:val="sl-SI" w:eastAsia="en-GB"/>
              </w:rPr>
              <w:t xml:space="preserve"> for </w:t>
            </w:r>
            <w:proofErr w:type="spellStart"/>
            <w:r w:rsidRPr="00275FBD">
              <w:rPr>
                <w:rFonts w:asciiTheme="minorHAnsi" w:hAnsiTheme="minorHAnsi"/>
                <w:b/>
                <w:bCs/>
                <w:color w:val="000000"/>
                <w:sz w:val="18"/>
                <w:szCs w:val="18"/>
                <w:lang w:val="sl-SI" w:eastAsia="en-GB"/>
              </w:rPr>
              <w:t>applicability</w:t>
            </w:r>
            <w:proofErr w:type="spellEnd"/>
            <w:r w:rsidRPr="00275FBD">
              <w:rPr>
                <w:rFonts w:asciiTheme="minorHAnsi" w:hAnsiTheme="minorHAnsi"/>
                <w:b/>
                <w:bCs/>
                <w:color w:val="000000"/>
                <w:sz w:val="18"/>
                <w:szCs w:val="18"/>
                <w:lang w:val="sl-SI" w:eastAsia="en-GB"/>
              </w:rPr>
              <w:t xml:space="preserve"> of </w:t>
            </w:r>
            <w:proofErr w:type="spellStart"/>
            <w:r w:rsidRPr="00275FBD">
              <w:rPr>
                <w:rFonts w:asciiTheme="minorHAnsi" w:hAnsiTheme="minorHAnsi"/>
                <w:b/>
                <w:bCs/>
                <w:color w:val="000000"/>
                <w:sz w:val="18"/>
                <w:szCs w:val="18"/>
                <w:lang w:val="sl-SI" w:eastAsia="en-GB"/>
              </w:rPr>
              <w:t>external</w:t>
            </w:r>
            <w:proofErr w:type="spellEnd"/>
            <w:r w:rsidRPr="00275FBD">
              <w:rPr>
                <w:rFonts w:asciiTheme="minorHAnsi" w:hAnsiTheme="minorHAnsi"/>
                <w:b/>
                <w:bCs/>
                <w:color w:val="000000"/>
                <w:sz w:val="18"/>
                <w:szCs w:val="18"/>
                <w:lang w:val="sl-SI" w:eastAsia="en-GB"/>
              </w:rPr>
              <w:t xml:space="preserve"> OE </w:t>
            </w:r>
            <w:proofErr w:type="spellStart"/>
            <w:r w:rsidRPr="00275FBD">
              <w:rPr>
                <w:rFonts w:asciiTheme="minorHAnsi" w:hAnsiTheme="minorHAnsi"/>
                <w:b/>
                <w:bCs/>
                <w:color w:val="000000"/>
                <w:sz w:val="18"/>
                <w:szCs w:val="18"/>
                <w:lang w:val="sl-SI" w:eastAsia="en-GB"/>
              </w:rPr>
              <w:t>item</w:t>
            </w:r>
            <w:proofErr w:type="spellEnd"/>
            <w:r w:rsidRPr="00275FBD">
              <w:rPr>
                <w:rFonts w:asciiTheme="minorHAnsi" w:hAnsiTheme="minorHAnsi"/>
                <w:b/>
                <w:bCs/>
                <w:color w:val="000000"/>
                <w:sz w:val="18"/>
                <w:szCs w:val="18"/>
                <w:lang w:val="sl-SI" w:eastAsia="en-GB"/>
              </w:rPr>
              <w:t xml:space="preserve"> to NEK</w:t>
            </w:r>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Add</w:t>
            </w:r>
            <w:proofErr w:type="spellEnd"/>
            <w:r w:rsidRPr="00275FBD">
              <w:rPr>
                <w:rFonts w:asciiTheme="minorHAnsi" w:hAnsiTheme="minorHAnsi"/>
                <w:color w:val="000000"/>
                <w:sz w:val="18"/>
                <w:szCs w:val="18"/>
                <w:lang w:val="sl-SI" w:eastAsia="en-GB"/>
              </w:rPr>
              <w:t xml:space="preserve"> to the </w:t>
            </w:r>
            <w:proofErr w:type="spellStart"/>
            <w:r w:rsidRPr="00275FBD">
              <w:rPr>
                <w:rFonts w:asciiTheme="minorHAnsi" w:hAnsiTheme="minorHAnsi"/>
                <w:color w:val="000000"/>
                <w:sz w:val="18"/>
                <w:szCs w:val="18"/>
                <w:lang w:val="sl-SI" w:eastAsia="en-GB"/>
              </w:rPr>
              <w:t>screening</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criteria</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also</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equipment</w:t>
            </w:r>
            <w:proofErr w:type="spellEnd"/>
            <w:r w:rsidRPr="00275FBD">
              <w:rPr>
                <w:rFonts w:asciiTheme="minorHAnsi" w:hAnsiTheme="minorHAnsi"/>
                <w:color w:val="000000"/>
                <w:sz w:val="18"/>
                <w:szCs w:val="18"/>
                <w:lang w:val="sl-SI" w:eastAsia="en-GB"/>
              </w:rPr>
              <w:t xml:space="preserve"> in </w:t>
            </w:r>
            <w:proofErr w:type="spellStart"/>
            <w:r w:rsidRPr="00275FBD">
              <w:rPr>
                <w:rFonts w:asciiTheme="minorHAnsi" w:hAnsiTheme="minorHAnsi"/>
                <w:color w:val="000000"/>
                <w:sz w:val="18"/>
                <w:szCs w:val="18"/>
                <w:lang w:val="sl-SI" w:eastAsia="en-GB"/>
              </w:rPr>
              <w:t>NEK’s</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warehouse</w:t>
            </w:r>
            <w:proofErr w:type="spellEnd"/>
            <w:r w:rsidRPr="00275FBD">
              <w:rPr>
                <w:rFonts w:asciiTheme="minorHAnsi" w:hAnsiTheme="minorHAnsi"/>
                <w:color w:val="000000"/>
                <w:sz w:val="18"/>
                <w:szCs w:val="18"/>
                <w:lang w:val="sl-SI" w:eastAsia="en-GB"/>
              </w:rPr>
              <w:t xml:space="preserve">. OSF element: </w:t>
            </w:r>
            <w:proofErr w:type="spellStart"/>
            <w:r w:rsidRPr="00275FBD">
              <w:rPr>
                <w:rFonts w:asciiTheme="minorHAnsi" w:hAnsiTheme="minorHAnsi"/>
                <w:color w:val="000000"/>
                <w:sz w:val="18"/>
                <w:szCs w:val="18"/>
                <w:lang w:val="sl-SI" w:eastAsia="en-GB"/>
              </w:rPr>
              <w:t>Measures</w:t>
            </w:r>
            <w:proofErr w:type="spellEnd"/>
            <w:r w:rsidRPr="00275FBD">
              <w:rPr>
                <w:rFonts w:asciiTheme="minorHAnsi" w:hAnsiTheme="minorHAnsi"/>
                <w:color w:val="000000"/>
                <w:sz w:val="18"/>
                <w:szCs w:val="18"/>
                <w:lang w:val="sl-SI" w:eastAsia="en-GB"/>
              </w:rPr>
              <w:t xml:space="preserve"> in Place to </w:t>
            </w:r>
            <w:proofErr w:type="spellStart"/>
            <w:r w:rsidRPr="00275FBD">
              <w:rPr>
                <w:rFonts w:asciiTheme="minorHAnsi" w:hAnsiTheme="minorHAnsi"/>
                <w:color w:val="000000"/>
                <w:sz w:val="18"/>
                <w:szCs w:val="18"/>
                <w:lang w:val="sl-SI" w:eastAsia="en-GB"/>
              </w:rPr>
              <w:t>Ensure</w:t>
            </w:r>
            <w:proofErr w:type="spellEnd"/>
            <w:r w:rsidRPr="00275FBD">
              <w:rPr>
                <w:rFonts w:asciiTheme="minorHAnsi" w:hAnsiTheme="minorHAnsi"/>
                <w:color w:val="000000"/>
                <w:sz w:val="18"/>
                <w:szCs w:val="18"/>
                <w:lang w:val="sl-SI" w:eastAsia="en-GB"/>
              </w:rPr>
              <w:t xml:space="preserve"> That Events </w:t>
            </w:r>
            <w:proofErr w:type="spellStart"/>
            <w:r w:rsidRPr="00275FBD">
              <w:rPr>
                <w:rFonts w:asciiTheme="minorHAnsi" w:hAnsiTheme="minorHAnsi"/>
                <w:color w:val="000000"/>
                <w:sz w:val="18"/>
                <w:szCs w:val="18"/>
                <w:lang w:val="sl-SI" w:eastAsia="en-GB"/>
              </w:rPr>
              <w:t>Significant</w:t>
            </w:r>
            <w:proofErr w:type="spellEnd"/>
            <w:r w:rsidRPr="00275FBD">
              <w:rPr>
                <w:rFonts w:asciiTheme="minorHAnsi" w:hAnsiTheme="minorHAnsi"/>
                <w:color w:val="000000"/>
                <w:sz w:val="18"/>
                <w:szCs w:val="18"/>
                <w:lang w:val="sl-SI" w:eastAsia="en-GB"/>
              </w:rPr>
              <w:t xml:space="preserve"> or </w:t>
            </w:r>
            <w:proofErr w:type="spellStart"/>
            <w:r w:rsidRPr="00275FBD">
              <w:rPr>
                <w:rFonts w:asciiTheme="minorHAnsi" w:hAnsiTheme="minorHAnsi"/>
                <w:color w:val="000000"/>
                <w:sz w:val="18"/>
                <w:szCs w:val="18"/>
                <w:lang w:val="sl-SI" w:eastAsia="en-GB"/>
              </w:rPr>
              <w:t>Potentially</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Significant</w:t>
            </w:r>
            <w:proofErr w:type="spellEnd"/>
            <w:r w:rsidRPr="00275FBD">
              <w:rPr>
                <w:rFonts w:asciiTheme="minorHAnsi" w:hAnsiTheme="minorHAnsi"/>
                <w:color w:val="000000"/>
                <w:sz w:val="18"/>
                <w:szCs w:val="18"/>
                <w:lang w:val="sl-SI" w:eastAsia="en-GB"/>
              </w:rPr>
              <w:t xml:space="preserve"> to Safety Are </w:t>
            </w:r>
            <w:proofErr w:type="spellStart"/>
            <w:r w:rsidRPr="00275FBD">
              <w:rPr>
                <w:rFonts w:asciiTheme="minorHAnsi" w:hAnsiTheme="minorHAnsi"/>
                <w:color w:val="000000"/>
                <w:sz w:val="18"/>
                <w:szCs w:val="18"/>
                <w:lang w:val="sl-SI" w:eastAsia="en-GB"/>
              </w:rPr>
              <w:t>Detected</w:t>
            </w:r>
            <w:proofErr w:type="spellEnd"/>
            <w:r w:rsidRPr="00275FBD">
              <w:rPr>
                <w:rFonts w:asciiTheme="minorHAnsi" w:hAnsiTheme="minorHAnsi"/>
                <w:color w:val="000000"/>
                <w:sz w:val="18"/>
                <w:szCs w:val="18"/>
                <w:lang w:val="sl-SI" w:eastAsia="en-GB"/>
              </w:rPr>
              <w:t xml:space="preserve"> and </w:t>
            </w:r>
            <w:proofErr w:type="spellStart"/>
            <w:r w:rsidRPr="00275FBD">
              <w:rPr>
                <w:rFonts w:asciiTheme="minorHAnsi" w:hAnsiTheme="minorHAnsi"/>
                <w:color w:val="000000"/>
                <w:sz w:val="18"/>
                <w:szCs w:val="18"/>
                <w:lang w:val="sl-SI" w:eastAsia="en-GB"/>
              </w:rPr>
              <w:t>Evaluated</w:t>
            </w:r>
            <w:proofErr w:type="spellEnd"/>
            <w:r w:rsidRPr="00275FBD">
              <w:rPr>
                <w:rFonts w:asciiTheme="minorHAnsi" w:hAnsiTheme="minorHAnsi"/>
                <w:color w:val="000000"/>
                <w:sz w:val="18"/>
                <w:szCs w:val="18"/>
                <w:lang w:val="sl-SI" w:eastAsia="en-GB"/>
              </w:rPr>
              <w:t xml:space="preserve"> in </w:t>
            </w:r>
            <w:proofErr w:type="spellStart"/>
            <w:r w:rsidRPr="00275FBD">
              <w:rPr>
                <w:rFonts w:asciiTheme="minorHAnsi" w:hAnsiTheme="minorHAnsi"/>
                <w:color w:val="000000"/>
                <w:sz w:val="18"/>
                <w:szCs w:val="18"/>
                <w:lang w:val="sl-SI" w:eastAsia="en-GB"/>
              </w:rPr>
              <w:t>Depth</w:t>
            </w:r>
            <w:proofErr w:type="spellEnd"/>
            <w:r w:rsidRPr="00275FBD">
              <w:rPr>
                <w:rFonts w:asciiTheme="minorHAnsi" w:hAnsiTheme="minorHAnsi"/>
                <w:color w:val="000000"/>
                <w:sz w:val="18"/>
                <w:szCs w:val="18"/>
                <w:lang w:val="sl-SI" w:eastAsia="en-GB"/>
              </w:rPr>
              <w:t>.</w:t>
            </w:r>
          </w:p>
        </w:tc>
        <w:tc>
          <w:tcPr>
            <w:tcW w:w="2043" w:type="dxa"/>
          </w:tcPr>
          <w:p w14:paraId="3B0A07D7"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II</w:t>
            </w:r>
          </w:p>
        </w:tc>
      </w:tr>
      <w:tr w:rsidR="00935B67" w:rsidRPr="00275FBD" w14:paraId="134A00DB" w14:textId="77777777" w:rsidTr="008D5B31">
        <w:trPr>
          <w:trHeight w:val="559"/>
        </w:trPr>
        <w:tc>
          <w:tcPr>
            <w:tcW w:w="1418" w:type="dxa"/>
            <w:shd w:val="clear" w:color="auto" w:fill="auto"/>
            <w:noWrap/>
          </w:tcPr>
          <w:p w14:paraId="25C7A599"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3.2-005</w:t>
            </w:r>
          </w:p>
        </w:tc>
        <w:tc>
          <w:tcPr>
            <w:tcW w:w="855" w:type="dxa"/>
            <w:shd w:val="clear" w:color="auto" w:fill="auto"/>
          </w:tcPr>
          <w:p w14:paraId="77289E45"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6C4CA60A"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5</w:t>
            </w:r>
          </w:p>
        </w:tc>
        <w:tc>
          <w:tcPr>
            <w:tcW w:w="8730" w:type="dxa"/>
            <w:shd w:val="clear" w:color="auto" w:fill="auto"/>
          </w:tcPr>
          <w:p w14:paraId="538AB9E7" w14:textId="77777777" w:rsidR="00935B67" w:rsidRPr="00275FBD" w:rsidRDefault="00935B67" w:rsidP="00935B67">
            <w:pPr>
              <w:jc w:val="left"/>
              <w:rPr>
                <w:rFonts w:asciiTheme="minorHAnsi" w:hAnsiTheme="minorHAnsi"/>
                <w:color w:val="000000"/>
                <w:sz w:val="18"/>
                <w:szCs w:val="18"/>
                <w:lang w:val="sl-SI" w:eastAsia="en-GB"/>
              </w:rPr>
            </w:pPr>
            <w:proofErr w:type="spellStart"/>
            <w:r w:rsidRPr="00275FBD">
              <w:rPr>
                <w:rFonts w:asciiTheme="minorHAnsi" w:hAnsiTheme="minorHAnsi"/>
                <w:b/>
                <w:bCs/>
                <w:color w:val="000000"/>
                <w:sz w:val="18"/>
                <w:szCs w:val="18"/>
                <w:lang w:val="sl-SI" w:eastAsia="en-GB"/>
              </w:rPr>
              <w:t>Promote</w:t>
            </w:r>
            <w:proofErr w:type="spellEnd"/>
            <w:r w:rsidRPr="00275FBD">
              <w:rPr>
                <w:rFonts w:asciiTheme="minorHAnsi" w:hAnsiTheme="minorHAnsi"/>
                <w:b/>
                <w:bCs/>
                <w:color w:val="000000"/>
                <w:sz w:val="18"/>
                <w:szCs w:val="18"/>
                <w:lang w:val="sl-SI" w:eastAsia="en-GB"/>
              </w:rPr>
              <w:t xml:space="preserve"> use of IZI</w:t>
            </w:r>
            <w:r w:rsidRPr="00275FBD">
              <w:rPr>
                <w:rFonts w:asciiTheme="minorHAnsi" w:hAnsiTheme="minorHAnsi"/>
                <w:color w:val="000000"/>
                <w:sz w:val="18"/>
                <w:szCs w:val="18"/>
                <w:lang w:val="sl-SI" w:eastAsia="en-GB"/>
              </w:rPr>
              <w:t xml:space="preserve">. The IZI </w:t>
            </w:r>
            <w:proofErr w:type="spellStart"/>
            <w:r w:rsidRPr="00275FBD">
              <w:rPr>
                <w:rFonts w:asciiTheme="minorHAnsi" w:hAnsiTheme="minorHAnsi"/>
                <w:color w:val="000000"/>
                <w:sz w:val="18"/>
                <w:szCs w:val="18"/>
                <w:lang w:val="sl-SI" w:eastAsia="en-GB"/>
              </w:rPr>
              <w:t>search</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application</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should</w:t>
            </w:r>
            <w:proofErr w:type="spellEnd"/>
            <w:r w:rsidRPr="00275FBD">
              <w:rPr>
                <w:rFonts w:asciiTheme="minorHAnsi" w:hAnsiTheme="minorHAnsi"/>
                <w:color w:val="000000"/>
                <w:sz w:val="18"/>
                <w:szCs w:val="18"/>
                <w:lang w:val="sl-SI" w:eastAsia="en-GB"/>
              </w:rPr>
              <w:t xml:space="preserve"> be </w:t>
            </w:r>
            <w:proofErr w:type="spellStart"/>
            <w:r w:rsidRPr="00275FBD">
              <w:rPr>
                <w:rFonts w:asciiTheme="minorHAnsi" w:hAnsiTheme="minorHAnsi"/>
                <w:color w:val="000000"/>
                <w:sz w:val="18"/>
                <w:szCs w:val="18"/>
                <w:lang w:val="sl-SI" w:eastAsia="en-GB"/>
              </w:rPr>
              <w:t>promoted</w:t>
            </w:r>
            <w:proofErr w:type="spellEnd"/>
            <w:r w:rsidRPr="00275FBD">
              <w:rPr>
                <w:rFonts w:asciiTheme="minorHAnsi" w:hAnsiTheme="minorHAnsi"/>
                <w:color w:val="000000"/>
                <w:sz w:val="18"/>
                <w:szCs w:val="18"/>
                <w:lang w:val="sl-SI" w:eastAsia="en-GB"/>
              </w:rPr>
              <w:t xml:space="preserve"> in the OEAP program ADP- 1.1.200. Note: IZI = "Iskalnik Znanj in Izkušenj"</w:t>
            </w:r>
            <w:r w:rsidRPr="00275FBD">
              <w:rPr>
                <w:rFonts w:asciiTheme="minorHAnsi" w:hAnsiTheme="minorHAnsi"/>
                <w:color w:val="000000"/>
                <w:sz w:val="18"/>
                <w:szCs w:val="18"/>
                <w:lang w:val="sl-SI" w:eastAsia="en-GB"/>
              </w:rPr>
              <w:br/>
            </w:r>
            <w:r w:rsidRPr="00275FBD">
              <w:rPr>
                <w:rFonts w:asciiTheme="minorHAnsi" w:hAnsiTheme="minorHAnsi"/>
                <w:color w:val="000000"/>
                <w:sz w:val="18"/>
                <w:szCs w:val="18"/>
                <w:lang w:val="sl-SI" w:eastAsia="en-GB"/>
              </w:rPr>
              <w:lastRenderedPageBreak/>
              <w:t xml:space="preserve">OSF element: </w:t>
            </w:r>
            <w:proofErr w:type="spellStart"/>
            <w:r w:rsidRPr="00275FBD">
              <w:rPr>
                <w:rFonts w:asciiTheme="minorHAnsi" w:hAnsiTheme="minorHAnsi"/>
                <w:color w:val="000000"/>
                <w:sz w:val="18"/>
                <w:szCs w:val="18"/>
                <w:lang w:val="sl-SI" w:eastAsia="en-GB"/>
              </w:rPr>
              <w:t>Measures</w:t>
            </w:r>
            <w:proofErr w:type="spellEnd"/>
            <w:r w:rsidRPr="00275FBD">
              <w:rPr>
                <w:rFonts w:asciiTheme="minorHAnsi" w:hAnsiTheme="minorHAnsi"/>
                <w:color w:val="000000"/>
                <w:sz w:val="18"/>
                <w:szCs w:val="18"/>
                <w:lang w:val="sl-SI" w:eastAsia="en-GB"/>
              </w:rPr>
              <w:t xml:space="preserve"> in Place to </w:t>
            </w:r>
            <w:proofErr w:type="spellStart"/>
            <w:r w:rsidRPr="00275FBD">
              <w:rPr>
                <w:rFonts w:asciiTheme="minorHAnsi" w:hAnsiTheme="minorHAnsi"/>
                <w:color w:val="000000"/>
                <w:sz w:val="18"/>
                <w:szCs w:val="18"/>
                <w:lang w:val="sl-SI" w:eastAsia="en-GB"/>
              </w:rPr>
              <w:t>Ensure</w:t>
            </w:r>
            <w:proofErr w:type="spellEnd"/>
            <w:r w:rsidRPr="00275FBD">
              <w:rPr>
                <w:rFonts w:asciiTheme="minorHAnsi" w:hAnsiTheme="minorHAnsi"/>
                <w:color w:val="000000"/>
                <w:sz w:val="18"/>
                <w:szCs w:val="18"/>
                <w:lang w:val="sl-SI" w:eastAsia="en-GB"/>
              </w:rPr>
              <w:t xml:space="preserve"> That Events </w:t>
            </w:r>
            <w:proofErr w:type="spellStart"/>
            <w:r w:rsidRPr="00275FBD">
              <w:rPr>
                <w:rFonts w:asciiTheme="minorHAnsi" w:hAnsiTheme="minorHAnsi"/>
                <w:color w:val="000000"/>
                <w:sz w:val="18"/>
                <w:szCs w:val="18"/>
                <w:lang w:val="sl-SI" w:eastAsia="en-GB"/>
              </w:rPr>
              <w:t>Significant</w:t>
            </w:r>
            <w:proofErr w:type="spellEnd"/>
            <w:r w:rsidRPr="00275FBD">
              <w:rPr>
                <w:rFonts w:asciiTheme="minorHAnsi" w:hAnsiTheme="minorHAnsi"/>
                <w:color w:val="000000"/>
                <w:sz w:val="18"/>
                <w:szCs w:val="18"/>
                <w:lang w:val="sl-SI" w:eastAsia="en-GB"/>
              </w:rPr>
              <w:t xml:space="preserve"> or </w:t>
            </w:r>
            <w:proofErr w:type="spellStart"/>
            <w:r w:rsidRPr="00275FBD">
              <w:rPr>
                <w:rFonts w:asciiTheme="minorHAnsi" w:hAnsiTheme="minorHAnsi"/>
                <w:color w:val="000000"/>
                <w:sz w:val="18"/>
                <w:szCs w:val="18"/>
                <w:lang w:val="sl-SI" w:eastAsia="en-GB"/>
              </w:rPr>
              <w:t>Potentially</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Significant</w:t>
            </w:r>
            <w:proofErr w:type="spellEnd"/>
            <w:r w:rsidRPr="00275FBD">
              <w:rPr>
                <w:rFonts w:asciiTheme="minorHAnsi" w:hAnsiTheme="minorHAnsi"/>
                <w:color w:val="000000"/>
                <w:sz w:val="18"/>
                <w:szCs w:val="18"/>
                <w:lang w:val="sl-SI" w:eastAsia="en-GB"/>
              </w:rPr>
              <w:t xml:space="preserve"> to Safety Are </w:t>
            </w:r>
            <w:proofErr w:type="spellStart"/>
            <w:r w:rsidRPr="00275FBD">
              <w:rPr>
                <w:rFonts w:asciiTheme="minorHAnsi" w:hAnsiTheme="minorHAnsi"/>
                <w:color w:val="000000"/>
                <w:sz w:val="18"/>
                <w:szCs w:val="18"/>
                <w:lang w:val="sl-SI" w:eastAsia="en-GB"/>
              </w:rPr>
              <w:t>Detected</w:t>
            </w:r>
            <w:proofErr w:type="spellEnd"/>
            <w:r w:rsidRPr="00275FBD">
              <w:rPr>
                <w:rFonts w:asciiTheme="minorHAnsi" w:hAnsiTheme="minorHAnsi"/>
                <w:color w:val="000000"/>
                <w:sz w:val="18"/>
                <w:szCs w:val="18"/>
                <w:lang w:val="sl-SI" w:eastAsia="en-GB"/>
              </w:rPr>
              <w:t xml:space="preserve"> and </w:t>
            </w:r>
            <w:proofErr w:type="spellStart"/>
            <w:r w:rsidRPr="00275FBD">
              <w:rPr>
                <w:rFonts w:asciiTheme="minorHAnsi" w:hAnsiTheme="minorHAnsi"/>
                <w:color w:val="000000"/>
                <w:sz w:val="18"/>
                <w:szCs w:val="18"/>
                <w:lang w:val="sl-SI" w:eastAsia="en-GB"/>
              </w:rPr>
              <w:t>Evaluated</w:t>
            </w:r>
            <w:proofErr w:type="spellEnd"/>
            <w:r w:rsidRPr="00275FBD">
              <w:rPr>
                <w:rFonts w:asciiTheme="minorHAnsi" w:hAnsiTheme="minorHAnsi"/>
                <w:color w:val="000000"/>
                <w:sz w:val="18"/>
                <w:szCs w:val="18"/>
                <w:lang w:val="sl-SI" w:eastAsia="en-GB"/>
              </w:rPr>
              <w:t xml:space="preserve"> in </w:t>
            </w:r>
            <w:proofErr w:type="spellStart"/>
            <w:r w:rsidRPr="00275FBD">
              <w:rPr>
                <w:rFonts w:asciiTheme="minorHAnsi" w:hAnsiTheme="minorHAnsi"/>
                <w:color w:val="000000"/>
                <w:sz w:val="18"/>
                <w:szCs w:val="18"/>
                <w:lang w:val="sl-SI" w:eastAsia="en-GB"/>
              </w:rPr>
              <w:t>Depth</w:t>
            </w:r>
            <w:proofErr w:type="spellEnd"/>
            <w:r w:rsidRPr="00275FBD">
              <w:rPr>
                <w:rFonts w:asciiTheme="minorHAnsi" w:hAnsiTheme="minorHAnsi"/>
                <w:color w:val="000000"/>
                <w:sz w:val="18"/>
                <w:szCs w:val="18"/>
                <w:lang w:val="sl-SI" w:eastAsia="en-GB"/>
              </w:rPr>
              <w:t>.</w:t>
            </w:r>
            <w:r w:rsidRPr="00275FBD">
              <w:rPr>
                <w:rFonts w:asciiTheme="minorHAnsi" w:hAnsiTheme="minorHAnsi"/>
                <w:color w:val="000000"/>
                <w:sz w:val="18"/>
                <w:szCs w:val="18"/>
                <w:lang w:val="sl-SI" w:eastAsia="en-GB"/>
              </w:rPr>
              <w:br/>
              <w:t xml:space="preserve">It is </w:t>
            </w:r>
            <w:proofErr w:type="spellStart"/>
            <w:r w:rsidRPr="00275FBD">
              <w:rPr>
                <w:rFonts w:asciiTheme="minorHAnsi" w:hAnsiTheme="minorHAnsi"/>
                <w:color w:val="000000"/>
                <w:sz w:val="18"/>
                <w:szCs w:val="18"/>
                <w:lang w:val="sl-SI" w:eastAsia="en-GB"/>
              </w:rPr>
              <w:t>understood</w:t>
            </w:r>
            <w:proofErr w:type="spellEnd"/>
            <w:r w:rsidRPr="00275FBD">
              <w:rPr>
                <w:rFonts w:asciiTheme="minorHAnsi" w:hAnsiTheme="minorHAnsi"/>
                <w:color w:val="000000"/>
                <w:sz w:val="18"/>
                <w:szCs w:val="18"/>
                <w:lang w:val="sl-SI" w:eastAsia="en-GB"/>
              </w:rPr>
              <w:t xml:space="preserve"> that the </w:t>
            </w:r>
            <w:proofErr w:type="spellStart"/>
            <w:r w:rsidRPr="00275FBD">
              <w:rPr>
                <w:rFonts w:asciiTheme="minorHAnsi" w:hAnsiTheme="minorHAnsi"/>
                <w:color w:val="000000"/>
                <w:sz w:val="18"/>
                <w:szCs w:val="18"/>
                <w:lang w:val="sl-SI" w:eastAsia="en-GB"/>
              </w:rPr>
              <w:t>issue</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essentially</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recommends</w:t>
            </w:r>
            <w:proofErr w:type="spellEnd"/>
            <w:r w:rsidRPr="00275FBD">
              <w:rPr>
                <w:rFonts w:asciiTheme="minorHAnsi" w:hAnsiTheme="minorHAnsi"/>
                <w:color w:val="000000"/>
                <w:sz w:val="18"/>
                <w:szCs w:val="18"/>
                <w:lang w:val="sl-SI" w:eastAsia="en-GB"/>
              </w:rPr>
              <w:t xml:space="preserve"> to make a reference to the IZI </w:t>
            </w:r>
            <w:proofErr w:type="spellStart"/>
            <w:r w:rsidRPr="00275FBD">
              <w:rPr>
                <w:rFonts w:asciiTheme="minorHAnsi" w:hAnsiTheme="minorHAnsi"/>
                <w:color w:val="000000"/>
                <w:sz w:val="18"/>
                <w:szCs w:val="18"/>
                <w:lang w:val="sl-SI" w:eastAsia="en-GB"/>
              </w:rPr>
              <w:t>application</w:t>
            </w:r>
            <w:proofErr w:type="spellEnd"/>
            <w:r w:rsidRPr="00275FBD">
              <w:rPr>
                <w:rFonts w:asciiTheme="minorHAnsi" w:hAnsiTheme="minorHAnsi"/>
                <w:color w:val="000000"/>
                <w:sz w:val="18"/>
                <w:szCs w:val="18"/>
                <w:lang w:val="sl-SI" w:eastAsia="en-GB"/>
              </w:rPr>
              <w:t xml:space="preserve"> in </w:t>
            </w:r>
            <w:proofErr w:type="spellStart"/>
            <w:r w:rsidRPr="00275FBD">
              <w:rPr>
                <w:rFonts w:asciiTheme="minorHAnsi" w:hAnsiTheme="minorHAnsi"/>
                <w:color w:val="000000"/>
                <w:sz w:val="18"/>
                <w:szCs w:val="18"/>
                <w:lang w:val="sl-SI" w:eastAsia="en-GB"/>
              </w:rPr>
              <w:t>appropriate</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steps</w:t>
            </w:r>
            <w:proofErr w:type="spellEnd"/>
            <w:r w:rsidRPr="00275FBD">
              <w:rPr>
                <w:rFonts w:asciiTheme="minorHAnsi" w:hAnsiTheme="minorHAnsi"/>
                <w:color w:val="000000"/>
                <w:sz w:val="18"/>
                <w:szCs w:val="18"/>
                <w:lang w:val="sl-SI" w:eastAsia="en-GB"/>
              </w:rPr>
              <w:t xml:space="preserve"> of </w:t>
            </w:r>
            <w:proofErr w:type="spellStart"/>
            <w:r w:rsidRPr="00275FBD">
              <w:rPr>
                <w:rFonts w:asciiTheme="minorHAnsi" w:hAnsiTheme="minorHAnsi"/>
                <w:color w:val="000000"/>
                <w:sz w:val="18"/>
                <w:szCs w:val="18"/>
                <w:lang w:val="sl-SI" w:eastAsia="en-GB"/>
              </w:rPr>
              <w:t>procedures</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requiring</w:t>
            </w:r>
            <w:proofErr w:type="spellEnd"/>
            <w:r w:rsidRPr="00275FBD">
              <w:rPr>
                <w:rFonts w:asciiTheme="minorHAnsi" w:hAnsiTheme="minorHAnsi"/>
                <w:color w:val="000000"/>
                <w:sz w:val="18"/>
                <w:szCs w:val="18"/>
                <w:lang w:val="sl-SI" w:eastAsia="en-GB"/>
              </w:rPr>
              <w:t xml:space="preserve"> use of  </w:t>
            </w:r>
            <w:proofErr w:type="spellStart"/>
            <w:r w:rsidRPr="00275FBD">
              <w:rPr>
                <w:rFonts w:asciiTheme="minorHAnsi" w:hAnsiTheme="minorHAnsi"/>
                <w:color w:val="000000"/>
                <w:sz w:val="18"/>
                <w:szCs w:val="18"/>
                <w:lang w:val="sl-SI" w:eastAsia="en-GB"/>
              </w:rPr>
              <w:t>operating</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experience</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This</w:t>
            </w:r>
            <w:proofErr w:type="spellEnd"/>
            <w:r w:rsidRPr="00275FBD">
              <w:rPr>
                <w:rFonts w:asciiTheme="minorHAnsi" w:hAnsiTheme="minorHAnsi"/>
                <w:color w:val="000000"/>
                <w:sz w:val="18"/>
                <w:szCs w:val="18"/>
                <w:lang w:val="sl-SI" w:eastAsia="en-GB"/>
              </w:rPr>
              <w:t xml:space="preserve"> is </w:t>
            </w:r>
            <w:proofErr w:type="spellStart"/>
            <w:r w:rsidRPr="00275FBD">
              <w:rPr>
                <w:rFonts w:asciiTheme="minorHAnsi" w:hAnsiTheme="minorHAnsi"/>
                <w:color w:val="000000"/>
                <w:sz w:val="18"/>
                <w:szCs w:val="18"/>
                <w:lang w:val="sl-SI" w:eastAsia="en-GB"/>
              </w:rPr>
              <w:t>considered</w:t>
            </w:r>
            <w:proofErr w:type="spellEnd"/>
            <w:r w:rsidRPr="00275FBD">
              <w:rPr>
                <w:rFonts w:asciiTheme="minorHAnsi" w:hAnsiTheme="minorHAnsi"/>
                <w:color w:val="000000"/>
                <w:sz w:val="18"/>
                <w:szCs w:val="18"/>
                <w:lang w:val="sl-SI" w:eastAsia="en-GB"/>
              </w:rPr>
              <w:t xml:space="preserve"> to be a </w:t>
            </w:r>
            <w:proofErr w:type="spellStart"/>
            <w:r w:rsidRPr="00275FBD">
              <w:rPr>
                <w:rFonts w:asciiTheme="minorHAnsi" w:hAnsiTheme="minorHAnsi"/>
                <w:color w:val="000000"/>
                <w:sz w:val="18"/>
                <w:szCs w:val="18"/>
                <w:lang w:val="sl-SI" w:eastAsia="en-GB"/>
              </w:rPr>
              <w:t>low</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effort</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issue</w:t>
            </w:r>
            <w:proofErr w:type="spellEnd"/>
            <w:r w:rsidRPr="00275FBD">
              <w:rPr>
                <w:rFonts w:asciiTheme="minorHAnsi" w:hAnsiTheme="minorHAnsi"/>
                <w:color w:val="000000"/>
                <w:sz w:val="18"/>
                <w:szCs w:val="18"/>
                <w:lang w:val="sl-SI" w:eastAsia="en-GB"/>
              </w:rPr>
              <w:t>.</w:t>
            </w:r>
          </w:p>
        </w:tc>
        <w:tc>
          <w:tcPr>
            <w:tcW w:w="2043" w:type="dxa"/>
          </w:tcPr>
          <w:p w14:paraId="0C0ABEE5"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lastRenderedPageBreak/>
              <w:t>Time implementation: I</w:t>
            </w:r>
          </w:p>
        </w:tc>
      </w:tr>
      <w:tr w:rsidR="00935B67" w:rsidRPr="00275FBD" w14:paraId="09F1AECA" w14:textId="77777777" w:rsidTr="008D5B31">
        <w:trPr>
          <w:trHeight w:val="559"/>
        </w:trPr>
        <w:tc>
          <w:tcPr>
            <w:tcW w:w="1418" w:type="dxa"/>
            <w:shd w:val="clear" w:color="auto" w:fill="auto"/>
            <w:noWrap/>
          </w:tcPr>
          <w:p w14:paraId="190F84BD"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4.1-007</w:t>
            </w:r>
          </w:p>
        </w:tc>
        <w:tc>
          <w:tcPr>
            <w:tcW w:w="855" w:type="dxa"/>
            <w:shd w:val="clear" w:color="auto" w:fill="auto"/>
          </w:tcPr>
          <w:p w14:paraId="0363FC76"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2DD8FE61"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4</w:t>
            </w:r>
          </w:p>
        </w:tc>
        <w:tc>
          <w:tcPr>
            <w:tcW w:w="8730" w:type="dxa"/>
            <w:shd w:val="clear" w:color="auto" w:fill="auto"/>
          </w:tcPr>
          <w:p w14:paraId="78A39BF6" w14:textId="77777777" w:rsidR="00935B67" w:rsidRPr="00275FBD" w:rsidRDefault="00935B67" w:rsidP="00935B67">
            <w:pPr>
              <w:jc w:val="left"/>
              <w:rPr>
                <w:rFonts w:asciiTheme="minorHAnsi" w:hAnsiTheme="minorHAnsi"/>
                <w:color w:val="000000"/>
                <w:sz w:val="18"/>
                <w:szCs w:val="18"/>
                <w:lang w:val="sl-SI" w:eastAsia="en-GB"/>
              </w:rPr>
            </w:pPr>
            <w:proofErr w:type="spellStart"/>
            <w:r w:rsidRPr="00275FBD">
              <w:rPr>
                <w:rFonts w:asciiTheme="minorHAnsi" w:hAnsiTheme="minorHAnsi"/>
                <w:b/>
                <w:bCs/>
                <w:color w:val="000000"/>
                <w:sz w:val="18"/>
                <w:szCs w:val="18"/>
                <w:lang w:val="sl-SI" w:eastAsia="en-GB"/>
              </w:rPr>
              <w:t>Lifting</w:t>
            </w:r>
            <w:proofErr w:type="spellEnd"/>
            <w:r w:rsidRPr="00275FBD">
              <w:rPr>
                <w:rFonts w:asciiTheme="minorHAnsi" w:hAnsiTheme="minorHAnsi"/>
                <w:b/>
                <w:bCs/>
                <w:color w:val="000000"/>
                <w:sz w:val="18"/>
                <w:szCs w:val="18"/>
                <w:lang w:val="sl-SI" w:eastAsia="en-GB"/>
              </w:rPr>
              <w:t xml:space="preserve"> and </w:t>
            </w:r>
            <w:proofErr w:type="spellStart"/>
            <w:r w:rsidRPr="00275FBD">
              <w:rPr>
                <w:rFonts w:asciiTheme="minorHAnsi" w:hAnsiTheme="minorHAnsi"/>
                <w:b/>
                <w:bCs/>
                <w:color w:val="000000"/>
                <w:sz w:val="18"/>
                <w:szCs w:val="18"/>
                <w:lang w:val="sl-SI" w:eastAsia="en-GB"/>
              </w:rPr>
              <w:t>rigging</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Process</w:t>
            </w:r>
            <w:proofErr w:type="spellEnd"/>
            <w:r w:rsidRPr="00275FBD">
              <w:rPr>
                <w:rFonts w:asciiTheme="minorHAnsi" w:hAnsiTheme="minorHAnsi"/>
                <w:color w:val="000000"/>
                <w:sz w:val="18"/>
                <w:szCs w:val="18"/>
                <w:lang w:val="sl-SI" w:eastAsia="en-GB"/>
              </w:rPr>
              <w:t xml:space="preserve"> of </w:t>
            </w:r>
            <w:proofErr w:type="spellStart"/>
            <w:r w:rsidRPr="00275FBD">
              <w:rPr>
                <w:rFonts w:asciiTheme="minorHAnsi" w:hAnsiTheme="minorHAnsi"/>
                <w:color w:val="000000"/>
                <w:sz w:val="18"/>
                <w:szCs w:val="18"/>
                <w:lang w:val="sl-SI" w:eastAsia="en-GB"/>
              </w:rPr>
              <w:t>lifting</w:t>
            </w:r>
            <w:proofErr w:type="spellEnd"/>
            <w:r w:rsidRPr="00275FBD">
              <w:rPr>
                <w:rFonts w:asciiTheme="minorHAnsi" w:hAnsiTheme="minorHAnsi"/>
                <w:color w:val="000000"/>
                <w:sz w:val="18"/>
                <w:szCs w:val="18"/>
                <w:lang w:val="sl-SI" w:eastAsia="en-GB"/>
              </w:rPr>
              <w:t xml:space="preserve"> and </w:t>
            </w:r>
            <w:proofErr w:type="spellStart"/>
            <w:r w:rsidRPr="00275FBD">
              <w:rPr>
                <w:rFonts w:asciiTheme="minorHAnsi" w:hAnsiTheme="minorHAnsi"/>
                <w:color w:val="000000"/>
                <w:sz w:val="18"/>
                <w:szCs w:val="18"/>
                <w:lang w:val="sl-SI" w:eastAsia="en-GB"/>
              </w:rPr>
              <w:t>rigging</w:t>
            </w:r>
            <w:proofErr w:type="spellEnd"/>
            <w:r w:rsidRPr="00275FBD">
              <w:rPr>
                <w:rFonts w:asciiTheme="minorHAnsi" w:hAnsiTheme="minorHAnsi"/>
                <w:color w:val="000000"/>
                <w:sz w:val="18"/>
                <w:szCs w:val="18"/>
                <w:lang w:val="sl-SI" w:eastAsia="en-GB"/>
              </w:rPr>
              <w:t xml:space="preserve"> in NEK is </w:t>
            </w:r>
            <w:proofErr w:type="spellStart"/>
            <w:r w:rsidRPr="00275FBD">
              <w:rPr>
                <w:rFonts w:asciiTheme="minorHAnsi" w:hAnsiTheme="minorHAnsi"/>
                <w:color w:val="000000"/>
                <w:sz w:val="18"/>
                <w:szCs w:val="18"/>
                <w:lang w:val="sl-SI" w:eastAsia="en-GB"/>
              </w:rPr>
              <w:t>organized</w:t>
            </w:r>
            <w:proofErr w:type="spellEnd"/>
            <w:r w:rsidRPr="00275FBD">
              <w:rPr>
                <w:rFonts w:asciiTheme="minorHAnsi" w:hAnsiTheme="minorHAnsi"/>
                <w:color w:val="000000"/>
                <w:sz w:val="18"/>
                <w:szCs w:val="18"/>
                <w:lang w:val="sl-SI" w:eastAsia="en-GB"/>
              </w:rPr>
              <w:t xml:space="preserve"> in </w:t>
            </w:r>
            <w:proofErr w:type="spellStart"/>
            <w:r w:rsidRPr="00275FBD">
              <w:rPr>
                <w:rFonts w:asciiTheme="minorHAnsi" w:hAnsiTheme="minorHAnsi"/>
                <w:color w:val="000000"/>
                <w:sz w:val="18"/>
                <w:szCs w:val="18"/>
                <w:lang w:val="sl-SI" w:eastAsia="en-GB"/>
              </w:rPr>
              <w:t>such</w:t>
            </w:r>
            <w:proofErr w:type="spellEnd"/>
            <w:r w:rsidRPr="00275FBD">
              <w:rPr>
                <w:rFonts w:asciiTheme="minorHAnsi" w:hAnsiTheme="minorHAnsi"/>
                <w:color w:val="000000"/>
                <w:sz w:val="18"/>
                <w:szCs w:val="18"/>
                <w:lang w:val="sl-SI" w:eastAsia="en-GB"/>
              </w:rPr>
              <w:t xml:space="preserve"> a </w:t>
            </w:r>
            <w:proofErr w:type="spellStart"/>
            <w:r w:rsidRPr="00275FBD">
              <w:rPr>
                <w:rFonts w:asciiTheme="minorHAnsi" w:hAnsiTheme="minorHAnsi"/>
                <w:color w:val="000000"/>
                <w:sz w:val="18"/>
                <w:szCs w:val="18"/>
                <w:lang w:val="sl-SI" w:eastAsia="en-GB"/>
              </w:rPr>
              <w:t>way</w:t>
            </w:r>
            <w:proofErr w:type="spellEnd"/>
            <w:r w:rsidRPr="00275FBD">
              <w:rPr>
                <w:rFonts w:asciiTheme="minorHAnsi" w:hAnsiTheme="minorHAnsi"/>
                <w:color w:val="000000"/>
                <w:sz w:val="18"/>
                <w:szCs w:val="18"/>
                <w:lang w:val="sl-SI" w:eastAsia="en-GB"/>
              </w:rPr>
              <w:t xml:space="preserve"> that </w:t>
            </w:r>
            <w:proofErr w:type="spellStart"/>
            <w:r w:rsidRPr="00275FBD">
              <w:rPr>
                <w:rFonts w:asciiTheme="minorHAnsi" w:hAnsiTheme="minorHAnsi"/>
                <w:color w:val="000000"/>
                <w:sz w:val="18"/>
                <w:szCs w:val="18"/>
                <w:lang w:val="sl-SI" w:eastAsia="en-GB"/>
              </w:rPr>
              <w:t>even</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engineers</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who</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have</w:t>
            </w:r>
            <w:proofErr w:type="spellEnd"/>
            <w:r w:rsidRPr="00275FBD">
              <w:rPr>
                <w:rFonts w:asciiTheme="minorHAnsi" w:hAnsiTheme="minorHAnsi"/>
                <w:color w:val="000000"/>
                <w:sz w:val="18"/>
                <w:szCs w:val="18"/>
                <w:lang w:val="sl-SI" w:eastAsia="en-GB"/>
              </w:rPr>
              <w:t xml:space="preserve"> no formal </w:t>
            </w:r>
            <w:proofErr w:type="spellStart"/>
            <w:r w:rsidRPr="00275FBD">
              <w:rPr>
                <w:rFonts w:asciiTheme="minorHAnsi" w:hAnsiTheme="minorHAnsi"/>
                <w:color w:val="000000"/>
                <w:sz w:val="18"/>
                <w:szCs w:val="18"/>
                <w:lang w:val="sl-SI" w:eastAsia="en-GB"/>
              </w:rPr>
              <w:t>background</w:t>
            </w:r>
            <w:proofErr w:type="spellEnd"/>
            <w:r w:rsidRPr="00275FBD">
              <w:rPr>
                <w:rFonts w:asciiTheme="minorHAnsi" w:hAnsiTheme="minorHAnsi"/>
                <w:color w:val="000000"/>
                <w:sz w:val="18"/>
                <w:szCs w:val="18"/>
                <w:lang w:val="sl-SI" w:eastAsia="en-GB"/>
              </w:rPr>
              <w:t xml:space="preserve"> in </w:t>
            </w:r>
            <w:proofErr w:type="spellStart"/>
            <w:r w:rsidRPr="00275FBD">
              <w:rPr>
                <w:rFonts w:asciiTheme="minorHAnsi" w:hAnsiTheme="minorHAnsi"/>
                <w:color w:val="000000"/>
                <w:sz w:val="18"/>
                <w:szCs w:val="18"/>
                <w:lang w:val="sl-SI" w:eastAsia="en-GB"/>
              </w:rPr>
              <w:t>lifting</w:t>
            </w:r>
            <w:proofErr w:type="spellEnd"/>
            <w:r w:rsidRPr="00275FBD">
              <w:rPr>
                <w:rFonts w:asciiTheme="minorHAnsi" w:hAnsiTheme="minorHAnsi"/>
                <w:color w:val="000000"/>
                <w:sz w:val="18"/>
                <w:szCs w:val="18"/>
                <w:lang w:val="sl-SI" w:eastAsia="en-GB"/>
              </w:rPr>
              <w:t xml:space="preserve"> and </w:t>
            </w:r>
            <w:proofErr w:type="spellStart"/>
            <w:r w:rsidRPr="00275FBD">
              <w:rPr>
                <w:rFonts w:asciiTheme="minorHAnsi" w:hAnsiTheme="minorHAnsi"/>
                <w:color w:val="000000"/>
                <w:sz w:val="18"/>
                <w:szCs w:val="18"/>
                <w:lang w:val="sl-SI" w:eastAsia="en-GB"/>
              </w:rPr>
              <w:t>rigging</w:t>
            </w:r>
            <w:proofErr w:type="spellEnd"/>
            <w:r w:rsidRPr="00275FBD">
              <w:rPr>
                <w:rFonts w:asciiTheme="minorHAnsi" w:hAnsiTheme="minorHAnsi"/>
                <w:color w:val="000000"/>
                <w:sz w:val="18"/>
                <w:szCs w:val="18"/>
                <w:lang w:val="sl-SI" w:eastAsia="en-GB"/>
              </w:rPr>
              <w:t xml:space="preserve"> are </w:t>
            </w:r>
            <w:proofErr w:type="spellStart"/>
            <w:r w:rsidRPr="00275FBD">
              <w:rPr>
                <w:rFonts w:asciiTheme="minorHAnsi" w:hAnsiTheme="minorHAnsi"/>
                <w:color w:val="000000"/>
                <w:sz w:val="18"/>
                <w:szCs w:val="18"/>
                <w:lang w:val="sl-SI" w:eastAsia="en-GB"/>
              </w:rPr>
              <w:t>responsible</w:t>
            </w:r>
            <w:proofErr w:type="spellEnd"/>
            <w:r w:rsidRPr="00275FBD">
              <w:rPr>
                <w:rFonts w:asciiTheme="minorHAnsi" w:hAnsiTheme="minorHAnsi"/>
                <w:color w:val="000000"/>
                <w:sz w:val="18"/>
                <w:szCs w:val="18"/>
                <w:lang w:val="sl-SI" w:eastAsia="en-GB"/>
              </w:rPr>
              <w:t xml:space="preserve"> in </w:t>
            </w:r>
            <w:proofErr w:type="spellStart"/>
            <w:r w:rsidRPr="00275FBD">
              <w:rPr>
                <w:rFonts w:asciiTheme="minorHAnsi" w:hAnsiTheme="minorHAnsi"/>
                <w:color w:val="000000"/>
                <w:sz w:val="18"/>
                <w:szCs w:val="18"/>
                <w:lang w:val="sl-SI" w:eastAsia="en-GB"/>
              </w:rPr>
              <w:t>writing</w:t>
            </w:r>
            <w:proofErr w:type="spellEnd"/>
            <w:r w:rsidRPr="00275FBD">
              <w:rPr>
                <w:rFonts w:asciiTheme="minorHAnsi" w:hAnsiTheme="minorHAnsi"/>
                <w:color w:val="000000"/>
                <w:sz w:val="18"/>
                <w:szCs w:val="18"/>
                <w:lang w:val="sl-SI" w:eastAsia="en-GB"/>
              </w:rPr>
              <w:t xml:space="preserve"> of Plan for </w:t>
            </w:r>
            <w:proofErr w:type="spellStart"/>
            <w:r w:rsidRPr="00275FBD">
              <w:rPr>
                <w:rFonts w:asciiTheme="minorHAnsi" w:hAnsiTheme="minorHAnsi"/>
                <w:color w:val="000000"/>
                <w:sz w:val="18"/>
                <w:szCs w:val="18"/>
                <w:lang w:val="sl-SI" w:eastAsia="en-GB"/>
              </w:rPr>
              <w:t>Lifting</w:t>
            </w:r>
            <w:proofErr w:type="spellEnd"/>
            <w:r w:rsidRPr="00275FBD">
              <w:rPr>
                <w:rFonts w:asciiTheme="minorHAnsi" w:hAnsiTheme="minorHAnsi"/>
                <w:color w:val="000000"/>
                <w:sz w:val="18"/>
                <w:szCs w:val="18"/>
                <w:lang w:val="sl-SI" w:eastAsia="en-GB"/>
              </w:rPr>
              <w:t xml:space="preserve"> and </w:t>
            </w:r>
            <w:proofErr w:type="spellStart"/>
            <w:r w:rsidRPr="00275FBD">
              <w:rPr>
                <w:rFonts w:asciiTheme="minorHAnsi" w:hAnsiTheme="minorHAnsi"/>
                <w:color w:val="000000"/>
                <w:sz w:val="18"/>
                <w:szCs w:val="18"/>
                <w:lang w:val="sl-SI" w:eastAsia="en-GB"/>
              </w:rPr>
              <w:t>Rigging</w:t>
            </w:r>
            <w:proofErr w:type="spellEnd"/>
            <w:r w:rsidRPr="00275FBD">
              <w:rPr>
                <w:rFonts w:asciiTheme="minorHAnsi" w:hAnsiTheme="minorHAnsi"/>
                <w:color w:val="000000"/>
                <w:sz w:val="18"/>
                <w:szCs w:val="18"/>
                <w:lang w:val="sl-SI" w:eastAsia="en-GB"/>
              </w:rPr>
              <w:t>.</w:t>
            </w:r>
            <w:r w:rsidRPr="00275FBD">
              <w:rPr>
                <w:rFonts w:asciiTheme="minorHAnsi" w:hAnsiTheme="minorHAnsi"/>
                <w:color w:val="000000"/>
                <w:sz w:val="18"/>
                <w:szCs w:val="18"/>
                <w:lang w:val="sl-SI" w:eastAsia="en-GB"/>
              </w:rPr>
              <w:br/>
              <w:t xml:space="preserve">OSF element: </w:t>
            </w:r>
            <w:proofErr w:type="spellStart"/>
            <w:r w:rsidRPr="00275FBD">
              <w:rPr>
                <w:rFonts w:asciiTheme="minorHAnsi" w:hAnsiTheme="minorHAnsi"/>
                <w:color w:val="000000"/>
                <w:sz w:val="18"/>
                <w:szCs w:val="18"/>
                <w:lang w:val="sl-SI" w:eastAsia="en-GB"/>
              </w:rPr>
              <w:t>Procedures</w:t>
            </w:r>
            <w:proofErr w:type="spellEnd"/>
            <w:r w:rsidRPr="00275FBD">
              <w:rPr>
                <w:rFonts w:asciiTheme="minorHAnsi" w:hAnsiTheme="minorHAnsi"/>
                <w:color w:val="000000"/>
                <w:sz w:val="18"/>
                <w:szCs w:val="18"/>
                <w:lang w:val="sl-SI" w:eastAsia="en-GB"/>
              </w:rPr>
              <w:t xml:space="preserve"> to avoid or </w:t>
            </w:r>
            <w:proofErr w:type="spellStart"/>
            <w:r w:rsidRPr="00275FBD">
              <w:rPr>
                <w:rFonts w:asciiTheme="minorHAnsi" w:hAnsiTheme="minorHAnsi"/>
                <w:color w:val="000000"/>
                <w:sz w:val="18"/>
                <w:szCs w:val="18"/>
                <w:lang w:val="sl-SI" w:eastAsia="en-GB"/>
              </w:rPr>
              <w:t>minimize</w:t>
            </w:r>
            <w:proofErr w:type="spellEnd"/>
            <w:r w:rsidRPr="00275FBD">
              <w:rPr>
                <w:rFonts w:asciiTheme="minorHAnsi" w:hAnsiTheme="minorHAnsi"/>
                <w:color w:val="000000"/>
                <w:sz w:val="18"/>
                <w:szCs w:val="18"/>
                <w:lang w:val="sl-SI" w:eastAsia="en-GB"/>
              </w:rPr>
              <w:t xml:space="preserve"> risk from any hazard to </w:t>
            </w:r>
            <w:proofErr w:type="spellStart"/>
            <w:r w:rsidRPr="00275FBD">
              <w:rPr>
                <w:rFonts w:asciiTheme="minorHAnsi" w:hAnsiTheme="minorHAnsi"/>
                <w:color w:val="000000"/>
                <w:sz w:val="18"/>
                <w:szCs w:val="18"/>
                <w:lang w:val="sl-SI" w:eastAsia="en-GB"/>
              </w:rPr>
              <w:t>plant</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personnel</w:t>
            </w:r>
            <w:proofErr w:type="spellEnd"/>
            <w:r w:rsidRPr="00275FBD">
              <w:rPr>
                <w:rFonts w:asciiTheme="minorHAnsi" w:hAnsiTheme="minorHAnsi"/>
                <w:color w:val="000000"/>
                <w:sz w:val="18"/>
                <w:szCs w:val="18"/>
                <w:lang w:val="sl-SI" w:eastAsia="en-GB"/>
              </w:rPr>
              <w:t>.</w:t>
            </w:r>
            <w:r w:rsidRPr="00275FBD">
              <w:rPr>
                <w:rFonts w:asciiTheme="minorHAnsi" w:hAnsiTheme="minorHAnsi"/>
                <w:color w:val="000000"/>
                <w:sz w:val="18"/>
                <w:szCs w:val="18"/>
                <w:lang w:val="sl-SI" w:eastAsia="en-GB"/>
              </w:rPr>
              <w:br/>
              <w:t xml:space="preserve">It is </w:t>
            </w:r>
            <w:proofErr w:type="spellStart"/>
            <w:r w:rsidRPr="00275FBD">
              <w:rPr>
                <w:rFonts w:asciiTheme="minorHAnsi" w:hAnsiTheme="minorHAnsi"/>
                <w:color w:val="000000"/>
                <w:sz w:val="18"/>
                <w:szCs w:val="18"/>
                <w:lang w:val="sl-SI" w:eastAsia="en-GB"/>
              </w:rPr>
              <w:t>understood</w:t>
            </w:r>
            <w:proofErr w:type="spellEnd"/>
            <w:r w:rsidRPr="00275FBD">
              <w:rPr>
                <w:rFonts w:asciiTheme="minorHAnsi" w:hAnsiTheme="minorHAnsi"/>
                <w:color w:val="000000"/>
                <w:sz w:val="18"/>
                <w:szCs w:val="18"/>
                <w:lang w:val="sl-SI" w:eastAsia="en-GB"/>
              </w:rPr>
              <w:t xml:space="preserve"> that the </w:t>
            </w:r>
            <w:proofErr w:type="spellStart"/>
            <w:r w:rsidRPr="00275FBD">
              <w:rPr>
                <w:rFonts w:asciiTheme="minorHAnsi" w:hAnsiTheme="minorHAnsi"/>
                <w:color w:val="000000"/>
                <w:sz w:val="18"/>
                <w:szCs w:val="18"/>
                <w:lang w:val="sl-SI" w:eastAsia="en-GB"/>
              </w:rPr>
              <w:t>issue</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can</w:t>
            </w:r>
            <w:proofErr w:type="spellEnd"/>
            <w:r w:rsidRPr="00275FBD">
              <w:rPr>
                <w:rFonts w:asciiTheme="minorHAnsi" w:hAnsiTheme="minorHAnsi"/>
                <w:color w:val="000000"/>
                <w:sz w:val="18"/>
                <w:szCs w:val="18"/>
                <w:lang w:val="sl-SI" w:eastAsia="en-GB"/>
              </w:rPr>
              <w:t xml:space="preserve"> be </w:t>
            </w:r>
            <w:proofErr w:type="spellStart"/>
            <w:r w:rsidRPr="00275FBD">
              <w:rPr>
                <w:rFonts w:asciiTheme="minorHAnsi" w:hAnsiTheme="minorHAnsi"/>
                <w:color w:val="000000"/>
                <w:sz w:val="18"/>
                <w:szCs w:val="18"/>
                <w:lang w:val="sl-SI" w:eastAsia="en-GB"/>
              </w:rPr>
              <w:t>resolved</w:t>
            </w:r>
            <w:proofErr w:type="spellEnd"/>
            <w:r w:rsidRPr="00275FBD">
              <w:rPr>
                <w:rFonts w:asciiTheme="minorHAnsi" w:hAnsiTheme="minorHAnsi"/>
                <w:color w:val="000000"/>
                <w:sz w:val="18"/>
                <w:szCs w:val="18"/>
                <w:lang w:val="sl-SI" w:eastAsia="en-GB"/>
              </w:rPr>
              <w:t xml:space="preserve"> by </w:t>
            </w:r>
            <w:proofErr w:type="spellStart"/>
            <w:r w:rsidRPr="00275FBD">
              <w:rPr>
                <w:rFonts w:asciiTheme="minorHAnsi" w:hAnsiTheme="minorHAnsi"/>
                <w:color w:val="000000"/>
                <w:sz w:val="18"/>
                <w:szCs w:val="18"/>
                <w:lang w:val="sl-SI" w:eastAsia="en-GB"/>
              </w:rPr>
              <w:t>reformulating</w:t>
            </w:r>
            <w:proofErr w:type="spellEnd"/>
            <w:r w:rsidRPr="00275FBD">
              <w:rPr>
                <w:rFonts w:asciiTheme="minorHAnsi" w:hAnsiTheme="minorHAnsi"/>
                <w:color w:val="000000"/>
                <w:sz w:val="18"/>
                <w:szCs w:val="18"/>
                <w:lang w:val="sl-SI" w:eastAsia="en-GB"/>
              </w:rPr>
              <w:t xml:space="preserve"> a </w:t>
            </w:r>
            <w:proofErr w:type="spellStart"/>
            <w:r w:rsidRPr="00275FBD">
              <w:rPr>
                <w:rFonts w:asciiTheme="minorHAnsi" w:hAnsiTheme="minorHAnsi"/>
                <w:color w:val="000000"/>
                <w:sz w:val="18"/>
                <w:szCs w:val="18"/>
                <w:lang w:val="sl-SI" w:eastAsia="en-GB"/>
              </w:rPr>
              <w:t>statement</w:t>
            </w:r>
            <w:proofErr w:type="spellEnd"/>
            <w:r w:rsidRPr="00275FBD">
              <w:rPr>
                <w:rFonts w:asciiTheme="minorHAnsi" w:hAnsiTheme="minorHAnsi"/>
                <w:color w:val="000000"/>
                <w:sz w:val="18"/>
                <w:szCs w:val="18"/>
                <w:lang w:val="sl-SI" w:eastAsia="en-GB"/>
              </w:rPr>
              <w:t xml:space="preserve"> in ADP-1.1.141 3.6.1.</w:t>
            </w:r>
          </w:p>
        </w:tc>
        <w:tc>
          <w:tcPr>
            <w:tcW w:w="2043" w:type="dxa"/>
          </w:tcPr>
          <w:p w14:paraId="37A32C92"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6B28A389" w14:textId="77777777" w:rsidTr="008D5B31">
        <w:trPr>
          <w:trHeight w:val="559"/>
        </w:trPr>
        <w:tc>
          <w:tcPr>
            <w:tcW w:w="1418" w:type="dxa"/>
            <w:shd w:val="clear" w:color="auto" w:fill="auto"/>
            <w:noWrap/>
          </w:tcPr>
          <w:p w14:paraId="17CB3561"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4.3-004</w:t>
            </w:r>
          </w:p>
        </w:tc>
        <w:tc>
          <w:tcPr>
            <w:tcW w:w="855" w:type="dxa"/>
            <w:shd w:val="clear" w:color="auto" w:fill="auto"/>
          </w:tcPr>
          <w:p w14:paraId="69CB9457"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4206C019"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3</w:t>
            </w:r>
          </w:p>
        </w:tc>
        <w:tc>
          <w:tcPr>
            <w:tcW w:w="8730" w:type="dxa"/>
            <w:shd w:val="clear" w:color="auto" w:fill="auto"/>
          </w:tcPr>
          <w:p w14:paraId="1804478A"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Review of SAMG-17</w:t>
            </w:r>
            <w:r w:rsidRPr="00275FBD">
              <w:rPr>
                <w:rFonts w:asciiTheme="minorHAnsi" w:hAnsiTheme="minorHAnsi"/>
                <w:color w:val="000000"/>
                <w:sz w:val="18"/>
                <w:szCs w:val="18"/>
                <w:lang w:val="sl-SI" w:eastAsia="en-GB"/>
              </w:rPr>
              <w:t xml:space="preserve">. In the </w:t>
            </w:r>
            <w:proofErr w:type="spellStart"/>
            <w:r w:rsidRPr="00275FBD">
              <w:rPr>
                <w:rFonts w:asciiTheme="minorHAnsi" w:hAnsiTheme="minorHAnsi"/>
                <w:color w:val="000000"/>
                <w:sz w:val="18"/>
                <w:szCs w:val="18"/>
                <w:lang w:val="sl-SI" w:eastAsia="en-GB"/>
              </w:rPr>
              <w:t>next</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revision</w:t>
            </w:r>
            <w:proofErr w:type="spellEnd"/>
            <w:r w:rsidRPr="00275FBD">
              <w:rPr>
                <w:rFonts w:asciiTheme="minorHAnsi" w:hAnsiTheme="minorHAnsi"/>
                <w:color w:val="000000"/>
                <w:sz w:val="18"/>
                <w:szCs w:val="18"/>
                <w:lang w:val="sl-SI" w:eastAsia="en-GB"/>
              </w:rPr>
              <w:t xml:space="preserve"> of SAMG-17, </w:t>
            </w:r>
            <w:proofErr w:type="spellStart"/>
            <w:r w:rsidRPr="00275FBD">
              <w:rPr>
                <w:rFonts w:asciiTheme="minorHAnsi" w:hAnsiTheme="minorHAnsi"/>
                <w:color w:val="000000"/>
                <w:sz w:val="18"/>
                <w:szCs w:val="18"/>
                <w:lang w:val="sl-SI" w:eastAsia="en-GB"/>
              </w:rPr>
              <w:t>references</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should</w:t>
            </w:r>
            <w:proofErr w:type="spellEnd"/>
            <w:r w:rsidRPr="00275FBD">
              <w:rPr>
                <w:rFonts w:asciiTheme="minorHAnsi" w:hAnsiTheme="minorHAnsi"/>
                <w:color w:val="000000"/>
                <w:sz w:val="18"/>
                <w:szCs w:val="18"/>
                <w:lang w:val="sl-SI" w:eastAsia="en-GB"/>
              </w:rPr>
              <w:t xml:space="preserve"> be </w:t>
            </w:r>
            <w:proofErr w:type="spellStart"/>
            <w:r w:rsidRPr="00275FBD">
              <w:rPr>
                <w:rFonts w:asciiTheme="minorHAnsi" w:hAnsiTheme="minorHAnsi"/>
                <w:color w:val="000000"/>
                <w:sz w:val="18"/>
                <w:szCs w:val="18"/>
                <w:lang w:val="sl-SI" w:eastAsia="en-GB"/>
              </w:rPr>
              <w:t>updated</w:t>
            </w:r>
            <w:proofErr w:type="spellEnd"/>
            <w:r w:rsidRPr="00275FBD">
              <w:rPr>
                <w:rFonts w:asciiTheme="minorHAnsi" w:hAnsiTheme="minorHAnsi"/>
                <w:color w:val="000000"/>
                <w:sz w:val="18"/>
                <w:szCs w:val="18"/>
                <w:lang w:val="sl-SI" w:eastAsia="en-GB"/>
              </w:rPr>
              <w:t>.</w:t>
            </w:r>
          </w:p>
        </w:tc>
        <w:tc>
          <w:tcPr>
            <w:tcW w:w="2043" w:type="dxa"/>
          </w:tcPr>
          <w:p w14:paraId="77394568"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6CB389E5" w14:textId="77777777" w:rsidTr="008D5B31">
        <w:trPr>
          <w:trHeight w:val="559"/>
        </w:trPr>
        <w:tc>
          <w:tcPr>
            <w:tcW w:w="1418" w:type="dxa"/>
            <w:shd w:val="clear" w:color="auto" w:fill="auto"/>
            <w:noWrap/>
          </w:tcPr>
          <w:p w14:paraId="1116A93F"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4.3-007</w:t>
            </w:r>
          </w:p>
        </w:tc>
        <w:tc>
          <w:tcPr>
            <w:tcW w:w="855" w:type="dxa"/>
            <w:shd w:val="clear" w:color="auto" w:fill="auto"/>
          </w:tcPr>
          <w:p w14:paraId="2D678DB6"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78B43EF4"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3</w:t>
            </w:r>
          </w:p>
        </w:tc>
        <w:tc>
          <w:tcPr>
            <w:tcW w:w="8730" w:type="dxa"/>
            <w:shd w:val="clear" w:color="auto" w:fill="auto"/>
          </w:tcPr>
          <w:p w14:paraId="35E00D8E"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Review PMI-4.090</w:t>
            </w:r>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Minor</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improvements</w:t>
            </w:r>
            <w:proofErr w:type="spellEnd"/>
            <w:r w:rsidRPr="00275FBD">
              <w:rPr>
                <w:rFonts w:asciiTheme="minorHAnsi" w:hAnsiTheme="minorHAnsi"/>
                <w:color w:val="000000"/>
                <w:sz w:val="18"/>
                <w:szCs w:val="18"/>
                <w:lang w:val="sl-SI" w:eastAsia="en-GB"/>
              </w:rPr>
              <w:t xml:space="preserve"> in the procedure.</w:t>
            </w:r>
          </w:p>
        </w:tc>
        <w:tc>
          <w:tcPr>
            <w:tcW w:w="2043" w:type="dxa"/>
          </w:tcPr>
          <w:p w14:paraId="6F74BE40"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010897A2" w14:textId="77777777" w:rsidTr="008D5B31">
        <w:trPr>
          <w:trHeight w:val="559"/>
        </w:trPr>
        <w:tc>
          <w:tcPr>
            <w:tcW w:w="1418" w:type="dxa"/>
            <w:shd w:val="clear" w:color="auto" w:fill="auto"/>
            <w:noWrap/>
          </w:tcPr>
          <w:p w14:paraId="3EBDFE91"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4.3-008</w:t>
            </w:r>
          </w:p>
        </w:tc>
        <w:tc>
          <w:tcPr>
            <w:tcW w:w="855" w:type="dxa"/>
            <w:shd w:val="clear" w:color="auto" w:fill="auto"/>
          </w:tcPr>
          <w:p w14:paraId="19DBDB91"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228309D1"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3</w:t>
            </w:r>
          </w:p>
        </w:tc>
        <w:tc>
          <w:tcPr>
            <w:tcW w:w="8730" w:type="dxa"/>
            <w:shd w:val="clear" w:color="auto" w:fill="auto"/>
          </w:tcPr>
          <w:p w14:paraId="181C5CFD"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Review ADP-1.1.231</w:t>
            </w:r>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Minor</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improvements</w:t>
            </w:r>
            <w:proofErr w:type="spellEnd"/>
            <w:r w:rsidRPr="00275FBD">
              <w:rPr>
                <w:rFonts w:asciiTheme="minorHAnsi" w:hAnsiTheme="minorHAnsi"/>
                <w:color w:val="000000"/>
                <w:sz w:val="18"/>
                <w:szCs w:val="18"/>
                <w:lang w:val="sl-SI" w:eastAsia="en-GB"/>
              </w:rPr>
              <w:t xml:space="preserve"> in the procedure.</w:t>
            </w:r>
          </w:p>
        </w:tc>
        <w:tc>
          <w:tcPr>
            <w:tcW w:w="2043" w:type="dxa"/>
          </w:tcPr>
          <w:p w14:paraId="13280305"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60060429" w14:textId="77777777" w:rsidTr="008D5B31">
        <w:trPr>
          <w:trHeight w:val="559"/>
        </w:trPr>
        <w:tc>
          <w:tcPr>
            <w:tcW w:w="1418" w:type="dxa"/>
            <w:shd w:val="clear" w:color="auto" w:fill="auto"/>
            <w:noWrap/>
          </w:tcPr>
          <w:p w14:paraId="41ADD9E6"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4.3-010</w:t>
            </w:r>
          </w:p>
        </w:tc>
        <w:tc>
          <w:tcPr>
            <w:tcW w:w="855" w:type="dxa"/>
            <w:shd w:val="clear" w:color="auto" w:fill="auto"/>
          </w:tcPr>
          <w:p w14:paraId="458D214D"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5243569F"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3</w:t>
            </w:r>
          </w:p>
        </w:tc>
        <w:tc>
          <w:tcPr>
            <w:tcW w:w="8730" w:type="dxa"/>
            <w:shd w:val="clear" w:color="auto" w:fill="auto"/>
          </w:tcPr>
          <w:p w14:paraId="7C5EEED2"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 xml:space="preserve">ADP- 1.1.122 to be </w:t>
            </w:r>
            <w:proofErr w:type="spellStart"/>
            <w:r w:rsidRPr="00275FBD">
              <w:rPr>
                <w:rFonts w:asciiTheme="minorHAnsi" w:hAnsiTheme="minorHAnsi"/>
                <w:b/>
                <w:bCs/>
                <w:color w:val="000000"/>
                <w:sz w:val="18"/>
                <w:szCs w:val="18"/>
                <w:lang w:val="sl-SI" w:eastAsia="en-GB"/>
              </w:rPr>
              <w:t>harmonized</w:t>
            </w:r>
            <w:proofErr w:type="spellEnd"/>
            <w:r w:rsidRPr="00275FBD">
              <w:rPr>
                <w:rFonts w:asciiTheme="minorHAnsi" w:hAnsiTheme="minorHAnsi"/>
                <w:b/>
                <w:bCs/>
                <w:color w:val="000000"/>
                <w:sz w:val="18"/>
                <w:szCs w:val="18"/>
                <w:lang w:val="sl-SI" w:eastAsia="en-GB"/>
              </w:rPr>
              <w:t xml:space="preserve"> with legal </w:t>
            </w:r>
            <w:proofErr w:type="spellStart"/>
            <w:r w:rsidRPr="00275FBD">
              <w:rPr>
                <w:rFonts w:asciiTheme="minorHAnsi" w:hAnsiTheme="minorHAnsi"/>
                <w:b/>
                <w:bCs/>
                <w:color w:val="000000"/>
                <w:sz w:val="18"/>
                <w:szCs w:val="18"/>
                <w:lang w:val="sl-SI" w:eastAsia="en-GB"/>
              </w:rPr>
              <w:t>requirements</w:t>
            </w:r>
            <w:proofErr w:type="spellEnd"/>
            <w:r w:rsidRPr="00275FBD">
              <w:rPr>
                <w:rFonts w:asciiTheme="minorHAnsi" w:hAnsiTheme="minorHAnsi"/>
                <w:color w:val="000000"/>
                <w:sz w:val="18"/>
                <w:szCs w:val="18"/>
                <w:lang w:val="sl-SI" w:eastAsia="en-GB"/>
              </w:rPr>
              <w:t xml:space="preserve">. </w:t>
            </w:r>
            <w:r w:rsidRPr="00275FBD">
              <w:rPr>
                <w:rFonts w:asciiTheme="minorHAnsi" w:hAnsiTheme="minorHAnsi"/>
                <w:sz w:val="18"/>
                <w:szCs w:val="18"/>
                <w:lang w:val="sl-SI"/>
              </w:rPr>
              <w:t xml:space="preserve"> </w:t>
            </w:r>
            <w:proofErr w:type="spellStart"/>
            <w:r w:rsidRPr="00275FBD">
              <w:rPr>
                <w:rFonts w:asciiTheme="minorHAnsi" w:hAnsiTheme="minorHAnsi"/>
                <w:color w:val="000000"/>
                <w:sz w:val="18"/>
                <w:szCs w:val="18"/>
                <w:lang w:val="sl-SI" w:eastAsia="en-GB"/>
              </w:rPr>
              <w:t>Attachment</w:t>
            </w:r>
            <w:proofErr w:type="spellEnd"/>
            <w:r w:rsidRPr="00275FBD">
              <w:rPr>
                <w:rFonts w:asciiTheme="minorHAnsi" w:hAnsiTheme="minorHAnsi"/>
                <w:color w:val="000000"/>
                <w:sz w:val="18"/>
                <w:szCs w:val="18"/>
                <w:lang w:val="sl-SI" w:eastAsia="en-GB"/>
              </w:rPr>
              <w:t xml:space="preserve"> No. 6.4 “NAVODILA ZA PREPOZNAVANJE NEVARNOSTI IN DOLOČITEV UKREPOV VZD”</w:t>
            </w:r>
          </w:p>
        </w:tc>
        <w:tc>
          <w:tcPr>
            <w:tcW w:w="2043" w:type="dxa"/>
          </w:tcPr>
          <w:p w14:paraId="60FCDF0E"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5DC039BC" w14:textId="77777777" w:rsidTr="008D5B31">
        <w:trPr>
          <w:trHeight w:val="559"/>
        </w:trPr>
        <w:tc>
          <w:tcPr>
            <w:tcW w:w="1418" w:type="dxa"/>
            <w:shd w:val="clear" w:color="auto" w:fill="auto"/>
            <w:noWrap/>
          </w:tcPr>
          <w:p w14:paraId="61DA7E32"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4.3-011</w:t>
            </w:r>
          </w:p>
        </w:tc>
        <w:tc>
          <w:tcPr>
            <w:tcW w:w="855" w:type="dxa"/>
            <w:shd w:val="clear" w:color="auto" w:fill="auto"/>
          </w:tcPr>
          <w:p w14:paraId="1628342F"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1F66B7C2"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4,5</w:t>
            </w:r>
          </w:p>
        </w:tc>
        <w:tc>
          <w:tcPr>
            <w:tcW w:w="8730" w:type="dxa"/>
            <w:shd w:val="clear" w:color="auto" w:fill="auto"/>
          </w:tcPr>
          <w:p w14:paraId="42A4484C"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 xml:space="preserve">Review of ED-1 “Design </w:t>
            </w:r>
            <w:proofErr w:type="spellStart"/>
            <w:r w:rsidRPr="00275FBD">
              <w:rPr>
                <w:rFonts w:asciiTheme="minorHAnsi" w:hAnsiTheme="minorHAnsi"/>
                <w:b/>
                <w:bCs/>
                <w:color w:val="000000"/>
                <w:sz w:val="18"/>
                <w:szCs w:val="18"/>
                <w:lang w:val="sl-SI" w:eastAsia="en-GB"/>
              </w:rPr>
              <w:t>Modification</w:t>
            </w:r>
            <w:proofErr w:type="spellEnd"/>
            <w:r w:rsidRPr="00275FBD">
              <w:rPr>
                <w:rFonts w:asciiTheme="minorHAnsi" w:hAnsiTheme="minorHAnsi"/>
                <w:b/>
                <w:bCs/>
                <w:color w:val="000000"/>
                <w:sz w:val="18"/>
                <w:szCs w:val="18"/>
                <w:lang w:val="sl-SI" w:eastAsia="en-GB"/>
              </w:rPr>
              <w:t xml:space="preserve"> Control Program”</w:t>
            </w:r>
            <w:r w:rsidRPr="00275FBD">
              <w:rPr>
                <w:rFonts w:asciiTheme="minorHAnsi" w:hAnsiTheme="minorHAnsi"/>
                <w:color w:val="000000"/>
                <w:sz w:val="18"/>
                <w:szCs w:val="18"/>
                <w:lang w:val="sl-SI" w:eastAsia="en-GB"/>
              </w:rPr>
              <w:t xml:space="preserve">: In </w:t>
            </w:r>
            <w:proofErr w:type="spellStart"/>
            <w:r w:rsidRPr="00275FBD">
              <w:rPr>
                <w:rFonts w:asciiTheme="minorHAnsi" w:hAnsiTheme="minorHAnsi"/>
                <w:color w:val="000000"/>
                <w:sz w:val="18"/>
                <w:szCs w:val="18"/>
                <w:lang w:val="sl-SI" w:eastAsia="en-GB"/>
              </w:rPr>
              <w:t>next</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revision</w:t>
            </w:r>
            <w:proofErr w:type="spellEnd"/>
            <w:r w:rsidRPr="00275FBD">
              <w:rPr>
                <w:rFonts w:asciiTheme="minorHAnsi" w:hAnsiTheme="minorHAnsi"/>
                <w:color w:val="000000"/>
                <w:sz w:val="18"/>
                <w:szCs w:val="18"/>
                <w:lang w:val="sl-SI" w:eastAsia="en-GB"/>
              </w:rPr>
              <w:t xml:space="preserve"> of ED-1 program </w:t>
            </w:r>
            <w:proofErr w:type="spellStart"/>
            <w:r w:rsidRPr="00275FBD">
              <w:rPr>
                <w:rFonts w:asciiTheme="minorHAnsi" w:hAnsiTheme="minorHAnsi"/>
                <w:color w:val="000000"/>
                <w:sz w:val="18"/>
                <w:szCs w:val="18"/>
                <w:lang w:val="sl-SI" w:eastAsia="en-GB"/>
              </w:rPr>
              <w:t>implement</w:t>
            </w:r>
            <w:proofErr w:type="spellEnd"/>
            <w:r w:rsidRPr="00275FBD">
              <w:rPr>
                <w:rFonts w:asciiTheme="minorHAnsi" w:hAnsiTheme="minorHAnsi"/>
                <w:color w:val="000000"/>
                <w:sz w:val="18"/>
                <w:szCs w:val="18"/>
                <w:lang w:val="sl-SI" w:eastAsia="en-GB"/>
              </w:rPr>
              <w:t xml:space="preserve"> ED-19 program and </w:t>
            </w:r>
            <w:proofErr w:type="spellStart"/>
            <w:r w:rsidRPr="00275FBD">
              <w:rPr>
                <w:rFonts w:asciiTheme="minorHAnsi" w:hAnsiTheme="minorHAnsi"/>
                <w:color w:val="000000"/>
                <w:sz w:val="18"/>
                <w:szCs w:val="18"/>
                <w:lang w:val="sl-SI" w:eastAsia="en-GB"/>
              </w:rPr>
              <w:t>associated</w:t>
            </w:r>
            <w:proofErr w:type="spellEnd"/>
            <w:r w:rsidRPr="00275FBD">
              <w:rPr>
                <w:rFonts w:asciiTheme="minorHAnsi" w:hAnsiTheme="minorHAnsi"/>
                <w:color w:val="000000"/>
                <w:sz w:val="18"/>
                <w:szCs w:val="18"/>
                <w:lang w:val="sl-SI" w:eastAsia="en-GB"/>
              </w:rPr>
              <w:t xml:space="preserve"> procedure.</w:t>
            </w:r>
          </w:p>
        </w:tc>
        <w:tc>
          <w:tcPr>
            <w:tcW w:w="2043" w:type="dxa"/>
          </w:tcPr>
          <w:p w14:paraId="337655A4"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II</w:t>
            </w:r>
          </w:p>
        </w:tc>
      </w:tr>
      <w:tr w:rsidR="00935B67" w:rsidRPr="00275FBD" w14:paraId="62898473" w14:textId="77777777" w:rsidTr="008D5B31">
        <w:trPr>
          <w:trHeight w:val="559"/>
        </w:trPr>
        <w:tc>
          <w:tcPr>
            <w:tcW w:w="1418" w:type="dxa"/>
            <w:shd w:val="clear" w:color="auto" w:fill="auto"/>
            <w:noWrap/>
          </w:tcPr>
          <w:p w14:paraId="3273D43D"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4.4-001</w:t>
            </w:r>
          </w:p>
        </w:tc>
        <w:tc>
          <w:tcPr>
            <w:tcW w:w="855" w:type="dxa"/>
            <w:shd w:val="clear" w:color="auto" w:fill="auto"/>
          </w:tcPr>
          <w:p w14:paraId="20A1F411"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001CE3BB" w14:textId="77777777" w:rsidR="00935B67" w:rsidRPr="00275FBD" w:rsidRDefault="00935B67" w:rsidP="00935B67">
            <w:pPr>
              <w:jc w:val="center"/>
              <w:rPr>
                <w:rFonts w:asciiTheme="minorHAnsi" w:hAnsiTheme="minorHAnsi"/>
                <w:b/>
                <w:bCs/>
                <w:color w:val="000000"/>
                <w:sz w:val="18"/>
                <w:szCs w:val="18"/>
                <w:lang w:val="sl-SI" w:eastAsia="en-GB"/>
              </w:rPr>
            </w:pPr>
            <w:r w:rsidRPr="00275FBD">
              <w:rPr>
                <w:rFonts w:asciiTheme="minorHAnsi" w:hAnsiTheme="minorHAnsi"/>
                <w:color w:val="000000"/>
                <w:sz w:val="18"/>
                <w:szCs w:val="18"/>
                <w:lang w:val="sl-SI" w:eastAsia="en-GB"/>
              </w:rPr>
              <w:t>4</w:t>
            </w:r>
          </w:p>
        </w:tc>
        <w:tc>
          <w:tcPr>
            <w:tcW w:w="8730" w:type="dxa"/>
            <w:shd w:val="clear" w:color="auto" w:fill="auto"/>
          </w:tcPr>
          <w:p w14:paraId="6F592F35" w14:textId="77777777" w:rsidR="00935B67" w:rsidRPr="00275FBD" w:rsidRDefault="00935B67" w:rsidP="00935B67">
            <w:pPr>
              <w:jc w:val="left"/>
              <w:rPr>
                <w:rFonts w:asciiTheme="minorHAnsi" w:hAnsiTheme="minorHAnsi"/>
                <w:color w:val="000000"/>
                <w:sz w:val="18"/>
                <w:szCs w:val="18"/>
                <w:lang w:val="sl-SI" w:eastAsia="en-GB"/>
              </w:rPr>
            </w:pPr>
            <w:r w:rsidRPr="00275FBD">
              <w:rPr>
                <w:rFonts w:asciiTheme="minorHAnsi" w:hAnsiTheme="minorHAnsi"/>
                <w:b/>
                <w:bCs/>
                <w:color w:val="000000"/>
                <w:sz w:val="18"/>
                <w:szCs w:val="18"/>
                <w:lang w:val="sl-SI" w:eastAsia="en-GB"/>
              </w:rPr>
              <w:t>ADP-1.3.003 reference update</w:t>
            </w:r>
            <w:r w:rsidRPr="00275FBD">
              <w:rPr>
                <w:rFonts w:asciiTheme="minorHAnsi" w:hAnsiTheme="minorHAnsi"/>
                <w:color w:val="000000"/>
                <w:sz w:val="18"/>
                <w:szCs w:val="18"/>
                <w:lang w:val="sl-SI" w:eastAsia="en-GB"/>
              </w:rPr>
              <w:t xml:space="preserve">. In the </w:t>
            </w:r>
            <w:proofErr w:type="spellStart"/>
            <w:r w:rsidRPr="00275FBD">
              <w:rPr>
                <w:rFonts w:asciiTheme="minorHAnsi" w:hAnsiTheme="minorHAnsi"/>
                <w:color w:val="000000"/>
                <w:sz w:val="18"/>
                <w:szCs w:val="18"/>
                <w:lang w:val="sl-SI" w:eastAsia="en-GB"/>
              </w:rPr>
              <w:t>next</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revision</w:t>
            </w:r>
            <w:proofErr w:type="spellEnd"/>
            <w:r w:rsidRPr="00275FBD">
              <w:rPr>
                <w:rFonts w:asciiTheme="minorHAnsi" w:hAnsiTheme="minorHAnsi"/>
                <w:color w:val="000000"/>
                <w:sz w:val="18"/>
                <w:szCs w:val="18"/>
                <w:lang w:val="sl-SI" w:eastAsia="en-GB"/>
              </w:rPr>
              <w:t xml:space="preserve"> of ADP-1.3.003 the reference WANO GL 2001-02 </w:t>
            </w:r>
            <w:proofErr w:type="spellStart"/>
            <w:r w:rsidRPr="00275FBD">
              <w:rPr>
                <w:rFonts w:asciiTheme="minorHAnsi" w:hAnsiTheme="minorHAnsi"/>
                <w:color w:val="000000"/>
                <w:sz w:val="18"/>
                <w:szCs w:val="18"/>
                <w:lang w:val="sl-SI" w:eastAsia="en-GB"/>
              </w:rPr>
              <w:t>should</w:t>
            </w:r>
            <w:proofErr w:type="spellEnd"/>
            <w:r w:rsidRPr="00275FBD">
              <w:rPr>
                <w:rFonts w:asciiTheme="minorHAnsi" w:hAnsiTheme="minorHAnsi"/>
                <w:color w:val="000000"/>
                <w:sz w:val="18"/>
                <w:szCs w:val="18"/>
                <w:lang w:val="sl-SI" w:eastAsia="en-GB"/>
              </w:rPr>
              <w:t xml:space="preserve"> be </w:t>
            </w:r>
            <w:proofErr w:type="spellStart"/>
            <w:r w:rsidRPr="00275FBD">
              <w:rPr>
                <w:rFonts w:asciiTheme="minorHAnsi" w:hAnsiTheme="minorHAnsi"/>
                <w:color w:val="000000"/>
                <w:sz w:val="18"/>
                <w:szCs w:val="18"/>
                <w:lang w:val="sl-SI" w:eastAsia="en-GB"/>
              </w:rPr>
              <w:t>updated</w:t>
            </w:r>
            <w:proofErr w:type="spellEnd"/>
            <w:r w:rsidRPr="00275FBD">
              <w:rPr>
                <w:rFonts w:asciiTheme="minorHAnsi" w:hAnsiTheme="minorHAnsi"/>
                <w:color w:val="000000"/>
                <w:sz w:val="18"/>
                <w:szCs w:val="18"/>
                <w:lang w:val="sl-SI" w:eastAsia="en-GB"/>
              </w:rPr>
              <w:t>.</w:t>
            </w:r>
            <w:r w:rsidRPr="00275FBD">
              <w:rPr>
                <w:rFonts w:asciiTheme="minorHAnsi" w:hAnsiTheme="minorHAnsi"/>
                <w:color w:val="000000"/>
                <w:sz w:val="18"/>
                <w:szCs w:val="18"/>
                <w:lang w:val="sl-SI" w:eastAsia="en-GB"/>
              </w:rPr>
              <w:br/>
              <w:t xml:space="preserve">OSF element: </w:t>
            </w:r>
            <w:proofErr w:type="spellStart"/>
            <w:r w:rsidRPr="00275FBD">
              <w:rPr>
                <w:rFonts w:asciiTheme="minorHAnsi" w:hAnsiTheme="minorHAnsi"/>
                <w:color w:val="000000"/>
                <w:sz w:val="18"/>
                <w:szCs w:val="18"/>
                <w:lang w:val="sl-SI" w:eastAsia="en-GB"/>
              </w:rPr>
              <w:t>Procedures</w:t>
            </w:r>
            <w:proofErr w:type="spellEnd"/>
            <w:r w:rsidRPr="00275FBD">
              <w:rPr>
                <w:rFonts w:asciiTheme="minorHAnsi" w:hAnsiTheme="minorHAnsi"/>
                <w:color w:val="000000"/>
                <w:sz w:val="18"/>
                <w:szCs w:val="18"/>
                <w:lang w:val="sl-SI" w:eastAsia="en-GB"/>
              </w:rPr>
              <w:t xml:space="preserve"> for normal operation</w:t>
            </w:r>
            <w:r w:rsidRPr="00275FBD">
              <w:rPr>
                <w:rFonts w:asciiTheme="minorHAnsi" w:hAnsiTheme="minorHAnsi"/>
                <w:color w:val="000000"/>
                <w:sz w:val="18"/>
                <w:szCs w:val="18"/>
                <w:lang w:val="sl-SI" w:eastAsia="en-GB"/>
              </w:rPr>
              <w:br/>
              <w:t xml:space="preserve">It is </w:t>
            </w:r>
            <w:proofErr w:type="spellStart"/>
            <w:r w:rsidRPr="00275FBD">
              <w:rPr>
                <w:rFonts w:asciiTheme="minorHAnsi" w:hAnsiTheme="minorHAnsi"/>
                <w:color w:val="000000"/>
                <w:sz w:val="18"/>
                <w:szCs w:val="18"/>
                <w:lang w:val="sl-SI" w:eastAsia="en-GB"/>
              </w:rPr>
              <w:t>understood</w:t>
            </w:r>
            <w:proofErr w:type="spellEnd"/>
            <w:r w:rsidRPr="00275FBD">
              <w:rPr>
                <w:rFonts w:asciiTheme="minorHAnsi" w:hAnsiTheme="minorHAnsi"/>
                <w:color w:val="000000"/>
                <w:sz w:val="18"/>
                <w:szCs w:val="18"/>
                <w:lang w:val="sl-SI" w:eastAsia="en-GB"/>
              </w:rPr>
              <w:t xml:space="preserve">, from </w:t>
            </w:r>
            <w:proofErr w:type="spellStart"/>
            <w:r w:rsidRPr="00275FBD">
              <w:rPr>
                <w:rFonts w:asciiTheme="minorHAnsi" w:hAnsiTheme="minorHAnsi"/>
                <w:color w:val="000000"/>
                <w:sz w:val="18"/>
                <w:szCs w:val="18"/>
                <w:lang w:val="sl-SI" w:eastAsia="en-GB"/>
              </w:rPr>
              <w:t>NEK's</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comments</w:t>
            </w:r>
            <w:proofErr w:type="spellEnd"/>
            <w:r w:rsidRPr="00275FBD">
              <w:rPr>
                <w:rFonts w:asciiTheme="minorHAnsi" w:hAnsiTheme="minorHAnsi"/>
                <w:color w:val="000000"/>
                <w:sz w:val="18"/>
                <w:szCs w:val="18"/>
                <w:lang w:val="sl-SI" w:eastAsia="en-GB"/>
              </w:rPr>
              <w:t xml:space="preserve"> in the </w:t>
            </w:r>
            <w:proofErr w:type="spellStart"/>
            <w:r w:rsidRPr="00275FBD">
              <w:rPr>
                <w:rFonts w:asciiTheme="minorHAnsi" w:hAnsiTheme="minorHAnsi"/>
                <w:color w:val="000000"/>
                <w:sz w:val="18"/>
                <w:szCs w:val="18"/>
                <w:lang w:val="sl-SI" w:eastAsia="en-GB"/>
              </w:rPr>
              <w:t>report</w:t>
            </w:r>
            <w:proofErr w:type="spellEnd"/>
            <w:r w:rsidRPr="00275FBD">
              <w:rPr>
                <w:rFonts w:asciiTheme="minorHAnsi" w:hAnsiTheme="minorHAnsi"/>
                <w:color w:val="000000"/>
                <w:sz w:val="18"/>
                <w:szCs w:val="18"/>
                <w:lang w:val="sl-SI" w:eastAsia="en-GB"/>
              </w:rPr>
              <w:t xml:space="preserve">, that the </w:t>
            </w:r>
            <w:proofErr w:type="spellStart"/>
            <w:r w:rsidRPr="00275FBD">
              <w:rPr>
                <w:rFonts w:asciiTheme="minorHAnsi" w:hAnsiTheme="minorHAnsi"/>
                <w:color w:val="000000"/>
                <w:sz w:val="18"/>
                <w:szCs w:val="18"/>
                <w:lang w:val="sl-SI" w:eastAsia="en-GB"/>
              </w:rPr>
              <w:t>issue</w:t>
            </w:r>
            <w:proofErr w:type="spellEnd"/>
            <w:r w:rsidRPr="00275FBD">
              <w:rPr>
                <w:rFonts w:asciiTheme="minorHAnsi" w:hAnsiTheme="minorHAnsi"/>
                <w:color w:val="000000"/>
                <w:sz w:val="18"/>
                <w:szCs w:val="18"/>
                <w:lang w:val="sl-SI" w:eastAsia="en-GB"/>
              </w:rPr>
              <w:t xml:space="preserve"> is </w:t>
            </w:r>
            <w:proofErr w:type="spellStart"/>
            <w:r w:rsidRPr="00275FBD">
              <w:rPr>
                <w:rFonts w:asciiTheme="minorHAnsi" w:hAnsiTheme="minorHAnsi"/>
                <w:color w:val="000000"/>
                <w:sz w:val="18"/>
                <w:szCs w:val="18"/>
                <w:lang w:val="sl-SI" w:eastAsia="en-GB"/>
              </w:rPr>
              <w:t>already</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resolved</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Therefore</w:t>
            </w:r>
            <w:proofErr w:type="spellEnd"/>
            <w:r w:rsidRPr="00275FBD">
              <w:rPr>
                <w:rFonts w:asciiTheme="minorHAnsi" w:hAnsiTheme="minorHAnsi"/>
                <w:color w:val="000000"/>
                <w:sz w:val="18"/>
                <w:szCs w:val="18"/>
                <w:lang w:val="sl-SI" w:eastAsia="en-GB"/>
              </w:rPr>
              <w:t>, "</w:t>
            </w:r>
            <w:proofErr w:type="spellStart"/>
            <w:r w:rsidRPr="00275FBD">
              <w:rPr>
                <w:rFonts w:asciiTheme="minorHAnsi" w:hAnsiTheme="minorHAnsi"/>
                <w:color w:val="000000"/>
                <w:sz w:val="18"/>
                <w:szCs w:val="18"/>
                <w:lang w:val="sl-SI" w:eastAsia="en-GB"/>
              </w:rPr>
              <w:t>low</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effort</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formally</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assigned</w:t>
            </w:r>
            <w:proofErr w:type="spellEnd"/>
            <w:r w:rsidRPr="00275FBD">
              <w:rPr>
                <w:rFonts w:asciiTheme="minorHAnsi" w:hAnsiTheme="minorHAnsi"/>
                <w:color w:val="000000"/>
                <w:sz w:val="18"/>
                <w:szCs w:val="18"/>
                <w:lang w:val="sl-SI" w:eastAsia="en-GB"/>
              </w:rPr>
              <w:t>.</w:t>
            </w:r>
          </w:p>
        </w:tc>
        <w:tc>
          <w:tcPr>
            <w:tcW w:w="2043" w:type="dxa"/>
          </w:tcPr>
          <w:p w14:paraId="4B74FFE3"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0B406F39" w14:textId="77777777" w:rsidTr="008D5B31">
        <w:trPr>
          <w:trHeight w:val="559"/>
        </w:trPr>
        <w:tc>
          <w:tcPr>
            <w:tcW w:w="1418" w:type="dxa"/>
            <w:shd w:val="clear" w:color="auto" w:fill="auto"/>
            <w:noWrap/>
          </w:tcPr>
          <w:p w14:paraId="50AB1993"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4.4-004</w:t>
            </w:r>
          </w:p>
        </w:tc>
        <w:tc>
          <w:tcPr>
            <w:tcW w:w="855" w:type="dxa"/>
            <w:shd w:val="clear" w:color="auto" w:fill="auto"/>
          </w:tcPr>
          <w:p w14:paraId="4F010886"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75B0DAA3"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4</w:t>
            </w:r>
          </w:p>
        </w:tc>
        <w:tc>
          <w:tcPr>
            <w:tcW w:w="8730" w:type="dxa"/>
            <w:shd w:val="clear" w:color="auto" w:fill="auto"/>
          </w:tcPr>
          <w:p w14:paraId="1CC096E1"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
                <w:bCs/>
                <w:color w:val="000000"/>
                <w:sz w:val="18"/>
                <w:szCs w:val="18"/>
                <w:lang w:val="sl-SI" w:eastAsia="en-GB"/>
              </w:rPr>
              <w:t xml:space="preserve">TRG-13.153 update </w:t>
            </w:r>
            <w:proofErr w:type="spellStart"/>
            <w:r w:rsidRPr="00275FBD">
              <w:rPr>
                <w:rFonts w:asciiTheme="minorHAnsi" w:hAnsiTheme="minorHAnsi"/>
                <w:b/>
                <w:bCs/>
                <w:color w:val="000000"/>
                <w:sz w:val="18"/>
                <w:szCs w:val="18"/>
                <w:lang w:val="sl-SI" w:eastAsia="en-GB"/>
              </w:rPr>
              <w:t>regarding</w:t>
            </w:r>
            <w:proofErr w:type="spellEnd"/>
            <w:r w:rsidRPr="00275FBD">
              <w:rPr>
                <w:rFonts w:asciiTheme="minorHAnsi" w:hAnsiTheme="minorHAnsi"/>
                <w:b/>
                <w:bCs/>
                <w:color w:val="000000"/>
                <w:sz w:val="18"/>
                <w:szCs w:val="18"/>
                <w:lang w:val="sl-SI" w:eastAsia="en-GB"/>
              </w:rPr>
              <w:t xml:space="preserve"> </w:t>
            </w:r>
            <w:proofErr w:type="spellStart"/>
            <w:r w:rsidRPr="00275FBD">
              <w:rPr>
                <w:rFonts w:asciiTheme="minorHAnsi" w:hAnsiTheme="minorHAnsi"/>
                <w:b/>
                <w:bCs/>
                <w:color w:val="000000"/>
                <w:sz w:val="18"/>
                <w:szCs w:val="18"/>
                <w:lang w:val="sl-SI" w:eastAsia="en-GB"/>
              </w:rPr>
              <w:t>current</w:t>
            </w:r>
            <w:proofErr w:type="spellEnd"/>
            <w:r w:rsidRPr="00275FBD">
              <w:rPr>
                <w:rFonts w:asciiTheme="minorHAnsi" w:hAnsiTheme="minorHAnsi"/>
                <w:b/>
                <w:bCs/>
                <w:color w:val="000000"/>
                <w:sz w:val="18"/>
                <w:szCs w:val="18"/>
                <w:lang w:val="sl-SI" w:eastAsia="en-GB"/>
              </w:rPr>
              <w:t xml:space="preserve"> JV4</w:t>
            </w:r>
            <w:r w:rsidRPr="00275FBD">
              <w:rPr>
                <w:rFonts w:asciiTheme="minorHAnsi" w:hAnsiTheme="minorHAnsi"/>
                <w:color w:val="000000"/>
                <w:sz w:val="18"/>
                <w:szCs w:val="18"/>
                <w:lang w:val="sl-SI" w:eastAsia="en-GB"/>
              </w:rPr>
              <w:t xml:space="preserve">: The </w:t>
            </w:r>
            <w:proofErr w:type="spellStart"/>
            <w:r w:rsidRPr="00275FBD">
              <w:rPr>
                <w:rFonts w:asciiTheme="minorHAnsi" w:hAnsiTheme="minorHAnsi"/>
                <w:color w:val="000000"/>
                <w:sz w:val="18"/>
                <w:szCs w:val="18"/>
                <w:lang w:val="sl-SI" w:eastAsia="en-GB"/>
              </w:rPr>
              <w:t>minimal</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requirements</w:t>
            </w:r>
            <w:proofErr w:type="spellEnd"/>
            <w:r w:rsidRPr="00275FBD">
              <w:rPr>
                <w:rFonts w:asciiTheme="minorHAnsi" w:hAnsiTheme="minorHAnsi"/>
                <w:color w:val="000000"/>
                <w:sz w:val="18"/>
                <w:szCs w:val="18"/>
                <w:lang w:val="sl-SI" w:eastAsia="en-GB"/>
              </w:rPr>
              <w:t xml:space="preserve"> for shift </w:t>
            </w:r>
            <w:proofErr w:type="spellStart"/>
            <w:r w:rsidRPr="00275FBD">
              <w:rPr>
                <w:rFonts w:asciiTheme="minorHAnsi" w:hAnsiTheme="minorHAnsi"/>
                <w:color w:val="000000"/>
                <w:sz w:val="18"/>
                <w:szCs w:val="18"/>
                <w:lang w:val="sl-SI" w:eastAsia="en-GB"/>
              </w:rPr>
              <w:t>engineers</w:t>
            </w:r>
            <w:proofErr w:type="spellEnd"/>
            <w:r w:rsidRPr="00275FBD">
              <w:rPr>
                <w:rFonts w:asciiTheme="minorHAnsi" w:hAnsiTheme="minorHAnsi"/>
                <w:color w:val="000000"/>
                <w:sz w:val="18"/>
                <w:szCs w:val="18"/>
                <w:lang w:val="sl-SI" w:eastAsia="en-GB"/>
              </w:rPr>
              <w:t xml:space="preserve"> and the defined training program in NEK are in </w:t>
            </w:r>
            <w:proofErr w:type="spellStart"/>
            <w:r w:rsidRPr="00275FBD">
              <w:rPr>
                <w:rFonts w:asciiTheme="minorHAnsi" w:hAnsiTheme="minorHAnsi"/>
                <w:color w:val="000000"/>
                <w:sz w:val="18"/>
                <w:szCs w:val="18"/>
                <w:lang w:val="sl-SI" w:eastAsia="en-GB"/>
              </w:rPr>
              <w:t>compliance</w:t>
            </w:r>
            <w:proofErr w:type="spellEnd"/>
            <w:r w:rsidRPr="00275FBD">
              <w:rPr>
                <w:rFonts w:asciiTheme="minorHAnsi" w:hAnsiTheme="minorHAnsi"/>
                <w:color w:val="000000"/>
                <w:sz w:val="18"/>
                <w:szCs w:val="18"/>
                <w:lang w:val="sl-SI" w:eastAsia="en-GB"/>
              </w:rPr>
              <w:t xml:space="preserve"> with JV4.  </w:t>
            </w:r>
            <w:proofErr w:type="spellStart"/>
            <w:r w:rsidRPr="00275FBD">
              <w:rPr>
                <w:rFonts w:asciiTheme="minorHAnsi" w:hAnsiTheme="minorHAnsi"/>
                <w:color w:val="000000"/>
                <w:sz w:val="18"/>
                <w:szCs w:val="18"/>
                <w:lang w:val="sl-SI" w:eastAsia="en-GB"/>
              </w:rPr>
              <w:t>Nevertheless</w:t>
            </w:r>
            <w:proofErr w:type="spellEnd"/>
            <w:r w:rsidRPr="00275FBD">
              <w:rPr>
                <w:rFonts w:asciiTheme="minorHAnsi" w:hAnsiTheme="minorHAnsi"/>
                <w:color w:val="000000"/>
                <w:sz w:val="18"/>
                <w:szCs w:val="18"/>
                <w:lang w:val="sl-SI" w:eastAsia="en-GB"/>
              </w:rPr>
              <w:t xml:space="preserve">, TRG-13.153 </w:t>
            </w:r>
            <w:proofErr w:type="spellStart"/>
            <w:r w:rsidRPr="00275FBD">
              <w:rPr>
                <w:rFonts w:asciiTheme="minorHAnsi" w:hAnsiTheme="minorHAnsi"/>
                <w:color w:val="000000"/>
                <w:sz w:val="18"/>
                <w:szCs w:val="18"/>
                <w:lang w:val="sl-SI" w:eastAsia="en-GB"/>
              </w:rPr>
              <w:t>should</w:t>
            </w:r>
            <w:proofErr w:type="spellEnd"/>
            <w:r w:rsidRPr="00275FBD">
              <w:rPr>
                <w:rFonts w:asciiTheme="minorHAnsi" w:hAnsiTheme="minorHAnsi"/>
                <w:color w:val="000000"/>
                <w:sz w:val="18"/>
                <w:szCs w:val="18"/>
                <w:lang w:val="sl-SI" w:eastAsia="en-GB"/>
              </w:rPr>
              <w:t xml:space="preserve"> be </w:t>
            </w:r>
            <w:proofErr w:type="spellStart"/>
            <w:r w:rsidRPr="00275FBD">
              <w:rPr>
                <w:rFonts w:asciiTheme="minorHAnsi" w:hAnsiTheme="minorHAnsi"/>
                <w:color w:val="000000"/>
                <w:sz w:val="18"/>
                <w:szCs w:val="18"/>
                <w:lang w:val="sl-SI" w:eastAsia="en-GB"/>
              </w:rPr>
              <w:t>revised</w:t>
            </w:r>
            <w:proofErr w:type="spellEnd"/>
            <w:r w:rsidRPr="00275FBD">
              <w:rPr>
                <w:rFonts w:asciiTheme="minorHAnsi" w:hAnsiTheme="minorHAnsi"/>
                <w:color w:val="000000"/>
                <w:sz w:val="18"/>
                <w:szCs w:val="18"/>
                <w:lang w:val="sl-SI" w:eastAsia="en-GB"/>
              </w:rPr>
              <w:t xml:space="preserve"> in </w:t>
            </w:r>
            <w:proofErr w:type="spellStart"/>
            <w:r w:rsidRPr="00275FBD">
              <w:rPr>
                <w:rFonts w:asciiTheme="minorHAnsi" w:hAnsiTheme="minorHAnsi"/>
                <w:color w:val="000000"/>
                <w:sz w:val="18"/>
                <w:szCs w:val="18"/>
                <w:lang w:val="sl-SI" w:eastAsia="en-GB"/>
              </w:rPr>
              <w:t>order</w:t>
            </w:r>
            <w:proofErr w:type="spellEnd"/>
            <w:r w:rsidRPr="00275FBD">
              <w:rPr>
                <w:rFonts w:asciiTheme="minorHAnsi" w:hAnsiTheme="minorHAnsi"/>
                <w:color w:val="000000"/>
                <w:sz w:val="18"/>
                <w:szCs w:val="18"/>
                <w:lang w:val="sl-SI" w:eastAsia="en-GB"/>
              </w:rPr>
              <w:t xml:space="preserve"> to reference </w:t>
            </w:r>
            <w:proofErr w:type="spellStart"/>
            <w:r w:rsidRPr="00275FBD">
              <w:rPr>
                <w:rFonts w:asciiTheme="minorHAnsi" w:hAnsiTheme="minorHAnsi"/>
                <w:color w:val="000000"/>
                <w:sz w:val="18"/>
                <w:szCs w:val="18"/>
                <w:lang w:val="sl-SI" w:eastAsia="en-GB"/>
              </w:rPr>
              <w:t>current</w:t>
            </w:r>
            <w:proofErr w:type="spellEnd"/>
            <w:r w:rsidRPr="00275FBD">
              <w:rPr>
                <w:rFonts w:asciiTheme="minorHAnsi" w:hAnsiTheme="minorHAnsi"/>
                <w:color w:val="000000"/>
                <w:sz w:val="18"/>
                <w:szCs w:val="18"/>
                <w:lang w:val="sl-SI" w:eastAsia="en-GB"/>
              </w:rPr>
              <w:t xml:space="preserve"> JV4 </w:t>
            </w:r>
            <w:proofErr w:type="spellStart"/>
            <w:r w:rsidRPr="00275FBD">
              <w:rPr>
                <w:rFonts w:asciiTheme="minorHAnsi" w:hAnsiTheme="minorHAnsi"/>
                <w:color w:val="000000"/>
                <w:sz w:val="18"/>
                <w:szCs w:val="18"/>
                <w:lang w:val="sl-SI" w:eastAsia="en-GB"/>
              </w:rPr>
              <w:t>version</w:t>
            </w:r>
            <w:proofErr w:type="spellEnd"/>
            <w:r w:rsidRPr="00275FBD">
              <w:rPr>
                <w:rFonts w:asciiTheme="minorHAnsi" w:hAnsiTheme="minorHAnsi"/>
                <w:color w:val="000000"/>
                <w:sz w:val="18"/>
                <w:szCs w:val="18"/>
                <w:lang w:val="sl-SI" w:eastAsia="en-GB"/>
              </w:rPr>
              <w:t>.</w:t>
            </w:r>
            <w:r w:rsidRPr="00275FBD">
              <w:rPr>
                <w:rFonts w:asciiTheme="minorHAnsi" w:hAnsiTheme="minorHAnsi"/>
                <w:color w:val="000000"/>
                <w:sz w:val="18"/>
                <w:szCs w:val="18"/>
                <w:lang w:val="sl-SI" w:eastAsia="en-GB"/>
              </w:rPr>
              <w:br/>
            </w:r>
            <w:r w:rsidRPr="00275FBD">
              <w:rPr>
                <w:rFonts w:asciiTheme="minorHAnsi" w:hAnsiTheme="minorHAnsi"/>
                <w:color w:val="000000"/>
                <w:sz w:val="18"/>
                <w:szCs w:val="18"/>
                <w:lang w:val="sl-SI" w:eastAsia="en-GB"/>
              </w:rPr>
              <w:lastRenderedPageBreak/>
              <w:t xml:space="preserve">It is </w:t>
            </w:r>
            <w:proofErr w:type="spellStart"/>
            <w:r w:rsidRPr="00275FBD">
              <w:rPr>
                <w:rFonts w:asciiTheme="minorHAnsi" w:hAnsiTheme="minorHAnsi"/>
                <w:color w:val="000000"/>
                <w:sz w:val="18"/>
                <w:szCs w:val="18"/>
                <w:lang w:val="sl-SI" w:eastAsia="en-GB"/>
              </w:rPr>
              <w:t>undrestood</w:t>
            </w:r>
            <w:proofErr w:type="spellEnd"/>
            <w:r w:rsidRPr="00275FBD">
              <w:rPr>
                <w:rFonts w:asciiTheme="minorHAnsi" w:hAnsiTheme="minorHAnsi"/>
                <w:color w:val="000000"/>
                <w:sz w:val="18"/>
                <w:szCs w:val="18"/>
                <w:lang w:val="sl-SI" w:eastAsia="en-GB"/>
              </w:rPr>
              <w:t xml:space="preserve"> that the procedure is </w:t>
            </w:r>
            <w:proofErr w:type="spellStart"/>
            <w:r w:rsidRPr="00275FBD">
              <w:rPr>
                <w:rFonts w:asciiTheme="minorHAnsi" w:hAnsiTheme="minorHAnsi"/>
                <w:color w:val="000000"/>
                <w:sz w:val="18"/>
                <w:szCs w:val="18"/>
                <w:lang w:val="sl-SI" w:eastAsia="en-GB"/>
              </w:rPr>
              <w:t>actually</w:t>
            </w:r>
            <w:proofErr w:type="spellEnd"/>
            <w:r w:rsidRPr="00275FBD">
              <w:rPr>
                <w:rFonts w:asciiTheme="minorHAnsi" w:hAnsiTheme="minorHAnsi"/>
                <w:color w:val="000000"/>
                <w:sz w:val="18"/>
                <w:szCs w:val="18"/>
                <w:lang w:val="sl-SI" w:eastAsia="en-GB"/>
              </w:rPr>
              <w:t xml:space="preserve"> in </w:t>
            </w:r>
            <w:proofErr w:type="spellStart"/>
            <w:r w:rsidRPr="00275FBD">
              <w:rPr>
                <w:rFonts w:asciiTheme="minorHAnsi" w:hAnsiTheme="minorHAnsi"/>
                <w:color w:val="000000"/>
                <w:sz w:val="18"/>
                <w:szCs w:val="18"/>
                <w:lang w:val="sl-SI" w:eastAsia="en-GB"/>
              </w:rPr>
              <w:t>accordance</w:t>
            </w:r>
            <w:proofErr w:type="spellEnd"/>
            <w:r w:rsidRPr="00275FBD">
              <w:rPr>
                <w:rFonts w:asciiTheme="minorHAnsi" w:hAnsiTheme="minorHAnsi"/>
                <w:color w:val="000000"/>
                <w:sz w:val="18"/>
                <w:szCs w:val="18"/>
                <w:lang w:val="sl-SI" w:eastAsia="en-GB"/>
              </w:rPr>
              <w:t xml:space="preserve"> with </w:t>
            </w:r>
            <w:proofErr w:type="spellStart"/>
            <w:r w:rsidRPr="00275FBD">
              <w:rPr>
                <w:rFonts w:asciiTheme="minorHAnsi" w:hAnsiTheme="minorHAnsi"/>
                <w:color w:val="000000"/>
                <w:sz w:val="18"/>
                <w:szCs w:val="18"/>
                <w:lang w:val="sl-SI" w:eastAsia="en-GB"/>
              </w:rPr>
              <w:t>current</w:t>
            </w:r>
            <w:proofErr w:type="spellEnd"/>
            <w:r w:rsidRPr="00275FBD">
              <w:rPr>
                <w:rFonts w:asciiTheme="minorHAnsi" w:hAnsiTheme="minorHAnsi"/>
                <w:color w:val="000000"/>
                <w:sz w:val="18"/>
                <w:szCs w:val="18"/>
                <w:lang w:val="sl-SI" w:eastAsia="en-GB"/>
              </w:rPr>
              <w:t xml:space="preserve"> JV4, only the </w:t>
            </w:r>
            <w:proofErr w:type="spellStart"/>
            <w:r w:rsidRPr="00275FBD">
              <w:rPr>
                <w:rFonts w:asciiTheme="minorHAnsi" w:hAnsiTheme="minorHAnsi"/>
                <w:color w:val="000000"/>
                <w:sz w:val="18"/>
                <w:szCs w:val="18"/>
                <w:lang w:val="sl-SI" w:eastAsia="en-GB"/>
              </w:rPr>
              <w:t>proper</w:t>
            </w:r>
            <w:proofErr w:type="spellEnd"/>
            <w:r w:rsidRPr="00275FBD">
              <w:rPr>
                <w:rFonts w:asciiTheme="minorHAnsi" w:hAnsiTheme="minorHAnsi"/>
                <w:color w:val="000000"/>
                <w:sz w:val="18"/>
                <w:szCs w:val="18"/>
                <w:lang w:val="sl-SI" w:eastAsia="en-GB"/>
              </w:rPr>
              <w:t xml:space="preserve"> JV4 </w:t>
            </w:r>
            <w:proofErr w:type="spellStart"/>
            <w:r w:rsidRPr="00275FBD">
              <w:rPr>
                <w:rFonts w:asciiTheme="minorHAnsi" w:hAnsiTheme="minorHAnsi"/>
                <w:color w:val="000000"/>
                <w:sz w:val="18"/>
                <w:szCs w:val="18"/>
                <w:lang w:val="sl-SI" w:eastAsia="en-GB"/>
              </w:rPr>
              <w:t>version</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needs</w:t>
            </w:r>
            <w:proofErr w:type="spellEnd"/>
            <w:r w:rsidRPr="00275FBD">
              <w:rPr>
                <w:rFonts w:asciiTheme="minorHAnsi" w:hAnsiTheme="minorHAnsi"/>
                <w:color w:val="000000"/>
                <w:sz w:val="18"/>
                <w:szCs w:val="18"/>
                <w:lang w:val="sl-SI" w:eastAsia="en-GB"/>
              </w:rPr>
              <w:t xml:space="preserve"> to be </w:t>
            </w:r>
            <w:proofErr w:type="spellStart"/>
            <w:r w:rsidRPr="00275FBD">
              <w:rPr>
                <w:rFonts w:asciiTheme="minorHAnsi" w:hAnsiTheme="minorHAnsi"/>
                <w:color w:val="000000"/>
                <w:sz w:val="18"/>
                <w:szCs w:val="18"/>
                <w:lang w:val="sl-SI" w:eastAsia="en-GB"/>
              </w:rPr>
              <w:t>formally</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referred</w:t>
            </w:r>
            <w:proofErr w:type="spellEnd"/>
            <w:r w:rsidRPr="00275FBD">
              <w:rPr>
                <w:rFonts w:asciiTheme="minorHAnsi" w:hAnsiTheme="minorHAnsi"/>
                <w:color w:val="000000"/>
                <w:sz w:val="18"/>
                <w:szCs w:val="18"/>
                <w:lang w:val="sl-SI" w:eastAsia="en-GB"/>
              </w:rPr>
              <w:t xml:space="preserve"> to. </w:t>
            </w:r>
            <w:proofErr w:type="spellStart"/>
            <w:r w:rsidRPr="00275FBD">
              <w:rPr>
                <w:rFonts w:asciiTheme="minorHAnsi" w:hAnsiTheme="minorHAnsi"/>
                <w:color w:val="000000"/>
                <w:sz w:val="18"/>
                <w:szCs w:val="18"/>
                <w:lang w:val="sl-SI" w:eastAsia="en-GB"/>
              </w:rPr>
              <w:t>This</w:t>
            </w:r>
            <w:proofErr w:type="spellEnd"/>
            <w:r w:rsidRPr="00275FBD">
              <w:rPr>
                <w:rFonts w:asciiTheme="minorHAnsi" w:hAnsiTheme="minorHAnsi"/>
                <w:color w:val="000000"/>
                <w:sz w:val="18"/>
                <w:szCs w:val="18"/>
                <w:lang w:val="sl-SI" w:eastAsia="en-GB"/>
              </w:rPr>
              <w:t xml:space="preserve"> is </w:t>
            </w:r>
            <w:proofErr w:type="spellStart"/>
            <w:r w:rsidRPr="00275FBD">
              <w:rPr>
                <w:rFonts w:asciiTheme="minorHAnsi" w:hAnsiTheme="minorHAnsi"/>
                <w:color w:val="000000"/>
                <w:sz w:val="18"/>
                <w:szCs w:val="18"/>
                <w:lang w:val="sl-SI" w:eastAsia="en-GB"/>
              </w:rPr>
              <w:t>seen</w:t>
            </w:r>
            <w:proofErr w:type="spellEnd"/>
            <w:r w:rsidRPr="00275FBD">
              <w:rPr>
                <w:rFonts w:asciiTheme="minorHAnsi" w:hAnsiTheme="minorHAnsi"/>
                <w:color w:val="000000"/>
                <w:sz w:val="18"/>
                <w:szCs w:val="18"/>
                <w:lang w:val="sl-SI" w:eastAsia="en-GB"/>
              </w:rPr>
              <w:t xml:space="preserve"> as a </w:t>
            </w:r>
            <w:proofErr w:type="spellStart"/>
            <w:r w:rsidRPr="00275FBD">
              <w:rPr>
                <w:rFonts w:asciiTheme="minorHAnsi" w:hAnsiTheme="minorHAnsi"/>
                <w:color w:val="000000"/>
                <w:sz w:val="18"/>
                <w:szCs w:val="18"/>
                <w:lang w:val="sl-SI" w:eastAsia="en-GB"/>
              </w:rPr>
              <w:t>low</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effort</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resolution</w:t>
            </w:r>
            <w:proofErr w:type="spellEnd"/>
            <w:r w:rsidRPr="00275FBD">
              <w:rPr>
                <w:rFonts w:asciiTheme="minorHAnsi" w:hAnsiTheme="minorHAnsi"/>
                <w:color w:val="000000"/>
                <w:sz w:val="18"/>
                <w:szCs w:val="18"/>
                <w:lang w:val="sl-SI" w:eastAsia="en-GB"/>
              </w:rPr>
              <w:t>.</w:t>
            </w:r>
          </w:p>
        </w:tc>
        <w:tc>
          <w:tcPr>
            <w:tcW w:w="2043" w:type="dxa"/>
          </w:tcPr>
          <w:p w14:paraId="2368EC5D"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lastRenderedPageBreak/>
              <w:t>Time implementation: II</w:t>
            </w:r>
          </w:p>
        </w:tc>
      </w:tr>
      <w:tr w:rsidR="00935B67" w:rsidRPr="00275FBD" w14:paraId="5C95A6B0" w14:textId="77777777" w:rsidTr="008D5B31">
        <w:trPr>
          <w:trHeight w:val="559"/>
        </w:trPr>
        <w:tc>
          <w:tcPr>
            <w:tcW w:w="1418" w:type="dxa"/>
            <w:shd w:val="clear" w:color="auto" w:fill="auto"/>
            <w:noWrap/>
          </w:tcPr>
          <w:p w14:paraId="41F7A377"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4.4-005</w:t>
            </w:r>
          </w:p>
        </w:tc>
        <w:tc>
          <w:tcPr>
            <w:tcW w:w="855" w:type="dxa"/>
            <w:shd w:val="clear" w:color="auto" w:fill="auto"/>
          </w:tcPr>
          <w:p w14:paraId="5446EA31"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3F932B19"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4</w:t>
            </w:r>
          </w:p>
        </w:tc>
        <w:tc>
          <w:tcPr>
            <w:tcW w:w="8730" w:type="dxa"/>
            <w:shd w:val="clear" w:color="auto" w:fill="auto"/>
          </w:tcPr>
          <w:p w14:paraId="0BE93AFF"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
                <w:bCs/>
                <w:color w:val="000000"/>
                <w:sz w:val="18"/>
                <w:szCs w:val="18"/>
                <w:lang w:val="sl-SI" w:eastAsia="en-GB"/>
              </w:rPr>
              <w:t>TRG-13.002 and TRG 13.004 reference update.</w:t>
            </w:r>
            <w:r w:rsidRPr="00275FBD">
              <w:rPr>
                <w:rFonts w:asciiTheme="minorHAnsi" w:hAnsiTheme="minorHAnsi"/>
                <w:color w:val="000000"/>
                <w:sz w:val="18"/>
                <w:szCs w:val="18"/>
                <w:lang w:val="sl-SI" w:eastAsia="en-GB"/>
              </w:rPr>
              <w:t xml:space="preserve"> TRG-13.002 and TRG 13.004 </w:t>
            </w:r>
            <w:proofErr w:type="spellStart"/>
            <w:r w:rsidRPr="00275FBD">
              <w:rPr>
                <w:rFonts w:asciiTheme="minorHAnsi" w:hAnsiTheme="minorHAnsi"/>
                <w:color w:val="000000"/>
                <w:sz w:val="18"/>
                <w:szCs w:val="18"/>
                <w:lang w:val="sl-SI" w:eastAsia="en-GB"/>
              </w:rPr>
              <w:t>references</w:t>
            </w:r>
            <w:proofErr w:type="spellEnd"/>
            <w:r w:rsidRPr="00275FBD">
              <w:rPr>
                <w:rFonts w:asciiTheme="minorHAnsi" w:hAnsiTheme="minorHAnsi"/>
                <w:color w:val="000000"/>
                <w:sz w:val="18"/>
                <w:szCs w:val="18"/>
                <w:lang w:val="sl-SI" w:eastAsia="en-GB"/>
              </w:rPr>
              <w:t xml:space="preserve"> of ZVISJV and SV8 are </w:t>
            </w:r>
            <w:proofErr w:type="spellStart"/>
            <w:r w:rsidRPr="00275FBD">
              <w:rPr>
                <w:rFonts w:asciiTheme="minorHAnsi" w:hAnsiTheme="minorHAnsi"/>
                <w:color w:val="000000"/>
                <w:sz w:val="18"/>
                <w:szCs w:val="18"/>
                <w:lang w:val="sl-SI" w:eastAsia="en-GB"/>
              </w:rPr>
              <w:t>outdated</w:t>
            </w:r>
            <w:proofErr w:type="spellEnd"/>
            <w:r w:rsidRPr="00275FBD">
              <w:rPr>
                <w:rFonts w:asciiTheme="minorHAnsi" w:hAnsiTheme="minorHAnsi"/>
                <w:color w:val="000000"/>
                <w:sz w:val="18"/>
                <w:szCs w:val="18"/>
                <w:lang w:val="sl-SI" w:eastAsia="en-GB"/>
              </w:rPr>
              <w:t xml:space="preserve"> and </w:t>
            </w:r>
            <w:proofErr w:type="spellStart"/>
            <w:r w:rsidRPr="00275FBD">
              <w:rPr>
                <w:rFonts w:asciiTheme="minorHAnsi" w:hAnsiTheme="minorHAnsi"/>
                <w:color w:val="000000"/>
                <w:sz w:val="18"/>
                <w:szCs w:val="18"/>
                <w:lang w:val="sl-SI" w:eastAsia="en-GB"/>
              </w:rPr>
              <w:t>should</w:t>
            </w:r>
            <w:proofErr w:type="spellEnd"/>
            <w:r w:rsidRPr="00275FBD">
              <w:rPr>
                <w:rFonts w:asciiTheme="minorHAnsi" w:hAnsiTheme="minorHAnsi"/>
                <w:color w:val="000000"/>
                <w:sz w:val="18"/>
                <w:szCs w:val="18"/>
                <w:lang w:val="sl-SI" w:eastAsia="en-GB"/>
              </w:rPr>
              <w:t xml:space="preserve"> be </w:t>
            </w:r>
            <w:proofErr w:type="spellStart"/>
            <w:r w:rsidRPr="00275FBD">
              <w:rPr>
                <w:rFonts w:asciiTheme="minorHAnsi" w:hAnsiTheme="minorHAnsi"/>
                <w:color w:val="000000"/>
                <w:sz w:val="18"/>
                <w:szCs w:val="18"/>
                <w:lang w:val="sl-SI" w:eastAsia="en-GB"/>
              </w:rPr>
              <w:t>updated</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Although</w:t>
            </w:r>
            <w:proofErr w:type="spellEnd"/>
            <w:r w:rsidRPr="00275FBD">
              <w:rPr>
                <w:rFonts w:asciiTheme="minorHAnsi" w:hAnsiTheme="minorHAnsi"/>
                <w:color w:val="000000"/>
                <w:sz w:val="18"/>
                <w:szCs w:val="18"/>
                <w:lang w:val="sl-SI" w:eastAsia="en-GB"/>
              </w:rPr>
              <w:t xml:space="preserve"> all </w:t>
            </w:r>
            <w:proofErr w:type="spellStart"/>
            <w:r w:rsidRPr="00275FBD">
              <w:rPr>
                <w:rFonts w:asciiTheme="minorHAnsi" w:hAnsiTheme="minorHAnsi"/>
                <w:color w:val="000000"/>
                <w:sz w:val="18"/>
                <w:szCs w:val="18"/>
                <w:lang w:val="sl-SI" w:eastAsia="en-GB"/>
              </w:rPr>
              <w:t>requirements</w:t>
            </w:r>
            <w:proofErr w:type="spellEnd"/>
            <w:r w:rsidRPr="00275FBD">
              <w:rPr>
                <w:rFonts w:asciiTheme="minorHAnsi" w:hAnsiTheme="minorHAnsi"/>
                <w:color w:val="000000"/>
                <w:sz w:val="18"/>
                <w:szCs w:val="18"/>
                <w:lang w:val="sl-SI" w:eastAsia="en-GB"/>
              </w:rPr>
              <w:t xml:space="preserve"> set </w:t>
            </w:r>
            <w:proofErr w:type="spellStart"/>
            <w:r w:rsidRPr="00275FBD">
              <w:rPr>
                <w:rFonts w:asciiTheme="minorHAnsi" w:hAnsiTheme="minorHAnsi"/>
                <w:color w:val="000000"/>
                <w:sz w:val="18"/>
                <w:szCs w:val="18"/>
                <w:lang w:val="sl-SI" w:eastAsia="en-GB"/>
              </w:rPr>
              <w:t>forth</w:t>
            </w:r>
            <w:proofErr w:type="spellEnd"/>
            <w:r w:rsidRPr="00275FBD">
              <w:rPr>
                <w:rFonts w:asciiTheme="minorHAnsi" w:hAnsiTheme="minorHAnsi"/>
                <w:color w:val="000000"/>
                <w:sz w:val="18"/>
                <w:szCs w:val="18"/>
                <w:lang w:val="sl-SI" w:eastAsia="en-GB"/>
              </w:rPr>
              <w:t xml:space="preserve"> in </w:t>
            </w:r>
            <w:proofErr w:type="spellStart"/>
            <w:r w:rsidRPr="00275FBD">
              <w:rPr>
                <w:rFonts w:asciiTheme="minorHAnsi" w:hAnsiTheme="minorHAnsi"/>
                <w:color w:val="000000"/>
                <w:sz w:val="18"/>
                <w:szCs w:val="18"/>
                <w:lang w:val="sl-SI" w:eastAsia="en-GB"/>
              </w:rPr>
              <w:t>aforementioned</w:t>
            </w:r>
            <w:proofErr w:type="spellEnd"/>
            <w:r w:rsidRPr="00275FBD">
              <w:rPr>
                <w:rFonts w:asciiTheme="minorHAnsi" w:hAnsiTheme="minorHAnsi"/>
                <w:color w:val="000000"/>
                <w:sz w:val="18"/>
                <w:szCs w:val="18"/>
                <w:lang w:val="sl-SI" w:eastAsia="en-GB"/>
              </w:rPr>
              <w:t xml:space="preserve"> legislative </w:t>
            </w:r>
            <w:proofErr w:type="spellStart"/>
            <w:r w:rsidRPr="00275FBD">
              <w:rPr>
                <w:rFonts w:asciiTheme="minorHAnsi" w:hAnsiTheme="minorHAnsi"/>
                <w:color w:val="000000"/>
                <w:sz w:val="18"/>
                <w:szCs w:val="18"/>
                <w:lang w:val="sl-SI" w:eastAsia="en-GB"/>
              </w:rPr>
              <w:t>acts</w:t>
            </w:r>
            <w:proofErr w:type="spellEnd"/>
            <w:r w:rsidRPr="00275FBD">
              <w:rPr>
                <w:rFonts w:asciiTheme="minorHAnsi" w:hAnsiTheme="minorHAnsi"/>
                <w:color w:val="000000"/>
                <w:sz w:val="18"/>
                <w:szCs w:val="18"/>
                <w:lang w:val="sl-SI" w:eastAsia="en-GB"/>
              </w:rPr>
              <w:t xml:space="preserve"> are </w:t>
            </w:r>
            <w:proofErr w:type="spellStart"/>
            <w:r w:rsidRPr="00275FBD">
              <w:rPr>
                <w:rFonts w:asciiTheme="minorHAnsi" w:hAnsiTheme="minorHAnsi"/>
                <w:color w:val="000000"/>
                <w:sz w:val="18"/>
                <w:szCs w:val="18"/>
                <w:lang w:val="sl-SI" w:eastAsia="en-GB"/>
              </w:rPr>
              <w:t>fulfilled</w:t>
            </w:r>
            <w:proofErr w:type="spellEnd"/>
            <w:r w:rsidRPr="00275FBD">
              <w:rPr>
                <w:rFonts w:asciiTheme="minorHAnsi" w:hAnsiTheme="minorHAnsi"/>
                <w:color w:val="000000"/>
                <w:sz w:val="18"/>
                <w:szCs w:val="18"/>
                <w:lang w:val="sl-SI" w:eastAsia="en-GB"/>
              </w:rPr>
              <w:t xml:space="preserve">, in </w:t>
            </w:r>
            <w:proofErr w:type="spellStart"/>
            <w:r w:rsidRPr="00275FBD">
              <w:rPr>
                <w:rFonts w:asciiTheme="minorHAnsi" w:hAnsiTheme="minorHAnsi"/>
                <w:color w:val="000000"/>
                <w:sz w:val="18"/>
                <w:szCs w:val="18"/>
                <w:lang w:val="sl-SI" w:eastAsia="en-GB"/>
              </w:rPr>
              <w:t>next</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revisions</w:t>
            </w:r>
            <w:proofErr w:type="spellEnd"/>
            <w:r w:rsidRPr="00275FBD">
              <w:rPr>
                <w:rFonts w:asciiTheme="minorHAnsi" w:hAnsiTheme="minorHAnsi"/>
                <w:color w:val="000000"/>
                <w:sz w:val="18"/>
                <w:szCs w:val="18"/>
                <w:lang w:val="sl-SI" w:eastAsia="en-GB"/>
              </w:rPr>
              <w:t xml:space="preserve"> of NEK </w:t>
            </w:r>
            <w:proofErr w:type="spellStart"/>
            <w:r w:rsidRPr="00275FBD">
              <w:rPr>
                <w:rFonts w:asciiTheme="minorHAnsi" w:hAnsiTheme="minorHAnsi"/>
                <w:color w:val="000000"/>
                <w:sz w:val="18"/>
                <w:szCs w:val="18"/>
                <w:lang w:val="sl-SI" w:eastAsia="en-GB"/>
              </w:rPr>
              <w:t>procedures</w:t>
            </w:r>
            <w:proofErr w:type="spellEnd"/>
            <w:r w:rsidRPr="00275FBD">
              <w:rPr>
                <w:rFonts w:asciiTheme="minorHAnsi" w:hAnsiTheme="minorHAnsi"/>
                <w:color w:val="000000"/>
                <w:sz w:val="18"/>
                <w:szCs w:val="18"/>
                <w:lang w:val="sl-SI" w:eastAsia="en-GB"/>
              </w:rPr>
              <w:t xml:space="preserve"> the </w:t>
            </w:r>
            <w:proofErr w:type="spellStart"/>
            <w:r w:rsidRPr="00275FBD">
              <w:rPr>
                <w:rFonts w:asciiTheme="minorHAnsi" w:hAnsiTheme="minorHAnsi"/>
                <w:color w:val="000000"/>
                <w:sz w:val="18"/>
                <w:szCs w:val="18"/>
                <w:lang w:val="sl-SI" w:eastAsia="en-GB"/>
              </w:rPr>
              <w:t>references</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should</w:t>
            </w:r>
            <w:proofErr w:type="spellEnd"/>
            <w:r w:rsidRPr="00275FBD">
              <w:rPr>
                <w:rFonts w:asciiTheme="minorHAnsi" w:hAnsiTheme="minorHAnsi"/>
                <w:color w:val="000000"/>
                <w:sz w:val="18"/>
                <w:szCs w:val="18"/>
                <w:lang w:val="sl-SI" w:eastAsia="en-GB"/>
              </w:rPr>
              <w:t xml:space="preserve"> be </w:t>
            </w:r>
            <w:proofErr w:type="spellStart"/>
            <w:r w:rsidRPr="00275FBD">
              <w:rPr>
                <w:rFonts w:asciiTheme="minorHAnsi" w:hAnsiTheme="minorHAnsi"/>
                <w:color w:val="000000"/>
                <w:sz w:val="18"/>
                <w:szCs w:val="18"/>
                <w:lang w:val="sl-SI" w:eastAsia="en-GB"/>
              </w:rPr>
              <w:t>updated</w:t>
            </w:r>
            <w:proofErr w:type="spellEnd"/>
            <w:r w:rsidRPr="00275FBD">
              <w:rPr>
                <w:rFonts w:asciiTheme="minorHAnsi" w:hAnsiTheme="minorHAnsi"/>
                <w:color w:val="000000"/>
                <w:sz w:val="18"/>
                <w:szCs w:val="18"/>
                <w:lang w:val="sl-SI" w:eastAsia="en-GB"/>
              </w:rPr>
              <w:t>.</w:t>
            </w:r>
            <w:r w:rsidRPr="00275FBD">
              <w:rPr>
                <w:rFonts w:asciiTheme="minorHAnsi" w:hAnsiTheme="minorHAnsi"/>
                <w:color w:val="000000"/>
                <w:sz w:val="18"/>
                <w:szCs w:val="18"/>
                <w:lang w:val="sl-SI" w:eastAsia="en-GB"/>
              </w:rPr>
              <w:br/>
            </w:r>
            <w:proofErr w:type="spellStart"/>
            <w:r w:rsidRPr="00275FBD">
              <w:rPr>
                <w:rFonts w:asciiTheme="minorHAnsi" w:hAnsiTheme="minorHAnsi"/>
                <w:color w:val="000000"/>
                <w:sz w:val="18"/>
                <w:szCs w:val="18"/>
                <w:lang w:val="sl-SI" w:eastAsia="en-GB"/>
              </w:rPr>
              <w:t>This</w:t>
            </w:r>
            <w:proofErr w:type="spellEnd"/>
            <w:r w:rsidRPr="00275FBD">
              <w:rPr>
                <w:rFonts w:asciiTheme="minorHAnsi" w:hAnsiTheme="minorHAnsi"/>
                <w:color w:val="000000"/>
                <w:sz w:val="18"/>
                <w:szCs w:val="18"/>
                <w:lang w:val="sl-SI" w:eastAsia="en-GB"/>
              </w:rPr>
              <w:t xml:space="preserve"> is </w:t>
            </w:r>
            <w:proofErr w:type="spellStart"/>
            <w:r w:rsidRPr="00275FBD">
              <w:rPr>
                <w:rFonts w:asciiTheme="minorHAnsi" w:hAnsiTheme="minorHAnsi"/>
                <w:color w:val="000000"/>
                <w:sz w:val="18"/>
                <w:szCs w:val="18"/>
                <w:lang w:val="sl-SI" w:eastAsia="en-GB"/>
              </w:rPr>
              <w:t>seen</w:t>
            </w:r>
            <w:proofErr w:type="spellEnd"/>
            <w:r w:rsidRPr="00275FBD">
              <w:rPr>
                <w:rFonts w:asciiTheme="minorHAnsi" w:hAnsiTheme="minorHAnsi"/>
                <w:color w:val="000000"/>
                <w:sz w:val="18"/>
                <w:szCs w:val="18"/>
                <w:lang w:val="sl-SI" w:eastAsia="en-GB"/>
              </w:rPr>
              <w:t xml:space="preserve"> as a </w:t>
            </w:r>
            <w:proofErr w:type="spellStart"/>
            <w:r w:rsidRPr="00275FBD">
              <w:rPr>
                <w:rFonts w:asciiTheme="minorHAnsi" w:hAnsiTheme="minorHAnsi"/>
                <w:color w:val="000000"/>
                <w:sz w:val="18"/>
                <w:szCs w:val="18"/>
                <w:lang w:val="sl-SI" w:eastAsia="en-GB"/>
              </w:rPr>
              <w:t>low</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effort</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resolution</w:t>
            </w:r>
            <w:proofErr w:type="spellEnd"/>
            <w:r w:rsidRPr="00275FBD">
              <w:rPr>
                <w:rFonts w:asciiTheme="minorHAnsi" w:hAnsiTheme="minorHAnsi"/>
                <w:color w:val="000000"/>
                <w:sz w:val="18"/>
                <w:szCs w:val="18"/>
                <w:lang w:val="sl-SI" w:eastAsia="en-GB"/>
              </w:rPr>
              <w:t>.</w:t>
            </w:r>
          </w:p>
        </w:tc>
        <w:tc>
          <w:tcPr>
            <w:tcW w:w="2043" w:type="dxa"/>
          </w:tcPr>
          <w:p w14:paraId="0D89051B"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w:t>
            </w:r>
          </w:p>
        </w:tc>
      </w:tr>
      <w:tr w:rsidR="00935B67" w:rsidRPr="00275FBD" w14:paraId="1ED2DD8F" w14:textId="77777777" w:rsidTr="008D5B31">
        <w:trPr>
          <w:trHeight w:val="559"/>
        </w:trPr>
        <w:tc>
          <w:tcPr>
            <w:tcW w:w="1418" w:type="dxa"/>
            <w:shd w:val="clear" w:color="auto" w:fill="auto"/>
            <w:noWrap/>
          </w:tcPr>
          <w:p w14:paraId="74288B85"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7.1-026</w:t>
            </w:r>
          </w:p>
        </w:tc>
        <w:tc>
          <w:tcPr>
            <w:tcW w:w="855" w:type="dxa"/>
            <w:shd w:val="clear" w:color="auto" w:fill="auto"/>
          </w:tcPr>
          <w:p w14:paraId="527D687F"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301EC1A8"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5</w:t>
            </w:r>
          </w:p>
        </w:tc>
        <w:tc>
          <w:tcPr>
            <w:tcW w:w="8730" w:type="dxa"/>
            <w:shd w:val="clear" w:color="auto" w:fill="auto"/>
          </w:tcPr>
          <w:p w14:paraId="26F804A1"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
                <w:bCs/>
                <w:color w:val="000000"/>
                <w:sz w:val="18"/>
                <w:szCs w:val="18"/>
                <w:lang w:val="sl-SI" w:eastAsia="en-GB"/>
              </w:rPr>
              <w:t xml:space="preserve">Beta </w:t>
            </w:r>
            <w:proofErr w:type="spellStart"/>
            <w:r w:rsidRPr="00275FBD">
              <w:rPr>
                <w:rFonts w:asciiTheme="minorHAnsi" w:hAnsiTheme="minorHAnsi"/>
                <w:b/>
                <w:bCs/>
                <w:color w:val="000000"/>
                <w:sz w:val="18"/>
                <w:szCs w:val="18"/>
                <w:lang w:val="sl-SI" w:eastAsia="en-GB"/>
              </w:rPr>
              <w:t>skin</w:t>
            </w:r>
            <w:proofErr w:type="spellEnd"/>
            <w:r w:rsidRPr="00275FBD">
              <w:rPr>
                <w:rFonts w:asciiTheme="minorHAnsi" w:hAnsiTheme="minorHAnsi"/>
                <w:b/>
                <w:bCs/>
                <w:color w:val="000000"/>
                <w:sz w:val="18"/>
                <w:szCs w:val="18"/>
                <w:lang w:val="sl-SI" w:eastAsia="en-GB"/>
              </w:rPr>
              <w:t xml:space="preserve"> </w:t>
            </w:r>
            <w:proofErr w:type="spellStart"/>
            <w:r w:rsidRPr="00275FBD">
              <w:rPr>
                <w:rFonts w:asciiTheme="minorHAnsi" w:hAnsiTheme="minorHAnsi"/>
                <w:b/>
                <w:bCs/>
                <w:color w:val="000000"/>
                <w:sz w:val="18"/>
                <w:szCs w:val="18"/>
                <w:lang w:val="sl-SI" w:eastAsia="en-GB"/>
              </w:rPr>
              <w:t>exposure</w:t>
            </w:r>
            <w:proofErr w:type="spellEnd"/>
            <w:r w:rsidRPr="00275FBD">
              <w:rPr>
                <w:rFonts w:asciiTheme="minorHAnsi" w:hAnsiTheme="minorHAnsi"/>
                <w:b/>
                <w:bCs/>
                <w:color w:val="000000"/>
                <w:sz w:val="18"/>
                <w:szCs w:val="18"/>
                <w:lang w:val="sl-SI" w:eastAsia="en-GB"/>
              </w:rPr>
              <w:t xml:space="preserve"> </w:t>
            </w:r>
            <w:proofErr w:type="spellStart"/>
            <w:r w:rsidRPr="00275FBD">
              <w:rPr>
                <w:rFonts w:asciiTheme="minorHAnsi" w:hAnsiTheme="minorHAnsi"/>
                <w:b/>
                <w:bCs/>
                <w:color w:val="000000"/>
                <w:sz w:val="18"/>
                <w:szCs w:val="18"/>
                <w:lang w:val="sl-SI" w:eastAsia="en-GB"/>
              </w:rPr>
              <w:t>prevention</w:t>
            </w:r>
            <w:proofErr w:type="spellEnd"/>
            <w:r w:rsidRPr="00275FBD">
              <w:rPr>
                <w:rFonts w:asciiTheme="minorHAnsi" w:hAnsiTheme="minorHAnsi"/>
                <w:color w:val="000000"/>
                <w:sz w:val="18"/>
                <w:szCs w:val="18"/>
                <w:lang w:val="sl-SI" w:eastAsia="en-GB"/>
              </w:rPr>
              <w:t xml:space="preserve">. In the procedure ADP-1.7.002 5.1.4.3 beta </w:t>
            </w:r>
            <w:proofErr w:type="spellStart"/>
            <w:r w:rsidRPr="00275FBD">
              <w:rPr>
                <w:rFonts w:asciiTheme="minorHAnsi" w:hAnsiTheme="minorHAnsi"/>
                <w:color w:val="000000"/>
                <w:sz w:val="18"/>
                <w:szCs w:val="18"/>
                <w:lang w:val="sl-SI" w:eastAsia="en-GB"/>
              </w:rPr>
              <w:t>skin</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dose</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reduction</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techniques</w:t>
            </w:r>
            <w:proofErr w:type="spellEnd"/>
            <w:r w:rsidRPr="00275FBD">
              <w:rPr>
                <w:rFonts w:asciiTheme="minorHAnsi" w:hAnsiTheme="minorHAnsi"/>
                <w:color w:val="000000"/>
                <w:sz w:val="18"/>
                <w:szCs w:val="18"/>
                <w:lang w:val="sl-SI" w:eastAsia="en-GB"/>
              </w:rPr>
              <w:t xml:space="preserve"> are </w:t>
            </w:r>
            <w:proofErr w:type="spellStart"/>
            <w:r w:rsidRPr="00275FBD">
              <w:rPr>
                <w:rFonts w:asciiTheme="minorHAnsi" w:hAnsiTheme="minorHAnsi"/>
                <w:color w:val="000000"/>
                <w:sz w:val="18"/>
                <w:szCs w:val="18"/>
                <w:lang w:val="sl-SI" w:eastAsia="en-GB"/>
              </w:rPr>
              <w:t>described</w:t>
            </w:r>
            <w:proofErr w:type="spellEnd"/>
            <w:r w:rsidRPr="00275FBD">
              <w:rPr>
                <w:rFonts w:asciiTheme="minorHAnsi" w:hAnsiTheme="minorHAnsi"/>
                <w:color w:val="000000"/>
                <w:sz w:val="18"/>
                <w:szCs w:val="18"/>
                <w:lang w:val="sl-SI" w:eastAsia="en-GB"/>
              </w:rPr>
              <w:t xml:space="preserve">. It </w:t>
            </w:r>
            <w:proofErr w:type="spellStart"/>
            <w:r w:rsidRPr="00275FBD">
              <w:rPr>
                <w:rFonts w:asciiTheme="minorHAnsi" w:hAnsiTheme="minorHAnsi"/>
                <w:color w:val="000000"/>
                <w:sz w:val="18"/>
                <w:szCs w:val="18"/>
                <w:lang w:val="sl-SI" w:eastAsia="en-GB"/>
              </w:rPr>
              <w:t>should</w:t>
            </w:r>
            <w:proofErr w:type="spellEnd"/>
            <w:r w:rsidRPr="00275FBD">
              <w:rPr>
                <w:rFonts w:asciiTheme="minorHAnsi" w:hAnsiTheme="minorHAnsi"/>
                <w:color w:val="000000"/>
                <w:sz w:val="18"/>
                <w:szCs w:val="18"/>
                <w:lang w:val="sl-SI" w:eastAsia="en-GB"/>
              </w:rPr>
              <w:t xml:space="preserve"> be </w:t>
            </w:r>
            <w:proofErr w:type="spellStart"/>
            <w:r w:rsidRPr="00275FBD">
              <w:rPr>
                <w:rFonts w:asciiTheme="minorHAnsi" w:hAnsiTheme="minorHAnsi"/>
                <w:color w:val="000000"/>
                <w:sz w:val="18"/>
                <w:szCs w:val="18"/>
                <w:lang w:val="sl-SI" w:eastAsia="en-GB"/>
              </w:rPr>
              <w:t>also</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stringently</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stated</w:t>
            </w:r>
            <w:proofErr w:type="spellEnd"/>
            <w:r w:rsidRPr="00275FBD">
              <w:rPr>
                <w:rFonts w:asciiTheme="minorHAnsi" w:hAnsiTheme="minorHAnsi"/>
                <w:color w:val="000000"/>
                <w:sz w:val="18"/>
                <w:szCs w:val="18"/>
                <w:lang w:val="sl-SI" w:eastAsia="en-GB"/>
              </w:rPr>
              <w:t xml:space="preserve"> that no part of </w:t>
            </w:r>
            <w:proofErr w:type="spellStart"/>
            <w:r w:rsidRPr="00275FBD">
              <w:rPr>
                <w:rFonts w:asciiTheme="minorHAnsi" w:hAnsiTheme="minorHAnsi"/>
                <w:color w:val="000000"/>
                <w:sz w:val="18"/>
                <w:szCs w:val="18"/>
                <w:lang w:val="sl-SI" w:eastAsia="en-GB"/>
              </w:rPr>
              <w:t>skin</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around</w:t>
            </w:r>
            <w:proofErr w:type="spellEnd"/>
            <w:r w:rsidRPr="00275FBD">
              <w:rPr>
                <w:rFonts w:asciiTheme="minorHAnsi" w:hAnsiTheme="minorHAnsi"/>
                <w:color w:val="000000"/>
                <w:sz w:val="18"/>
                <w:szCs w:val="18"/>
                <w:lang w:val="sl-SI" w:eastAsia="en-GB"/>
              </w:rPr>
              <w:t xml:space="preserve"> full-face mask </w:t>
            </w:r>
            <w:proofErr w:type="spellStart"/>
            <w:r w:rsidRPr="00275FBD">
              <w:rPr>
                <w:rFonts w:asciiTheme="minorHAnsi" w:hAnsiTheme="minorHAnsi"/>
                <w:color w:val="000000"/>
                <w:sz w:val="18"/>
                <w:szCs w:val="18"/>
                <w:lang w:val="sl-SI" w:eastAsia="en-GB"/>
              </w:rPr>
              <w:t>shall</w:t>
            </w:r>
            <w:proofErr w:type="spellEnd"/>
            <w:r w:rsidRPr="00275FBD">
              <w:rPr>
                <w:rFonts w:asciiTheme="minorHAnsi" w:hAnsiTheme="minorHAnsi"/>
                <w:color w:val="000000"/>
                <w:sz w:val="18"/>
                <w:szCs w:val="18"/>
                <w:lang w:val="sl-SI" w:eastAsia="en-GB"/>
              </w:rPr>
              <w:t xml:space="preserve"> be </w:t>
            </w:r>
            <w:proofErr w:type="spellStart"/>
            <w:r w:rsidRPr="00275FBD">
              <w:rPr>
                <w:rFonts w:asciiTheme="minorHAnsi" w:hAnsiTheme="minorHAnsi"/>
                <w:color w:val="000000"/>
                <w:sz w:val="18"/>
                <w:szCs w:val="18"/>
                <w:lang w:val="sl-SI" w:eastAsia="en-GB"/>
              </w:rPr>
              <w:t>exposed</w:t>
            </w:r>
            <w:proofErr w:type="spellEnd"/>
            <w:r w:rsidRPr="00275FBD">
              <w:rPr>
                <w:rFonts w:asciiTheme="minorHAnsi" w:hAnsiTheme="minorHAnsi"/>
                <w:color w:val="000000"/>
                <w:sz w:val="18"/>
                <w:szCs w:val="18"/>
                <w:lang w:val="sl-SI" w:eastAsia="en-GB"/>
              </w:rPr>
              <w:t>.</w:t>
            </w:r>
            <w:r w:rsidRPr="00275FBD">
              <w:rPr>
                <w:rFonts w:asciiTheme="minorHAnsi" w:hAnsiTheme="minorHAnsi"/>
                <w:color w:val="000000"/>
                <w:sz w:val="18"/>
                <w:szCs w:val="18"/>
                <w:lang w:val="sl-SI" w:eastAsia="en-GB"/>
              </w:rPr>
              <w:br/>
              <w:t xml:space="preserve">OSF element: </w:t>
            </w:r>
            <w:proofErr w:type="spellStart"/>
            <w:r w:rsidRPr="00275FBD">
              <w:rPr>
                <w:rFonts w:asciiTheme="minorHAnsi" w:hAnsiTheme="minorHAnsi"/>
                <w:color w:val="000000"/>
                <w:sz w:val="18"/>
                <w:szCs w:val="18"/>
                <w:lang w:val="sl-SI" w:eastAsia="en-GB"/>
              </w:rPr>
              <w:t>Procedures</w:t>
            </w:r>
            <w:proofErr w:type="spellEnd"/>
            <w:r w:rsidRPr="00275FBD">
              <w:rPr>
                <w:rFonts w:asciiTheme="minorHAnsi" w:hAnsiTheme="minorHAnsi"/>
                <w:color w:val="000000"/>
                <w:sz w:val="18"/>
                <w:szCs w:val="18"/>
                <w:lang w:val="sl-SI" w:eastAsia="en-GB"/>
              </w:rPr>
              <w:t xml:space="preserve"> (with </w:t>
            </w:r>
            <w:proofErr w:type="spellStart"/>
            <w:r w:rsidRPr="00275FBD">
              <w:rPr>
                <w:rFonts w:asciiTheme="minorHAnsi" w:hAnsiTheme="minorHAnsi"/>
                <w:color w:val="000000"/>
                <w:sz w:val="18"/>
                <w:szCs w:val="18"/>
                <w:lang w:val="sl-SI" w:eastAsia="en-GB"/>
              </w:rPr>
              <w:t>regard</w:t>
            </w:r>
            <w:proofErr w:type="spellEnd"/>
            <w:r w:rsidRPr="00275FBD">
              <w:rPr>
                <w:rFonts w:asciiTheme="minorHAnsi" w:hAnsiTheme="minorHAnsi"/>
                <w:color w:val="000000"/>
                <w:sz w:val="18"/>
                <w:szCs w:val="18"/>
                <w:lang w:val="sl-SI" w:eastAsia="en-GB"/>
              </w:rPr>
              <w:t xml:space="preserve"> to the OSF "Radiological Protection and </w:t>
            </w:r>
            <w:proofErr w:type="spellStart"/>
            <w:r w:rsidRPr="00275FBD">
              <w:rPr>
                <w:rFonts w:asciiTheme="minorHAnsi" w:hAnsiTheme="minorHAnsi"/>
                <w:color w:val="000000"/>
                <w:sz w:val="18"/>
                <w:szCs w:val="18"/>
                <w:lang w:val="sl-SI" w:eastAsia="en-GB"/>
              </w:rPr>
              <w:t>Other</w:t>
            </w:r>
            <w:proofErr w:type="spellEnd"/>
            <w:r w:rsidRPr="00275FBD">
              <w:rPr>
                <w:rFonts w:asciiTheme="minorHAnsi" w:hAnsiTheme="minorHAnsi"/>
                <w:color w:val="000000"/>
                <w:sz w:val="18"/>
                <w:szCs w:val="18"/>
                <w:lang w:val="sl-SI" w:eastAsia="en-GB"/>
              </w:rPr>
              <w:t xml:space="preserve"> Occupational </w:t>
            </w:r>
            <w:proofErr w:type="spellStart"/>
            <w:r w:rsidRPr="00275FBD">
              <w:rPr>
                <w:rFonts w:asciiTheme="minorHAnsi" w:hAnsiTheme="minorHAnsi"/>
                <w:color w:val="000000"/>
                <w:sz w:val="18"/>
                <w:szCs w:val="18"/>
                <w:lang w:val="sl-SI" w:eastAsia="en-GB"/>
              </w:rPr>
              <w:t>Hazards</w:t>
            </w:r>
            <w:proofErr w:type="spellEnd"/>
            <w:r w:rsidRPr="00275FBD">
              <w:rPr>
                <w:rFonts w:asciiTheme="minorHAnsi" w:hAnsiTheme="minorHAnsi"/>
                <w:color w:val="000000"/>
                <w:sz w:val="18"/>
                <w:szCs w:val="18"/>
                <w:lang w:val="sl-SI" w:eastAsia="en-GB"/>
              </w:rPr>
              <w:t>").</w:t>
            </w:r>
          </w:p>
        </w:tc>
        <w:tc>
          <w:tcPr>
            <w:tcW w:w="2043" w:type="dxa"/>
          </w:tcPr>
          <w:p w14:paraId="13D6499E"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II</w:t>
            </w:r>
          </w:p>
        </w:tc>
      </w:tr>
      <w:tr w:rsidR="00935B67" w:rsidRPr="00275FBD" w14:paraId="18922A0E" w14:textId="77777777" w:rsidTr="008D5B31">
        <w:trPr>
          <w:trHeight w:val="559"/>
        </w:trPr>
        <w:tc>
          <w:tcPr>
            <w:tcW w:w="1418" w:type="dxa"/>
            <w:shd w:val="clear" w:color="auto" w:fill="auto"/>
            <w:noWrap/>
          </w:tcPr>
          <w:p w14:paraId="1A8A8268"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PSR3 7.1-030</w:t>
            </w:r>
          </w:p>
        </w:tc>
        <w:tc>
          <w:tcPr>
            <w:tcW w:w="855" w:type="dxa"/>
            <w:shd w:val="clear" w:color="auto" w:fill="auto"/>
          </w:tcPr>
          <w:p w14:paraId="4EB97FE2"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L</w:t>
            </w:r>
          </w:p>
        </w:tc>
        <w:tc>
          <w:tcPr>
            <w:tcW w:w="993" w:type="dxa"/>
          </w:tcPr>
          <w:p w14:paraId="3D6BF278" w14:textId="77777777" w:rsidR="00935B67" w:rsidRPr="00275FBD" w:rsidRDefault="00935B67" w:rsidP="00935B67">
            <w:pPr>
              <w:jc w:val="center"/>
              <w:rPr>
                <w:rFonts w:asciiTheme="minorHAnsi" w:hAnsiTheme="minorHAnsi"/>
                <w:color w:val="000000"/>
                <w:sz w:val="18"/>
                <w:szCs w:val="18"/>
                <w:lang w:val="sl-SI" w:eastAsia="en-GB"/>
              </w:rPr>
            </w:pPr>
            <w:r w:rsidRPr="00275FBD">
              <w:rPr>
                <w:rFonts w:asciiTheme="minorHAnsi" w:hAnsiTheme="minorHAnsi"/>
                <w:color w:val="000000"/>
                <w:sz w:val="18"/>
                <w:szCs w:val="18"/>
                <w:lang w:val="sl-SI" w:eastAsia="en-GB"/>
              </w:rPr>
              <w:t>5</w:t>
            </w:r>
          </w:p>
        </w:tc>
        <w:tc>
          <w:tcPr>
            <w:tcW w:w="8730" w:type="dxa"/>
            <w:shd w:val="clear" w:color="auto" w:fill="auto"/>
          </w:tcPr>
          <w:p w14:paraId="7141B89D"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
                <w:bCs/>
                <w:color w:val="000000"/>
                <w:sz w:val="18"/>
                <w:szCs w:val="18"/>
                <w:lang w:val="sl-SI" w:eastAsia="en-GB"/>
              </w:rPr>
              <w:t xml:space="preserve">Radioactive </w:t>
            </w:r>
            <w:proofErr w:type="spellStart"/>
            <w:r w:rsidRPr="00275FBD">
              <w:rPr>
                <w:rFonts w:asciiTheme="minorHAnsi" w:hAnsiTheme="minorHAnsi"/>
                <w:b/>
                <w:bCs/>
                <w:color w:val="000000"/>
                <w:sz w:val="18"/>
                <w:szCs w:val="18"/>
                <w:lang w:val="sl-SI" w:eastAsia="en-GB"/>
              </w:rPr>
              <w:t>contamination</w:t>
            </w:r>
            <w:proofErr w:type="spellEnd"/>
            <w:r w:rsidRPr="00275FBD">
              <w:rPr>
                <w:rFonts w:asciiTheme="minorHAnsi" w:hAnsiTheme="minorHAnsi"/>
                <w:b/>
                <w:bCs/>
                <w:color w:val="000000"/>
                <w:sz w:val="18"/>
                <w:szCs w:val="18"/>
                <w:lang w:val="sl-SI" w:eastAsia="en-GB"/>
              </w:rPr>
              <w:t xml:space="preserve"> </w:t>
            </w:r>
            <w:proofErr w:type="spellStart"/>
            <w:r w:rsidRPr="00275FBD">
              <w:rPr>
                <w:rFonts w:asciiTheme="minorHAnsi" w:hAnsiTheme="minorHAnsi"/>
                <w:b/>
                <w:bCs/>
                <w:color w:val="000000"/>
                <w:sz w:val="18"/>
                <w:szCs w:val="18"/>
                <w:lang w:val="sl-SI" w:eastAsia="en-GB"/>
              </w:rPr>
              <w:t>Limits</w:t>
            </w:r>
            <w:proofErr w:type="spellEnd"/>
            <w:r w:rsidRPr="00275FBD">
              <w:rPr>
                <w:rFonts w:asciiTheme="minorHAnsi" w:hAnsiTheme="minorHAnsi"/>
                <w:color w:val="000000"/>
                <w:sz w:val="18"/>
                <w:szCs w:val="18"/>
                <w:lang w:val="sl-SI" w:eastAsia="en-GB"/>
              </w:rPr>
              <w:t xml:space="preserve">. In the procedure ADP-1.7.002 in the “Limit </w:t>
            </w:r>
            <w:proofErr w:type="spellStart"/>
            <w:r w:rsidRPr="00275FBD">
              <w:rPr>
                <w:rFonts w:asciiTheme="minorHAnsi" w:hAnsiTheme="minorHAnsi"/>
                <w:color w:val="000000"/>
                <w:sz w:val="18"/>
                <w:szCs w:val="18"/>
                <w:lang w:val="sl-SI" w:eastAsia="en-GB"/>
              </w:rPr>
              <w:t>Values</w:t>
            </w:r>
            <w:proofErr w:type="spellEnd"/>
            <w:r w:rsidRPr="00275FBD">
              <w:rPr>
                <w:rFonts w:asciiTheme="minorHAnsi" w:hAnsiTheme="minorHAnsi"/>
                <w:color w:val="000000"/>
                <w:sz w:val="18"/>
                <w:szCs w:val="18"/>
                <w:lang w:val="sl-SI" w:eastAsia="en-GB"/>
              </w:rPr>
              <w:t xml:space="preserve"> for the </w:t>
            </w:r>
            <w:proofErr w:type="spellStart"/>
            <w:r w:rsidRPr="00275FBD">
              <w:rPr>
                <w:rFonts w:asciiTheme="minorHAnsi" w:hAnsiTheme="minorHAnsi"/>
                <w:color w:val="000000"/>
                <w:sz w:val="18"/>
                <w:szCs w:val="18"/>
                <w:lang w:val="sl-SI" w:eastAsia="en-GB"/>
              </w:rPr>
              <w:t>Contamination</w:t>
            </w:r>
            <w:proofErr w:type="spellEnd"/>
            <w:r w:rsidRPr="00275FBD">
              <w:rPr>
                <w:rFonts w:asciiTheme="minorHAnsi" w:hAnsiTheme="minorHAnsi"/>
                <w:color w:val="000000"/>
                <w:sz w:val="18"/>
                <w:szCs w:val="18"/>
                <w:lang w:val="sl-SI" w:eastAsia="en-GB"/>
              </w:rPr>
              <w:t xml:space="preserve"> of </w:t>
            </w:r>
            <w:proofErr w:type="spellStart"/>
            <w:r w:rsidRPr="00275FBD">
              <w:rPr>
                <w:rFonts w:asciiTheme="minorHAnsi" w:hAnsiTheme="minorHAnsi"/>
                <w:color w:val="000000"/>
                <w:sz w:val="18"/>
                <w:szCs w:val="18"/>
                <w:lang w:val="sl-SI" w:eastAsia="en-GB"/>
              </w:rPr>
              <w:t>Working</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environment</w:t>
            </w:r>
            <w:proofErr w:type="spellEnd"/>
            <w:r w:rsidRPr="00275FBD">
              <w:rPr>
                <w:rFonts w:asciiTheme="minorHAnsi" w:hAnsiTheme="minorHAnsi"/>
                <w:color w:val="000000"/>
                <w:sz w:val="18"/>
                <w:szCs w:val="18"/>
                <w:lang w:val="sl-SI" w:eastAsia="en-GB"/>
              </w:rPr>
              <w:t xml:space="preserve">” the </w:t>
            </w:r>
            <w:proofErr w:type="spellStart"/>
            <w:r w:rsidRPr="00275FBD">
              <w:rPr>
                <w:rFonts w:asciiTheme="minorHAnsi" w:hAnsiTheme="minorHAnsi"/>
                <w:color w:val="000000"/>
                <w:sz w:val="18"/>
                <w:szCs w:val="18"/>
                <w:lang w:val="sl-SI" w:eastAsia="en-GB"/>
              </w:rPr>
              <w:t>paragraph</w:t>
            </w:r>
            <w:proofErr w:type="spellEnd"/>
            <w:r w:rsidRPr="00275FBD">
              <w:rPr>
                <w:rFonts w:asciiTheme="minorHAnsi" w:hAnsiTheme="minorHAnsi"/>
                <w:color w:val="000000"/>
                <w:sz w:val="18"/>
                <w:szCs w:val="18"/>
                <w:lang w:val="sl-SI" w:eastAsia="en-GB"/>
              </w:rPr>
              <w:t xml:space="preserve"> (3) the </w:t>
            </w:r>
            <w:proofErr w:type="spellStart"/>
            <w:r w:rsidRPr="00275FBD">
              <w:rPr>
                <w:rFonts w:asciiTheme="minorHAnsi" w:hAnsiTheme="minorHAnsi"/>
                <w:color w:val="000000"/>
                <w:sz w:val="18"/>
                <w:szCs w:val="18"/>
                <w:lang w:val="sl-SI" w:eastAsia="en-GB"/>
              </w:rPr>
              <w:t>limits</w:t>
            </w:r>
            <w:proofErr w:type="spellEnd"/>
            <w:r w:rsidRPr="00275FBD">
              <w:rPr>
                <w:rFonts w:asciiTheme="minorHAnsi" w:hAnsiTheme="minorHAnsi"/>
                <w:color w:val="000000"/>
                <w:sz w:val="18"/>
                <w:szCs w:val="18"/>
                <w:lang w:val="sl-SI" w:eastAsia="en-GB"/>
              </w:rPr>
              <w:t xml:space="preserve"> for </w:t>
            </w:r>
            <w:proofErr w:type="spellStart"/>
            <w:r w:rsidRPr="00275FBD">
              <w:rPr>
                <w:rFonts w:asciiTheme="minorHAnsi" w:hAnsiTheme="minorHAnsi"/>
                <w:color w:val="000000"/>
                <w:sz w:val="18"/>
                <w:szCs w:val="18"/>
                <w:lang w:val="sl-SI" w:eastAsia="en-GB"/>
              </w:rPr>
              <w:t>removable</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contamination</w:t>
            </w:r>
            <w:proofErr w:type="spellEnd"/>
            <w:r w:rsidRPr="00275FBD">
              <w:rPr>
                <w:rFonts w:asciiTheme="minorHAnsi" w:hAnsiTheme="minorHAnsi"/>
                <w:color w:val="000000"/>
                <w:sz w:val="18"/>
                <w:szCs w:val="18"/>
                <w:lang w:val="sl-SI" w:eastAsia="en-GB"/>
              </w:rPr>
              <w:t xml:space="preserve"> are only valid </w:t>
            </w:r>
            <w:proofErr w:type="spellStart"/>
            <w:r w:rsidRPr="00275FBD">
              <w:rPr>
                <w:rFonts w:asciiTheme="minorHAnsi" w:hAnsiTheme="minorHAnsi"/>
                <w:color w:val="000000"/>
                <w:sz w:val="18"/>
                <w:szCs w:val="18"/>
                <w:lang w:val="sl-SI" w:eastAsia="en-GB"/>
              </w:rPr>
              <w:t>if</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bound</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contamination</w:t>
            </w:r>
            <w:proofErr w:type="spellEnd"/>
            <w:r w:rsidRPr="00275FBD">
              <w:rPr>
                <w:rFonts w:asciiTheme="minorHAnsi" w:hAnsiTheme="minorHAnsi"/>
                <w:color w:val="000000"/>
                <w:sz w:val="18"/>
                <w:szCs w:val="18"/>
                <w:lang w:val="sl-SI" w:eastAsia="en-GB"/>
              </w:rPr>
              <w:t xml:space="preserve"> is </w:t>
            </w:r>
            <w:proofErr w:type="spellStart"/>
            <w:r w:rsidRPr="00275FBD">
              <w:rPr>
                <w:rFonts w:asciiTheme="minorHAnsi" w:hAnsiTheme="minorHAnsi"/>
                <w:color w:val="000000"/>
                <w:sz w:val="18"/>
                <w:szCs w:val="18"/>
                <w:lang w:val="sl-SI" w:eastAsia="en-GB"/>
              </w:rPr>
              <w:t>found</w:t>
            </w:r>
            <w:proofErr w:type="spellEnd"/>
            <w:r w:rsidRPr="00275FBD">
              <w:rPr>
                <w:rFonts w:asciiTheme="minorHAnsi" w:hAnsiTheme="minorHAnsi"/>
                <w:color w:val="000000"/>
                <w:sz w:val="18"/>
                <w:szCs w:val="18"/>
                <w:lang w:val="sl-SI" w:eastAsia="en-GB"/>
              </w:rPr>
              <w:t>. The term “</w:t>
            </w:r>
            <w:proofErr w:type="spellStart"/>
            <w:r w:rsidRPr="00275FBD">
              <w:rPr>
                <w:rFonts w:asciiTheme="minorHAnsi" w:hAnsiTheme="minorHAnsi"/>
                <w:color w:val="000000"/>
                <w:sz w:val="18"/>
                <w:szCs w:val="18"/>
                <w:lang w:val="sl-SI" w:eastAsia="en-GB"/>
              </w:rPr>
              <w:t>bound</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should</w:t>
            </w:r>
            <w:proofErr w:type="spellEnd"/>
            <w:r w:rsidRPr="00275FBD">
              <w:rPr>
                <w:rFonts w:asciiTheme="minorHAnsi" w:hAnsiTheme="minorHAnsi"/>
                <w:color w:val="000000"/>
                <w:sz w:val="18"/>
                <w:szCs w:val="18"/>
                <w:lang w:val="sl-SI" w:eastAsia="en-GB"/>
              </w:rPr>
              <w:t xml:space="preserve"> be </w:t>
            </w:r>
            <w:proofErr w:type="spellStart"/>
            <w:r w:rsidRPr="00275FBD">
              <w:rPr>
                <w:rFonts w:asciiTheme="minorHAnsi" w:hAnsiTheme="minorHAnsi"/>
                <w:color w:val="000000"/>
                <w:sz w:val="18"/>
                <w:szCs w:val="18"/>
                <w:lang w:val="sl-SI" w:eastAsia="en-GB"/>
              </w:rPr>
              <w:t>added</w:t>
            </w:r>
            <w:proofErr w:type="spellEnd"/>
            <w:r w:rsidRPr="00275FBD">
              <w:rPr>
                <w:rFonts w:asciiTheme="minorHAnsi" w:hAnsiTheme="minorHAnsi"/>
                <w:color w:val="000000"/>
                <w:sz w:val="18"/>
                <w:szCs w:val="18"/>
                <w:lang w:val="sl-SI" w:eastAsia="en-GB"/>
              </w:rPr>
              <w:t xml:space="preserve"> to </w:t>
            </w:r>
            <w:proofErr w:type="spellStart"/>
            <w:r w:rsidRPr="00275FBD">
              <w:rPr>
                <w:rFonts w:asciiTheme="minorHAnsi" w:hAnsiTheme="minorHAnsi"/>
                <w:color w:val="000000"/>
                <w:sz w:val="18"/>
                <w:szCs w:val="18"/>
                <w:lang w:val="sl-SI" w:eastAsia="en-GB"/>
              </w:rPr>
              <w:t>prevent</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confusion</w:t>
            </w:r>
            <w:proofErr w:type="spellEnd"/>
            <w:r w:rsidRPr="00275FBD">
              <w:rPr>
                <w:rFonts w:asciiTheme="minorHAnsi" w:hAnsiTheme="minorHAnsi"/>
                <w:color w:val="000000"/>
                <w:sz w:val="18"/>
                <w:szCs w:val="18"/>
                <w:lang w:val="sl-SI" w:eastAsia="en-GB"/>
              </w:rPr>
              <w:t xml:space="preserve">. In the </w:t>
            </w:r>
            <w:proofErr w:type="spellStart"/>
            <w:r w:rsidRPr="00275FBD">
              <w:rPr>
                <w:rFonts w:asciiTheme="minorHAnsi" w:hAnsiTheme="minorHAnsi"/>
                <w:color w:val="000000"/>
                <w:sz w:val="18"/>
                <w:szCs w:val="18"/>
                <w:lang w:val="sl-SI" w:eastAsia="en-GB"/>
              </w:rPr>
              <w:t>paragraph</w:t>
            </w:r>
            <w:proofErr w:type="spellEnd"/>
            <w:r w:rsidRPr="00275FBD">
              <w:rPr>
                <w:rFonts w:asciiTheme="minorHAnsi" w:hAnsiTheme="minorHAnsi"/>
                <w:color w:val="000000"/>
                <w:sz w:val="18"/>
                <w:szCs w:val="18"/>
                <w:lang w:val="sl-SI" w:eastAsia="en-GB"/>
              </w:rPr>
              <w:t xml:space="preserve"> 5.3.1 (4) </w:t>
            </w:r>
            <w:proofErr w:type="spellStart"/>
            <w:r w:rsidRPr="00275FBD">
              <w:rPr>
                <w:rFonts w:asciiTheme="minorHAnsi" w:hAnsiTheme="minorHAnsi"/>
                <w:color w:val="000000"/>
                <w:sz w:val="18"/>
                <w:szCs w:val="18"/>
                <w:lang w:val="sl-SI" w:eastAsia="en-GB"/>
              </w:rPr>
              <w:t>there</w:t>
            </w:r>
            <w:proofErr w:type="spellEnd"/>
            <w:r w:rsidRPr="00275FBD">
              <w:rPr>
                <w:rFonts w:asciiTheme="minorHAnsi" w:hAnsiTheme="minorHAnsi"/>
                <w:color w:val="000000"/>
                <w:sz w:val="18"/>
                <w:szCs w:val="18"/>
                <w:lang w:val="sl-SI" w:eastAsia="en-GB"/>
              </w:rPr>
              <w:t xml:space="preserve"> is </w:t>
            </w:r>
            <w:proofErr w:type="spellStart"/>
            <w:r w:rsidRPr="00275FBD">
              <w:rPr>
                <w:rFonts w:asciiTheme="minorHAnsi" w:hAnsiTheme="minorHAnsi"/>
                <w:color w:val="000000"/>
                <w:sz w:val="18"/>
                <w:szCs w:val="18"/>
                <w:lang w:val="sl-SI" w:eastAsia="en-GB"/>
              </w:rPr>
              <w:t>another</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error</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namely</w:t>
            </w:r>
            <w:proofErr w:type="spellEnd"/>
            <w:r w:rsidRPr="00275FBD">
              <w:rPr>
                <w:rFonts w:asciiTheme="minorHAnsi" w:hAnsiTheme="minorHAnsi"/>
                <w:color w:val="000000"/>
                <w:sz w:val="18"/>
                <w:szCs w:val="18"/>
                <w:lang w:val="sl-SI" w:eastAsia="en-GB"/>
              </w:rPr>
              <w:t xml:space="preserve"> the “MBq” </w:t>
            </w:r>
            <w:proofErr w:type="spellStart"/>
            <w:r w:rsidRPr="00275FBD">
              <w:rPr>
                <w:rFonts w:asciiTheme="minorHAnsi" w:hAnsiTheme="minorHAnsi"/>
                <w:color w:val="000000"/>
                <w:sz w:val="18"/>
                <w:szCs w:val="18"/>
                <w:lang w:val="sl-SI" w:eastAsia="en-GB"/>
              </w:rPr>
              <w:t>was</w:t>
            </w:r>
            <w:proofErr w:type="spellEnd"/>
            <w:r w:rsidRPr="00275FBD">
              <w:rPr>
                <w:rFonts w:asciiTheme="minorHAnsi" w:hAnsiTheme="minorHAnsi"/>
                <w:color w:val="000000"/>
                <w:sz w:val="18"/>
                <w:szCs w:val="18"/>
                <w:lang w:val="sl-SI" w:eastAsia="en-GB"/>
              </w:rPr>
              <w:t xml:space="preserve"> </w:t>
            </w:r>
            <w:proofErr w:type="spellStart"/>
            <w:r w:rsidRPr="00275FBD">
              <w:rPr>
                <w:rFonts w:asciiTheme="minorHAnsi" w:hAnsiTheme="minorHAnsi"/>
                <w:color w:val="000000"/>
                <w:sz w:val="18"/>
                <w:szCs w:val="18"/>
                <w:lang w:val="sl-SI" w:eastAsia="en-GB"/>
              </w:rPr>
              <w:t>translated</w:t>
            </w:r>
            <w:proofErr w:type="spellEnd"/>
            <w:r w:rsidRPr="00275FBD">
              <w:rPr>
                <w:rFonts w:asciiTheme="minorHAnsi" w:hAnsiTheme="minorHAnsi"/>
                <w:color w:val="000000"/>
                <w:sz w:val="18"/>
                <w:szCs w:val="18"/>
                <w:lang w:val="sl-SI" w:eastAsia="en-GB"/>
              </w:rPr>
              <w:t xml:space="preserve"> to the “Bq”.</w:t>
            </w:r>
            <w:r w:rsidRPr="00275FBD">
              <w:rPr>
                <w:rFonts w:asciiTheme="minorHAnsi" w:hAnsiTheme="minorHAnsi"/>
                <w:color w:val="000000"/>
                <w:sz w:val="18"/>
                <w:szCs w:val="18"/>
                <w:lang w:val="sl-SI" w:eastAsia="en-GB"/>
              </w:rPr>
              <w:br/>
              <w:t xml:space="preserve">OSF element: </w:t>
            </w:r>
            <w:proofErr w:type="spellStart"/>
            <w:r w:rsidRPr="00275FBD">
              <w:rPr>
                <w:rFonts w:asciiTheme="minorHAnsi" w:hAnsiTheme="minorHAnsi"/>
                <w:color w:val="000000"/>
                <w:sz w:val="18"/>
                <w:szCs w:val="18"/>
                <w:lang w:val="sl-SI" w:eastAsia="en-GB"/>
              </w:rPr>
              <w:t>Procedures</w:t>
            </w:r>
            <w:proofErr w:type="spellEnd"/>
            <w:r w:rsidRPr="00275FBD">
              <w:rPr>
                <w:rFonts w:asciiTheme="minorHAnsi" w:hAnsiTheme="minorHAnsi"/>
                <w:color w:val="000000"/>
                <w:sz w:val="18"/>
                <w:szCs w:val="18"/>
                <w:lang w:val="sl-SI" w:eastAsia="en-GB"/>
              </w:rPr>
              <w:t xml:space="preserve"> (with </w:t>
            </w:r>
            <w:proofErr w:type="spellStart"/>
            <w:r w:rsidRPr="00275FBD">
              <w:rPr>
                <w:rFonts w:asciiTheme="minorHAnsi" w:hAnsiTheme="minorHAnsi"/>
                <w:color w:val="000000"/>
                <w:sz w:val="18"/>
                <w:szCs w:val="18"/>
                <w:lang w:val="sl-SI" w:eastAsia="en-GB"/>
              </w:rPr>
              <w:t>regard</w:t>
            </w:r>
            <w:proofErr w:type="spellEnd"/>
            <w:r w:rsidRPr="00275FBD">
              <w:rPr>
                <w:rFonts w:asciiTheme="minorHAnsi" w:hAnsiTheme="minorHAnsi"/>
                <w:color w:val="000000"/>
                <w:sz w:val="18"/>
                <w:szCs w:val="18"/>
                <w:lang w:val="sl-SI" w:eastAsia="en-GB"/>
              </w:rPr>
              <w:t xml:space="preserve"> to the OSF "Radiological Protection and </w:t>
            </w:r>
            <w:proofErr w:type="spellStart"/>
            <w:r w:rsidRPr="00275FBD">
              <w:rPr>
                <w:rFonts w:asciiTheme="minorHAnsi" w:hAnsiTheme="minorHAnsi"/>
                <w:color w:val="000000"/>
                <w:sz w:val="18"/>
                <w:szCs w:val="18"/>
                <w:lang w:val="sl-SI" w:eastAsia="en-GB"/>
              </w:rPr>
              <w:t>Other</w:t>
            </w:r>
            <w:proofErr w:type="spellEnd"/>
            <w:r w:rsidRPr="00275FBD">
              <w:rPr>
                <w:rFonts w:asciiTheme="minorHAnsi" w:hAnsiTheme="minorHAnsi"/>
                <w:color w:val="000000"/>
                <w:sz w:val="18"/>
                <w:szCs w:val="18"/>
                <w:lang w:val="sl-SI" w:eastAsia="en-GB"/>
              </w:rPr>
              <w:t xml:space="preserve"> Occupational </w:t>
            </w:r>
            <w:proofErr w:type="spellStart"/>
            <w:r w:rsidRPr="00275FBD">
              <w:rPr>
                <w:rFonts w:asciiTheme="minorHAnsi" w:hAnsiTheme="minorHAnsi"/>
                <w:color w:val="000000"/>
                <w:sz w:val="18"/>
                <w:szCs w:val="18"/>
                <w:lang w:val="sl-SI" w:eastAsia="en-GB"/>
              </w:rPr>
              <w:t>Hazards</w:t>
            </w:r>
            <w:proofErr w:type="spellEnd"/>
            <w:r w:rsidRPr="00275FBD">
              <w:rPr>
                <w:rFonts w:asciiTheme="minorHAnsi" w:hAnsiTheme="minorHAnsi"/>
                <w:color w:val="000000"/>
                <w:sz w:val="18"/>
                <w:szCs w:val="18"/>
                <w:lang w:val="sl-SI" w:eastAsia="en-GB"/>
              </w:rPr>
              <w:t>").</w:t>
            </w:r>
          </w:p>
        </w:tc>
        <w:tc>
          <w:tcPr>
            <w:tcW w:w="2043" w:type="dxa"/>
          </w:tcPr>
          <w:p w14:paraId="015442C5" w14:textId="77777777" w:rsidR="00935B67" w:rsidRPr="00275FBD" w:rsidRDefault="00935B67" w:rsidP="00935B67">
            <w:pPr>
              <w:jc w:val="left"/>
              <w:rPr>
                <w:rFonts w:asciiTheme="minorHAnsi" w:hAnsiTheme="minorHAnsi"/>
                <w:b/>
                <w:bCs/>
                <w:color w:val="000000"/>
                <w:sz w:val="18"/>
                <w:szCs w:val="18"/>
                <w:lang w:val="sl-SI" w:eastAsia="en-GB"/>
              </w:rPr>
            </w:pPr>
            <w:r w:rsidRPr="00275FBD">
              <w:rPr>
                <w:rFonts w:asciiTheme="minorHAnsi" w:hAnsiTheme="minorHAnsi"/>
                <w:bCs/>
                <w:sz w:val="18"/>
                <w:szCs w:val="18"/>
                <w:lang w:val="sl-SI" w:eastAsia="en-GB"/>
              </w:rPr>
              <w:t>Time implementation: II</w:t>
            </w:r>
          </w:p>
        </w:tc>
      </w:tr>
    </w:tbl>
    <w:p w14:paraId="3A640E30" w14:textId="77777777" w:rsidR="00935B67" w:rsidRPr="00275FBD" w:rsidRDefault="00935B67" w:rsidP="00935B67">
      <w:pPr>
        <w:rPr>
          <w:lang w:val="sl-SI"/>
        </w:rPr>
      </w:pPr>
    </w:p>
    <w:p w14:paraId="616DA205" w14:textId="63770575" w:rsidR="00935B67" w:rsidRPr="00275FBD" w:rsidRDefault="00935B67">
      <w:pPr>
        <w:spacing w:before="0" w:after="0"/>
        <w:jc w:val="left"/>
        <w:rPr>
          <w:lang w:val="sl-SI"/>
        </w:rPr>
      </w:pPr>
      <w:r w:rsidRPr="00275FBD">
        <w:rPr>
          <w:lang w:val="sl-SI"/>
        </w:rPr>
        <w:br w:type="page"/>
      </w:r>
    </w:p>
    <w:p w14:paraId="646B31D4" w14:textId="4B06C576" w:rsidR="00364109" w:rsidRPr="00275FBD" w:rsidRDefault="00364109" w:rsidP="00364109">
      <w:pPr>
        <w:pStyle w:val="Napis"/>
        <w:rPr>
          <w:lang w:val="sl-SI"/>
        </w:rPr>
      </w:pPr>
      <w:bookmarkStart w:id="187" w:name="_Ref138606531"/>
      <w:bookmarkStart w:id="188" w:name="_Toc163197448"/>
      <w:r w:rsidRPr="00275FBD">
        <w:rPr>
          <w:lang w:val="sl-SI"/>
        </w:rPr>
        <w:lastRenderedPageBreak/>
        <w:t>Tabela A-</w:t>
      </w:r>
      <w:r w:rsidRPr="00275FBD">
        <w:rPr>
          <w:lang w:val="sl-SI"/>
        </w:rPr>
        <w:fldChar w:fldCharType="begin"/>
      </w:r>
      <w:r w:rsidRPr="00275FBD">
        <w:rPr>
          <w:lang w:val="sl-SI"/>
        </w:rPr>
        <w:instrText xml:space="preserve"> SEQ Tabela_A- \* ARABIC </w:instrText>
      </w:r>
      <w:r w:rsidRPr="00275FBD">
        <w:rPr>
          <w:lang w:val="sl-SI"/>
        </w:rPr>
        <w:fldChar w:fldCharType="separate"/>
      </w:r>
      <w:r w:rsidR="00BA25CD">
        <w:rPr>
          <w:noProof/>
          <w:lang w:val="sl-SI"/>
        </w:rPr>
        <w:t>4</w:t>
      </w:r>
      <w:r w:rsidRPr="00275FBD">
        <w:rPr>
          <w:lang w:val="sl-SI"/>
        </w:rPr>
        <w:fldChar w:fldCharType="end"/>
      </w:r>
      <w:r w:rsidRPr="00275FBD">
        <w:rPr>
          <w:lang w:val="sl-SI"/>
        </w:rPr>
        <w:t xml:space="preserve">: Seznam </w:t>
      </w:r>
      <w:r w:rsidR="00BD5705" w:rsidRPr="00275FBD">
        <w:rPr>
          <w:lang w:val="sl-SI"/>
        </w:rPr>
        <w:t xml:space="preserve">najdb </w:t>
      </w:r>
      <w:r w:rsidRPr="00275FBD">
        <w:rPr>
          <w:lang w:val="sl-SI"/>
        </w:rPr>
        <w:t>za vključitev v IAP / CAP na podlagi praktičnih argumentov - URSJV</w:t>
      </w:r>
      <w:bookmarkEnd w:id="187"/>
      <w:bookmarkEnd w:id="188"/>
    </w:p>
    <w:tbl>
      <w:tblPr>
        <w:tblStyle w:val="Tabelamrea"/>
        <w:tblW w:w="14142" w:type="dxa"/>
        <w:tblLook w:val="04A0" w:firstRow="1" w:lastRow="0" w:firstColumn="1" w:lastColumn="0" w:noHBand="0" w:noVBand="1"/>
      </w:tblPr>
      <w:tblGrid>
        <w:gridCol w:w="1384"/>
        <w:gridCol w:w="3827"/>
        <w:gridCol w:w="993"/>
        <w:gridCol w:w="5244"/>
        <w:gridCol w:w="2694"/>
      </w:tblGrid>
      <w:tr w:rsidR="00935B67" w:rsidRPr="00275FBD" w14:paraId="63AB0317" w14:textId="77777777" w:rsidTr="00935B67">
        <w:trPr>
          <w:tblHeader/>
        </w:trPr>
        <w:tc>
          <w:tcPr>
            <w:tcW w:w="1384" w:type="dxa"/>
            <w:shd w:val="clear" w:color="auto" w:fill="BFBFBF" w:themeFill="background1" w:themeFillShade="BF"/>
          </w:tcPr>
          <w:p w14:paraId="71BDEE81" w14:textId="77777777" w:rsidR="00935B67" w:rsidRPr="00275FBD" w:rsidRDefault="00935B67" w:rsidP="00935B67">
            <w:pPr>
              <w:rPr>
                <w:rFonts w:ascii="Calibri" w:hAnsi="Calibri"/>
                <w:b/>
                <w:bCs/>
                <w:color w:val="000000"/>
                <w:sz w:val="18"/>
                <w:szCs w:val="18"/>
                <w:lang w:val="sl-SI" w:eastAsia="en-GB"/>
              </w:rPr>
            </w:pPr>
            <w:proofErr w:type="spellStart"/>
            <w:r w:rsidRPr="00275FBD">
              <w:rPr>
                <w:rFonts w:ascii="Calibri" w:hAnsi="Calibri"/>
                <w:b/>
                <w:bCs/>
                <w:color w:val="000000"/>
                <w:sz w:val="18"/>
                <w:szCs w:val="18"/>
                <w:lang w:val="sl-SI" w:eastAsia="en-GB"/>
              </w:rPr>
              <w:t>Issue</w:t>
            </w:r>
            <w:proofErr w:type="spellEnd"/>
            <w:r w:rsidRPr="00275FBD">
              <w:rPr>
                <w:rFonts w:ascii="Calibri" w:hAnsi="Calibri"/>
                <w:b/>
                <w:bCs/>
                <w:color w:val="000000"/>
                <w:sz w:val="18"/>
                <w:szCs w:val="18"/>
                <w:lang w:val="sl-SI" w:eastAsia="en-GB"/>
              </w:rPr>
              <w:t xml:space="preserve"> ID</w:t>
            </w:r>
          </w:p>
        </w:tc>
        <w:tc>
          <w:tcPr>
            <w:tcW w:w="3827" w:type="dxa"/>
            <w:shd w:val="clear" w:color="auto" w:fill="BFBFBF" w:themeFill="background1" w:themeFillShade="BF"/>
          </w:tcPr>
          <w:p w14:paraId="1E73CD64" w14:textId="77777777" w:rsidR="00935B67" w:rsidRPr="00275FBD" w:rsidRDefault="00935B67" w:rsidP="00935B67">
            <w:pPr>
              <w:rPr>
                <w:rFonts w:ascii="Calibri" w:hAnsi="Calibri"/>
                <w:b/>
                <w:bCs/>
                <w:color w:val="000000"/>
                <w:sz w:val="18"/>
                <w:szCs w:val="18"/>
                <w:lang w:val="sl-SI" w:eastAsia="en-GB"/>
              </w:rPr>
            </w:pPr>
            <w:proofErr w:type="spellStart"/>
            <w:r w:rsidRPr="00275FBD">
              <w:rPr>
                <w:rFonts w:ascii="Calibri" w:hAnsi="Calibri"/>
                <w:b/>
                <w:bCs/>
                <w:color w:val="000000"/>
                <w:sz w:val="18"/>
                <w:szCs w:val="18"/>
                <w:lang w:val="sl-SI" w:eastAsia="en-GB"/>
              </w:rPr>
              <w:t>Description</w:t>
            </w:r>
            <w:proofErr w:type="spellEnd"/>
            <w:r w:rsidRPr="00275FBD">
              <w:rPr>
                <w:rFonts w:ascii="Calibri" w:hAnsi="Calibri"/>
                <w:b/>
                <w:bCs/>
                <w:color w:val="000000"/>
                <w:sz w:val="18"/>
                <w:szCs w:val="18"/>
                <w:lang w:val="sl-SI" w:eastAsia="en-GB"/>
              </w:rPr>
              <w:t xml:space="preserve"> / Evaluation</w:t>
            </w:r>
          </w:p>
        </w:tc>
        <w:tc>
          <w:tcPr>
            <w:tcW w:w="993" w:type="dxa"/>
            <w:shd w:val="clear" w:color="auto" w:fill="BFBFBF" w:themeFill="background1" w:themeFillShade="BF"/>
          </w:tcPr>
          <w:p w14:paraId="5B9B38D6" w14:textId="77777777" w:rsidR="00935B67" w:rsidRPr="00275FBD" w:rsidRDefault="00935B67" w:rsidP="00935B67">
            <w:pPr>
              <w:jc w:val="center"/>
              <w:rPr>
                <w:rFonts w:ascii="Calibri" w:hAnsi="Calibri"/>
                <w:b/>
                <w:bCs/>
                <w:color w:val="000000"/>
                <w:sz w:val="18"/>
                <w:szCs w:val="18"/>
                <w:lang w:val="sl-SI" w:eastAsia="en-GB"/>
              </w:rPr>
            </w:pPr>
            <w:r w:rsidRPr="00275FBD">
              <w:rPr>
                <w:rFonts w:ascii="Calibri" w:hAnsi="Calibri"/>
                <w:b/>
                <w:bCs/>
                <w:color w:val="000000"/>
                <w:sz w:val="18"/>
                <w:szCs w:val="18"/>
                <w:lang w:val="sl-SI" w:eastAsia="en-GB"/>
              </w:rPr>
              <w:t xml:space="preserve">SN </w:t>
            </w:r>
            <w:proofErr w:type="spellStart"/>
            <w:r w:rsidRPr="00275FBD">
              <w:rPr>
                <w:rFonts w:ascii="Calibri" w:hAnsi="Calibri"/>
                <w:b/>
                <w:bCs/>
                <w:color w:val="000000"/>
                <w:sz w:val="18"/>
                <w:szCs w:val="18"/>
                <w:lang w:val="sl-SI" w:eastAsia="en-GB"/>
              </w:rPr>
              <w:t>Rank</w:t>
            </w:r>
            <w:proofErr w:type="spellEnd"/>
          </w:p>
        </w:tc>
        <w:tc>
          <w:tcPr>
            <w:tcW w:w="5244" w:type="dxa"/>
            <w:shd w:val="clear" w:color="auto" w:fill="BFBFBF" w:themeFill="background1" w:themeFillShade="BF"/>
          </w:tcPr>
          <w:p w14:paraId="6CE05CD4" w14:textId="77777777" w:rsidR="00935B67" w:rsidRPr="00275FBD" w:rsidRDefault="00935B67" w:rsidP="00935B67">
            <w:pPr>
              <w:rPr>
                <w:rFonts w:ascii="Calibri" w:hAnsi="Calibri"/>
                <w:b/>
                <w:bCs/>
                <w:color w:val="000000"/>
                <w:sz w:val="18"/>
                <w:szCs w:val="18"/>
                <w:lang w:val="sl-SI" w:eastAsia="en-GB"/>
              </w:rPr>
            </w:pPr>
            <w:r w:rsidRPr="00275FBD">
              <w:rPr>
                <w:rFonts w:ascii="Calibri" w:hAnsi="Calibri"/>
                <w:b/>
                <w:bCs/>
                <w:color w:val="000000"/>
                <w:sz w:val="18"/>
                <w:szCs w:val="18"/>
                <w:lang w:val="sl-SI" w:eastAsia="en-GB"/>
              </w:rPr>
              <w:t xml:space="preserve">SNSA </w:t>
            </w:r>
            <w:proofErr w:type="spellStart"/>
            <w:r w:rsidRPr="00275FBD">
              <w:rPr>
                <w:rFonts w:ascii="Calibri" w:hAnsi="Calibri"/>
                <w:b/>
                <w:bCs/>
                <w:color w:val="000000"/>
                <w:sz w:val="18"/>
                <w:szCs w:val="18"/>
                <w:lang w:val="sl-SI" w:eastAsia="en-GB"/>
              </w:rPr>
              <w:t>Justification</w:t>
            </w:r>
            <w:proofErr w:type="spellEnd"/>
          </w:p>
        </w:tc>
        <w:tc>
          <w:tcPr>
            <w:tcW w:w="2694" w:type="dxa"/>
            <w:shd w:val="clear" w:color="auto" w:fill="BFBFBF" w:themeFill="background1" w:themeFillShade="BF"/>
          </w:tcPr>
          <w:p w14:paraId="76563137" w14:textId="77777777" w:rsidR="00935B67" w:rsidRPr="00275FBD" w:rsidRDefault="00935B67" w:rsidP="00935B67">
            <w:pPr>
              <w:rPr>
                <w:rFonts w:ascii="Calibri" w:hAnsi="Calibri"/>
                <w:b/>
                <w:bCs/>
                <w:color w:val="000000"/>
                <w:sz w:val="18"/>
                <w:szCs w:val="18"/>
                <w:lang w:val="sl-SI" w:eastAsia="en-GB"/>
              </w:rPr>
            </w:pPr>
            <w:r w:rsidRPr="00275FBD">
              <w:rPr>
                <w:rFonts w:ascii="Calibri" w:hAnsi="Calibri"/>
                <w:b/>
                <w:bCs/>
                <w:color w:val="000000"/>
                <w:sz w:val="18"/>
                <w:szCs w:val="18"/>
                <w:lang w:val="sl-SI" w:eastAsia="en-GB"/>
              </w:rPr>
              <w:t xml:space="preserve">Time Implementation </w:t>
            </w:r>
            <w:proofErr w:type="spellStart"/>
            <w:r w:rsidRPr="00275FBD">
              <w:rPr>
                <w:rFonts w:ascii="Calibri" w:hAnsi="Calibri"/>
                <w:b/>
                <w:bCs/>
                <w:color w:val="000000"/>
                <w:sz w:val="18"/>
                <w:szCs w:val="18"/>
                <w:lang w:val="sl-SI" w:eastAsia="en-GB"/>
              </w:rPr>
              <w:t>Category</w:t>
            </w:r>
            <w:proofErr w:type="spellEnd"/>
          </w:p>
        </w:tc>
      </w:tr>
      <w:tr w:rsidR="00935B67" w:rsidRPr="00275FBD" w14:paraId="748899A1" w14:textId="77777777" w:rsidTr="00935B67">
        <w:tc>
          <w:tcPr>
            <w:tcW w:w="1384" w:type="dxa"/>
            <w:shd w:val="clear" w:color="auto" w:fill="F2DBDB" w:themeFill="accent2" w:themeFillTint="33"/>
          </w:tcPr>
          <w:p w14:paraId="32A269CA"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sz w:val="18"/>
                <w:szCs w:val="18"/>
                <w:lang w:val="sl-SI" w:eastAsia="en-GB"/>
              </w:rPr>
              <w:t>PSR3 1.1-003</w:t>
            </w:r>
          </w:p>
        </w:tc>
        <w:tc>
          <w:tcPr>
            <w:tcW w:w="3827" w:type="dxa"/>
          </w:tcPr>
          <w:p w14:paraId="1BC13B75" w14:textId="77777777" w:rsidR="00935B67" w:rsidRPr="00275FBD" w:rsidRDefault="00935B67" w:rsidP="00935B67">
            <w:pPr>
              <w:jc w:val="left"/>
              <w:rPr>
                <w:rFonts w:ascii="Calibri" w:hAnsi="Calibri"/>
                <w:color w:val="000000"/>
                <w:sz w:val="18"/>
                <w:szCs w:val="18"/>
                <w:lang w:val="sl-SI" w:eastAsia="en-GB"/>
              </w:rPr>
            </w:pPr>
            <w:proofErr w:type="spellStart"/>
            <w:r w:rsidRPr="00275FBD">
              <w:rPr>
                <w:rFonts w:ascii="Calibri" w:hAnsi="Calibri"/>
                <w:color w:val="000000"/>
                <w:sz w:val="18"/>
                <w:szCs w:val="18"/>
                <w:lang w:val="sl-SI" w:eastAsia="en-GB"/>
              </w:rPr>
              <w:t>Pressurizer</w:t>
            </w:r>
            <w:proofErr w:type="spellEnd"/>
            <w:r w:rsidRPr="00275FBD">
              <w:rPr>
                <w:rFonts w:ascii="Calibri" w:hAnsi="Calibri"/>
                <w:color w:val="000000"/>
                <w:sz w:val="18"/>
                <w:szCs w:val="18"/>
                <w:lang w:val="sl-SI" w:eastAsia="en-GB"/>
              </w:rPr>
              <w:t xml:space="preserve"> Safety / Relief </w:t>
            </w:r>
            <w:proofErr w:type="spellStart"/>
            <w:r w:rsidRPr="00275FBD">
              <w:rPr>
                <w:rFonts w:ascii="Calibri" w:hAnsi="Calibri"/>
                <w:color w:val="000000"/>
                <w:sz w:val="18"/>
                <w:szCs w:val="18"/>
                <w:lang w:val="sl-SI" w:eastAsia="en-GB"/>
              </w:rPr>
              <w:t>Valve</w:t>
            </w:r>
            <w:proofErr w:type="spellEnd"/>
            <w:r w:rsidRPr="00275FBD">
              <w:rPr>
                <w:rFonts w:ascii="Calibri" w:hAnsi="Calibri"/>
                <w:color w:val="000000"/>
                <w:sz w:val="18"/>
                <w:szCs w:val="18"/>
                <w:lang w:val="sl-SI" w:eastAsia="en-GB"/>
              </w:rPr>
              <w:t xml:space="preserve"> not </w:t>
            </w:r>
            <w:proofErr w:type="spellStart"/>
            <w:r w:rsidRPr="00275FBD">
              <w:rPr>
                <w:rFonts w:ascii="Calibri" w:hAnsi="Calibri"/>
                <w:color w:val="000000"/>
                <w:sz w:val="18"/>
                <w:szCs w:val="18"/>
                <w:lang w:val="sl-SI" w:eastAsia="en-GB"/>
              </w:rPr>
              <w:t>qualified</w:t>
            </w:r>
            <w:proofErr w:type="spellEnd"/>
            <w:r w:rsidRPr="00275FBD">
              <w:rPr>
                <w:rFonts w:ascii="Calibri" w:hAnsi="Calibri"/>
                <w:color w:val="000000"/>
                <w:sz w:val="18"/>
                <w:szCs w:val="18"/>
                <w:lang w:val="sl-SI" w:eastAsia="en-GB"/>
              </w:rPr>
              <w:t xml:space="preserve"> for </w:t>
            </w:r>
            <w:proofErr w:type="spellStart"/>
            <w:r w:rsidRPr="00275FBD">
              <w:rPr>
                <w:rFonts w:ascii="Calibri" w:hAnsi="Calibri"/>
                <w:color w:val="000000"/>
                <w:sz w:val="18"/>
                <w:szCs w:val="18"/>
                <w:lang w:val="sl-SI" w:eastAsia="en-GB"/>
              </w:rPr>
              <w:t>water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discharge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Systems</w:t>
            </w:r>
            <w:proofErr w:type="spellEnd"/>
            <w:r w:rsidRPr="00275FBD">
              <w:rPr>
                <w:rFonts w:ascii="Calibri" w:hAnsi="Calibri"/>
                <w:color w:val="000000"/>
                <w:sz w:val="18"/>
                <w:szCs w:val="18"/>
                <w:lang w:val="sl-SI" w:eastAsia="en-GB"/>
              </w:rPr>
              <w:t xml:space="preserve"> / </w:t>
            </w:r>
            <w:proofErr w:type="spellStart"/>
            <w:r w:rsidRPr="00275FBD">
              <w:rPr>
                <w:rFonts w:ascii="Calibri" w:hAnsi="Calibri"/>
                <w:color w:val="000000"/>
                <w:sz w:val="18"/>
                <w:szCs w:val="18"/>
                <w:lang w:val="sl-SI" w:eastAsia="en-GB"/>
              </w:rPr>
              <w:t>functions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Pressurizer</w:t>
            </w:r>
            <w:proofErr w:type="spellEnd"/>
            <w:r w:rsidRPr="00275FBD">
              <w:rPr>
                <w:rFonts w:ascii="Calibri" w:hAnsi="Calibri"/>
                <w:color w:val="000000"/>
                <w:sz w:val="18"/>
                <w:szCs w:val="18"/>
                <w:lang w:val="sl-SI" w:eastAsia="en-GB"/>
              </w:rPr>
              <w:t xml:space="preserve"> Safety / Relief </w:t>
            </w:r>
            <w:proofErr w:type="spellStart"/>
            <w:r w:rsidRPr="00275FBD">
              <w:rPr>
                <w:rFonts w:ascii="Calibri" w:hAnsi="Calibri"/>
                <w:color w:val="000000"/>
                <w:sz w:val="18"/>
                <w:szCs w:val="18"/>
                <w:lang w:val="sl-SI" w:eastAsia="en-GB"/>
              </w:rPr>
              <w:t>Valve</w:t>
            </w:r>
            <w:proofErr w:type="spellEnd"/>
            <w:r w:rsidRPr="00275FBD">
              <w:rPr>
                <w:rFonts w:ascii="Calibri" w:hAnsi="Calibri"/>
                <w:color w:val="000000"/>
                <w:sz w:val="18"/>
                <w:szCs w:val="18"/>
                <w:lang w:val="sl-SI" w:eastAsia="en-GB"/>
              </w:rPr>
              <w:t xml:space="preserve">; DB </w:t>
            </w:r>
            <w:proofErr w:type="spellStart"/>
            <w:r w:rsidRPr="00275FBD">
              <w:rPr>
                <w:rFonts w:ascii="Calibri" w:hAnsi="Calibri"/>
                <w:color w:val="000000"/>
                <w:sz w:val="18"/>
                <w:szCs w:val="18"/>
                <w:lang w:val="sl-SI" w:eastAsia="en-GB"/>
              </w:rPr>
              <w:t>sequence</w:t>
            </w:r>
            <w:proofErr w:type="spellEnd"/>
            <w:r w:rsidRPr="00275FBD">
              <w:rPr>
                <w:rFonts w:ascii="Calibri" w:hAnsi="Calibri"/>
                <w:color w:val="000000"/>
                <w:sz w:val="18"/>
                <w:szCs w:val="18"/>
                <w:lang w:val="sl-SI" w:eastAsia="en-GB"/>
              </w:rPr>
              <w:t xml:space="preserve">; Risk / DOD </w:t>
            </w:r>
            <w:proofErr w:type="spellStart"/>
            <w:r w:rsidRPr="00275FBD">
              <w:rPr>
                <w:rFonts w:ascii="Calibri" w:hAnsi="Calibri"/>
                <w:color w:val="000000"/>
                <w:sz w:val="18"/>
                <w:szCs w:val="18"/>
                <w:lang w:val="sl-SI" w:eastAsia="en-GB"/>
              </w:rPr>
              <w:t>significance</w:t>
            </w:r>
            <w:proofErr w:type="spellEnd"/>
            <w:r w:rsidRPr="00275FBD">
              <w:rPr>
                <w:rFonts w:ascii="Calibri" w:hAnsi="Calibri"/>
                <w:color w:val="000000"/>
                <w:sz w:val="18"/>
                <w:szCs w:val="18"/>
                <w:lang w:val="sl-SI" w:eastAsia="en-GB"/>
              </w:rPr>
              <w:t>: TL.</w:t>
            </w:r>
          </w:p>
        </w:tc>
        <w:tc>
          <w:tcPr>
            <w:tcW w:w="993" w:type="dxa"/>
          </w:tcPr>
          <w:p w14:paraId="5F12BF82"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3.3.2</w:t>
            </w:r>
          </w:p>
        </w:tc>
        <w:tc>
          <w:tcPr>
            <w:tcW w:w="5244" w:type="dxa"/>
          </w:tcPr>
          <w:p w14:paraId="6D49CD6B"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SNSA </w:t>
            </w:r>
            <w:proofErr w:type="spellStart"/>
            <w:r w:rsidRPr="00275FBD">
              <w:rPr>
                <w:rFonts w:ascii="Calibri" w:hAnsi="Calibri"/>
                <w:color w:val="000000"/>
                <w:sz w:val="18"/>
                <w:szCs w:val="18"/>
                <w:lang w:val="sl-SI" w:eastAsia="en-GB"/>
              </w:rPr>
              <w:t>agrees</w:t>
            </w:r>
            <w:proofErr w:type="spellEnd"/>
            <w:r w:rsidRPr="00275FBD">
              <w:rPr>
                <w:rFonts w:ascii="Calibri" w:hAnsi="Calibri"/>
                <w:color w:val="000000"/>
                <w:sz w:val="18"/>
                <w:szCs w:val="18"/>
                <w:lang w:val="sl-SI" w:eastAsia="en-GB"/>
              </w:rPr>
              <w:t xml:space="preserve"> with TRACTABEL </w:t>
            </w:r>
            <w:proofErr w:type="spellStart"/>
            <w:r w:rsidRPr="00275FBD">
              <w:rPr>
                <w:rFonts w:ascii="Calibri" w:hAnsi="Calibri"/>
                <w:color w:val="000000"/>
                <w:sz w:val="18"/>
                <w:szCs w:val="18"/>
                <w:lang w:val="sl-SI" w:eastAsia="en-GB"/>
              </w:rPr>
              <w:t>explanation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why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this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Issue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should</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resolved</w:t>
            </w:r>
            <w:proofErr w:type="spellEnd"/>
            <w:r w:rsidRPr="00275FBD">
              <w:rPr>
                <w:rFonts w:ascii="Calibri" w:hAnsi="Calibri"/>
                <w:color w:val="000000"/>
                <w:sz w:val="18"/>
                <w:szCs w:val="18"/>
                <w:lang w:val="sl-SI" w:eastAsia="en-GB"/>
              </w:rPr>
              <w:t>:</w:t>
            </w:r>
          </w:p>
          <w:p w14:paraId="435A70FD"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In the </w:t>
            </w:r>
            <w:proofErr w:type="spellStart"/>
            <w:r w:rsidRPr="00275FBD">
              <w:rPr>
                <w:rFonts w:ascii="Calibri" w:hAnsi="Calibri"/>
                <w:color w:val="000000"/>
                <w:sz w:val="18"/>
                <w:szCs w:val="18"/>
                <w:lang w:val="sl-SI" w:eastAsia="en-GB"/>
              </w:rPr>
              <w:t>current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feedwater</w:t>
            </w:r>
            <w:proofErr w:type="spellEnd"/>
            <w:r w:rsidRPr="00275FBD">
              <w:rPr>
                <w:rFonts w:ascii="Calibri" w:hAnsi="Calibri"/>
                <w:color w:val="000000"/>
                <w:sz w:val="18"/>
                <w:szCs w:val="18"/>
                <w:lang w:val="sl-SI" w:eastAsia="en-GB"/>
              </w:rPr>
              <w:t xml:space="preserve"> line </w:t>
            </w:r>
            <w:proofErr w:type="spellStart"/>
            <w:r w:rsidRPr="00275FBD">
              <w:rPr>
                <w:rFonts w:ascii="Calibri" w:hAnsi="Calibri"/>
                <w:color w:val="000000"/>
                <w:sz w:val="18"/>
                <w:szCs w:val="18"/>
                <w:lang w:val="sl-SI" w:eastAsia="en-GB"/>
              </w:rPr>
              <w:t>break</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analysis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presented</w:t>
            </w:r>
            <w:proofErr w:type="spellEnd"/>
            <w:r w:rsidRPr="00275FBD">
              <w:rPr>
                <w:rFonts w:ascii="Calibri" w:hAnsi="Calibri"/>
                <w:color w:val="000000"/>
                <w:sz w:val="18"/>
                <w:szCs w:val="18"/>
                <w:lang w:val="sl-SI" w:eastAsia="en-GB"/>
              </w:rPr>
              <w:t xml:space="preserve"> in §15.2.8 of USAR rev. 27, the </w:t>
            </w:r>
            <w:proofErr w:type="spellStart"/>
            <w:r w:rsidRPr="00275FBD">
              <w:rPr>
                <w:rFonts w:ascii="Calibri" w:hAnsi="Calibri"/>
                <w:color w:val="000000"/>
                <w:sz w:val="18"/>
                <w:szCs w:val="18"/>
                <w:lang w:val="sl-SI" w:eastAsia="en-GB"/>
              </w:rPr>
              <w:t>PORVs</w:t>
            </w:r>
            <w:proofErr w:type="spellEnd"/>
            <w:r w:rsidRPr="00275FBD">
              <w:rPr>
                <w:rFonts w:ascii="Calibri" w:hAnsi="Calibri"/>
                <w:color w:val="000000"/>
                <w:sz w:val="18"/>
                <w:szCs w:val="18"/>
                <w:lang w:val="sl-SI" w:eastAsia="en-GB"/>
              </w:rPr>
              <w:t xml:space="preserve"> are </w:t>
            </w:r>
            <w:proofErr w:type="spellStart"/>
            <w:r w:rsidRPr="00275FBD">
              <w:rPr>
                <w:rFonts w:ascii="Calibri" w:hAnsi="Calibri"/>
                <w:color w:val="000000"/>
                <w:sz w:val="18"/>
                <w:szCs w:val="18"/>
                <w:lang w:val="sl-SI" w:eastAsia="en-GB"/>
              </w:rPr>
              <w:t>considered</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hence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this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analysis</w:t>
            </w:r>
            <w:proofErr w:type="spellEnd"/>
            <w:r w:rsidRPr="00275FBD">
              <w:rPr>
                <w:rFonts w:ascii="Calibri" w:hAnsi="Calibri"/>
                <w:color w:val="000000"/>
                <w:sz w:val="18"/>
                <w:szCs w:val="18"/>
                <w:lang w:val="sl-SI" w:eastAsia="en-GB"/>
              </w:rPr>
              <w:t xml:space="preserve"> is </w:t>
            </w:r>
            <w:proofErr w:type="spellStart"/>
            <w:r w:rsidRPr="00275FBD">
              <w:rPr>
                <w:rFonts w:ascii="Calibri" w:hAnsi="Calibri"/>
                <w:color w:val="000000"/>
                <w:sz w:val="18"/>
                <w:szCs w:val="18"/>
                <w:lang w:val="sl-SI" w:eastAsia="en-GB"/>
              </w:rPr>
              <w:t>neither</w:t>
            </w:r>
            <w:proofErr w:type="spellEnd"/>
            <w:r w:rsidRPr="00275FBD">
              <w:rPr>
                <w:rFonts w:ascii="Calibri" w:hAnsi="Calibri"/>
                <w:color w:val="000000"/>
                <w:sz w:val="18"/>
                <w:szCs w:val="18"/>
                <w:lang w:val="sl-SI" w:eastAsia="en-GB"/>
              </w:rPr>
              <w:t xml:space="preserve"> valid to </w:t>
            </w:r>
            <w:proofErr w:type="spellStart"/>
            <w:r w:rsidRPr="00275FBD">
              <w:rPr>
                <w:rFonts w:ascii="Calibri" w:hAnsi="Calibri"/>
                <w:color w:val="000000"/>
                <w:sz w:val="18"/>
                <w:szCs w:val="18"/>
                <w:lang w:val="sl-SI" w:eastAsia="en-GB"/>
              </w:rPr>
              <w:t>evaluate</w:t>
            </w:r>
            <w:proofErr w:type="spellEnd"/>
            <w:r w:rsidRPr="00275FBD">
              <w:rPr>
                <w:rFonts w:ascii="Calibri" w:hAnsi="Calibri"/>
                <w:color w:val="000000"/>
                <w:sz w:val="18"/>
                <w:szCs w:val="18"/>
                <w:lang w:val="sl-SI" w:eastAsia="en-GB"/>
              </w:rPr>
              <w:t xml:space="preserve"> the </w:t>
            </w:r>
            <w:proofErr w:type="spellStart"/>
            <w:r w:rsidRPr="00275FBD">
              <w:rPr>
                <w:rFonts w:ascii="Calibri" w:hAnsi="Calibri"/>
                <w:color w:val="000000"/>
                <w:sz w:val="18"/>
                <w:szCs w:val="18"/>
                <w:lang w:val="sl-SI" w:eastAsia="en-GB"/>
              </w:rPr>
              <w:t>overpressure</w:t>
            </w:r>
            <w:proofErr w:type="spellEnd"/>
            <w:r w:rsidRPr="00275FBD">
              <w:rPr>
                <w:rFonts w:ascii="Calibri" w:hAnsi="Calibri"/>
                <w:color w:val="000000"/>
                <w:sz w:val="18"/>
                <w:szCs w:val="18"/>
                <w:lang w:val="sl-SI" w:eastAsia="en-GB"/>
              </w:rPr>
              <w:t xml:space="preserve"> (see USAR §5.5.13.1), nor the "absence of </w:t>
            </w:r>
            <w:proofErr w:type="spellStart"/>
            <w:r w:rsidRPr="00275FBD">
              <w:rPr>
                <w:rFonts w:ascii="Calibri" w:hAnsi="Calibri"/>
                <w:color w:val="000000"/>
                <w:sz w:val="18"/>
                <w:szCs w:val="18"/>
                <w:lang w:val="sl-SI" w:eastAsia="en-GB"/>
              </w:rPr>
              <w:t>water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discharge</w:t>
            </w:r>
            <w:proofErr w:type="spellEnd"/>
            <w:r w:rsidRPr="00275FBD">
              <w:rPr>
                <w:rFonts w:ascii="Calibri" w:hAnsi="Calibri"/>
                <w:color w:val="000000"/>
                <w:sz w:val="18"/>
                <w:szCs w:val="18"/>
                <w:lang w:val="sl-SI" w:eastAsia="en-GB"/>
              </w:rPr>
              <w:t xml:space="preserve"> through a </w:t>
            </w:r>
            <w:proofErr w:type="spellStart"/>
            <w:r w:rsidRPr="00275FBD">
              <w:rPr>
                <w:rFonts w:ascii="Calibri" w:hAnsi="Calibri"/>
                <w:color w:val="000000"/>
                <w:sz w:val="18"/>
                <w:szCs w:val="18"/>
                <w:lang w:val="sl-SI" w:eastAsia="en-GB"/>
              </w:rPr>
              <w:t>safety</w:t>
            </w:r>
            <w:proofErr w:type="spellEnd"/>
            <w:r w:rsidRPr="00275FBD">
              <w:rPr>
                <w:rFonts w:ascii="Calibri" w:hAnsi="Calibri"/>
                <w:color w:val="000000"/>
                <w:sz w:val="18"/>
                <w:szCs w:val="18"/>
                <w:lang w:val="sl-SI" w:eastAsia="en-GB"/>
              </w:rPr>
              <w:t xml:space="preserve"> relief </w:t>
            </w:r>
            <w:proofErr w:type="spellStart"/>
            <w:r w:rsidRPr="00275FBD">
              <w:rPr>
                <w:rFonts w:ascii="Calibri" w:hAnsi="Calibri"/>
                <w:color w:val="000000"/>
                <w:sz w:val="18"/>
                <w:szCs w:val="18"/>
                <w:lang w:val="sl-SI" w:eastAsia="en-GB"/>
              </w:rPr>
              <w:t>valve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this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criterion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should</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integrated</w:t>
            </w:r>
            <w:proofErr w:type="spellEnd"/>
            <w:r w:rsidRPr="00275FBD">
              <w:rPr>
                <w:rFonts w:ascii="Calibri" w:hAnsi="Calibri"/>
                <w:color w:val="000000"/>
                <w:sz w:val="18"/>
                <w:szCs w:val="18"/>
                <w:lang w:val="sl-SI" w:eastAsia="en-GB"/>
              </w:rPr>
              <w:t xml:space="preserve"> in the USAR in </w:t>
            </w:r>
            <w:proofErr w:type="spellStart"/>
            <w:r w:rsidRPr="00275FBD">
              <w:rPr>
                <w:rFonts w:ascii="Calibri" w:hAnsi="Calibri"/>
                <w:color w:val="000000"/>
                <w:sz w:val="18"/>
                <w:szCs w:val="18"/>
                <w:lang w:val="sl-SI" w:eastAsia="en-GB"/>
              </w:rPr>
              <w:t>order</w:t>
            </w:r>
            <w:proofErr w:type="spellEnd"/>
            <w:r w:rsidRPr="00275FBD">
              <w:rPr>
                <w:rFonts w:ascii="Calibri" w:hAnsi="Calibri"/>
                <w:color w:val="000000"/>
                <w:sz w:val="18"/>
                <w:szCs w:val="18"/>
                <w:lang w:val="sl-SI" w:eastAsia="en-GB"/>
              </w:rPr>
              <w:t xml:space="preserve"> to </w:t>
            </w:r>
            <w:proofErr w:type="spellStart"/>
            <w:r w:rsidRPr="00275FBD">
              <w:rPr>
                <w:rFonts w:ascii="Calibri" w:hAnsi="Calibri"/>
                <w:color w:val="000000"/>
                <w:sz w:val="18"/>
                <w:szCs w:val="18"/>
                <w:lang w:val="sl-SI" w:eastAsia="en-GB"/>
              </w:rPr>
              <w:t>demonstrate</w:t>
            </w:r>
            <w:proofErr w:type="spellEnd"/>
            <w:r w:rsidRPr="00275FBD">
              <w:rPr>
                <w:rFonts w:ascii="Calibri" w:hAnsi="Calibri"/>
                <w:color w:val="000000"/>
                <w:sz w:val="18"/>
                <w:szCs w:val="18"/>
                <w:lang w:val="sl-SI" w:eastAsia="en-GB"/>
              </w:rPr>
              <w:t xml:space="preserve"> the </w:t>
            </w:r>
            <w:proofErr w:type="spellStart"/>
            <w:r w:rsidRPr="00275FBD">
              <w:rPr>
                <w:rFonts w:ascii="Calibri" w:hAnsi="Calibri"/>
                <w:color w:val="000000"/>
                <w:sz w:val="18"/>
                <w:szCs w:val="18"/>
                <w:lang w:val="sl-SI" w:eastAsia="en-GB"/>
              </w:rPr>
              <w:t>acceptability</w:t>
            </w:r>
            <w:proofErr w:type="spellEnd"/>
            <w:r w:rsidRPr="00275FBD">
              <w:rPr>
                <w:rFonts w:ascii="Calibri" w:hAnsi="Calibri"/>
                <w:color w:val="000000"/>
                <w:sz w:val="18"/>
                <w:szCs w:val="18"/>
                <w:lang w:val="sl-SI" w:eastAsia="en-GB"/>
              </w:rPr>
              <w:t xml:space="preserve"> of </w:t>
            </w:r>
            <w:proofErr w:type="spellStart"/>
            <w:r w:rsidRPr="00275FBD">
              <w:rPr>
                <w:rFonts w:ascii="Calibri" w:hAnsi="Calibri"/>
                <w:color w:val="000000"/>
                <w:sz w:val="18"/>
                <w:szCs w:val="18"/>
                <w:lang w:val="sl-SI" w:eastAsia="en-GB"/>
              </w:rPr>
              <w:t>having</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pressurizer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safety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valves</w:t>
            </w:r>
            <w:proofErr w:type="spellEnd"/>
            <w:r w:rsidRPr="00275FBD">
              <w:rPr>
                <w:rFonts w:ascii="Calibri" w:hAnsi="Calibri"/>
                <w:color w:val="000000"/>
                <w:sz w:val="18"/>
                <w:szCs w:val="18"/>
                <w:lang w:val="sl-SI" w:eastAsia="en-GB"/>
              </w:rPr>
              <w:t xml:space="preserve"> that are not </w:t>
            </w:r>
            <w:proofErr w:type="spellStart"/>
            <w:r w:rsidRPr="00275FBD">
              <w:rPr>
                <w:rFonts w:ascii="Calibri" w:hAnsi="Calibri"/>
                <w:color w:val="000000"/>
                <w:sz w:val="18"/>
                <w:szCs w:val="18"/>
                <w:lang w:val="sl-SI" w:eastAsia="en-GB"/>
              </w:rPr>
              <w:t>qualified</w:t>
            </w:r>
            <w:proofErr w:type="spellEnd"/>
            <w:r w:rsidRPr="00275FBD">
              <w:rPr>
                <w:rFonts w:ascii="Calibri" w:hAnsi="Calibri"/>
                <w:color w:val="000000"/>
                <w:sz w:val="18"/>
                <w:szCs w:val="18"/>
                <w:lang w:val="sl-SI" w:eastAsia="en-GB"/>
              </w:rPr>
              <w:t xml:space="preserve"> for </w:t>
            </w:r>
            <w:proofErr w:type="spellStart"/>
            <w:r w:rsidRPr="00275FBD">
              <w:rPr>
                <w:rFonts w:ascii="Calibri" w:hAnsi="Calibri"/>
                <w:color w:val="000000"/>
                <w:sz w:val="18"/>
                <w:szCs w:val="18"/>
                <w:lang w:val="sl-SI" w:eastAsia="en-GB"/>
              </w:rPr>
              <w:t>water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discharge</w:t>
            </w:r>
            <w:proofErr w:type="spellEnd"/>
            <w:r w:rsidRPr="00275FBD">
              <w:rPr>
                <w:rFonts w:ascii="Calibri" w:hAnsi="Calibri"/>
                <w:color w:val="000000"/>
                <w:sz w:val="18"/>
                <w:szCs w:val="18"/>
                <w:lang w:val="sl-SI" w:eastAsia="en-GB"/>
              </w:rPr>
              <w:t>.</w:t>
            </w:r>
          </w:p>
          <w:p w14:paraId="7FAD8222" w14:textId="77777777" w:rsidR="00935B67" w:rsidRPr="00275FBD" w:rsidRDefault="00935B67" w:rsidP="00935B67">
            <w:pPr>
              <w:spacing w:after="0"/>
              <w:jc w:val="left"/>
              <w:rPr>
                <w:rFonts w:ascii="Calibri" w:hAnsi="Calibri"/>
                <w:color w:val="000000"/>
                <w:sz w:val="18"/>
                <w:szCs w:val="18"/>
                <w:lang w:val="sl-SI" w:eastAsia="en-GB"/>
              </w:rPr>
            </w:pPr>
            <w:proofErr w:type="spellStart"/>
            <w:r w:rsidRPr="00275FBD">
              <w:rPr>
                <w:rFonts w:ascii="Calibri" w:hAnsi="Calibri"/>
                <w:color w:val="000000"/>
                <w:sz w:val="18"/>
                <w:szCs w:val="18"/>
                <w:lang w:val="sl-SI" w:eastAsia="en-GB"/>
              </w:rPr>
              <w:t>Besides</w:t>
            </w:r>
            <w:proofErr w:type="spellEnd"/>
            <w:r w:rsidRPr="00275FBD">
              <w:rPr>
                <w:rFonts w:ascii="Calibri" w:hAnsi="Calibri"/>
                <w:color w:val="000000"/>
                <w:sz w:val="18"/>
                <w:szCs w:val="18"/>
                <w:lang w:val="sl-SI" w:eastAsia="en-GB"/>
              </w:rPr>
              <w:t xml:space="preserve">, as the ATWS </w:t>
            </w:r>
            <w:proofErr w:type="spellStart"/>
            <w:r w:rsidRPr="00275FBD">
              <w:rPr>
                <w:rFonts w:ascii="Calibri" w:hAnsi="Calibri"/>
                <w:color w:val="000000"/>
                <w:sz w:val="18"/>
                <w:szCs w:val="18"/>
                <w:lang w:val="sl-SI" w:eastAsia="en-GB"/>
              </w:rPr>
              <w:t>analyses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should</w:t>
            </w:r>
            <w:proofErr w:type="spellEnd"/>
            <w:r w:rsidRPr="00275FBD">
              <w:rPr>
                <w:rFonts w:ascii="Calibri" w:hAnsi="Calibri"/>
                <w:color w:val="000000"/>
                <w:sz w:val="18"/>
                <w:szCs w:val="18"/>
                <w:lang w:val="sl-SI" w:eastAsia="en-GB"/>
              </w:rPr>
              <w:t xml:space="preserve"> not </w:t>
            </w:r>
            <w:proofErr w:type="spellStart"/>
            <w:r w:rsidRPr="00275FBD">
              <w:rPr>
                <w:rFonts w:ascii="Calibri" w:hAnsi="Calibri"/>
                <w:color w:val="000000"/>
                <w:sz w:val="18"/>
                <w:szCs w:val="18"/>
                <w:lang w:val="sl-SI" w:eastAsia="en-GB"/>
              </w:rPr>
              <w:t>consider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short</w:t>
            </w:r>
            <w:proofErr w:type="spellEnd"/>
            <w:r w:rsidRPr="00275FBD">
              <w:rPr>
                <w:rFonts w:ascii="Calibri" w:hAnsi="Calibri"/>
                <w:color w:val="000000"/>
                <w:sz w:val="18"/>
                <w:szCs w:val="18"/>
                <w:lang w:val="sl-SI" w:eastAsia="en-GB"/>
              </w:rPr>
              <w:t xml:space="preserve"> term operator </w:t>
            </w:r>
            <w:proofErr w:type="spellStart"/>
            <w:r w:rsidRPr="00275FBD">
              <w:rPr>
                <w:rFonts w:ascii="Calibri" w:hAnsi="Calibri"/>
                <w:color w:val="000000"/>
                <w:sz w:val="18"/>
                <w:szCs w:val="18"/>
                <w:lang w:val="sl-SI" w:eastAsia="en-GB"/>
              </w:rPr>
              <w:t>action</w:t>
            </w:r>
            <w:proofErr w:type="spellEnd"/>
            <w:r w:rsidRPr="00275FBD">
              <w:rPr>
                <w:rFonts w:ascii="Calibri" w:hAnsi="Calibri"/>
                <w:color w:val="000000"/>
                <w:sz w:val="18"/>
                <w:szCs w:val="18"/>
                <w:lang w:val="sl-SI" w:eastAsia="en-GB"/>
              </w:rPr>
              <w:t xml:space="preserve">, no </w:t>
            </w:r>
            <w:proofErr w:type="spellStart"/>
            <w:r w:rsidRPr="00275FBD">
              <w:rPr>
                <w:rFonts w:ascii="Calibri" w:hAnsi="Calibri"/>
                <w:color w:val="000000"/>
                <w:sz w:val="18"/>
                <w:szCs w:val="18"/>
                <w:lang w:val="sl-SI" w:eastAsia="en-GB"/>
              </w:rPr>
              <w:t>credit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can</w:t>
            </w:r>
            <w:proofErr w:type="spellEnd"/>
            <w:r w:rsidRPr="00275FBD">
              <w:rPr>
                <w:rFonts w:ascii="Calibri" w:hAnsi="Calibri"/>
                <w:color w:val="000000"/>
                <w:sz w:val="18"/>
                <w:szCs w:val="18"/>
                <w:lang w:val="sl-SI" w:eastAsia="en-GB"/>
              </w:rPr>
              <w:t xml:space="preserve"> be taken from the </w:t>
            </w:r>
            <w:proofErr w:type="spellStart"/>
            <w:r w:rsidRPr="00275FBD">
              <w:rPr>
                <w:rFonts w:ascii="Calibri" w:hAnsi="Calibri"/>
                <w:color w:val="000000"/>
                <w:sz w:val="18"/>
                <w:szCs w:val="18"/>
                <w:lang w:val="sl-SI" w:eastAsia="en-GB"/>
              </w:rPr>
              <w:t>Pressurizer</w:t>
            </w:r>
            <w:proofErr w:type="spellEnd"/>
            <w:r w:rsidRPr="00275FBD">
              <w:rPr>
                <w:rFonts w:ascii="Calibri" w:hAnsi="Calibri"/>
                <w:color w:val="000000"/>
                <w:sz w:val="18"/>
                <w:szCs w:val="18"/>
                <w:lang w:val="sl-SI" w:eastAsia="en-GB"/>
              </w:rPr>
              <w:t xml:space="preserve"> PORV </w:t>
            </w:r>
            <w:proofErr w:type="spellStart"/>
            <w:r w:rsidRPr="00275FBD">
              <w:rPr>
                <w:rFonts w:ascii="Calibri" w:hAnsi="Calibri"/>
                <w:color w:val="000000"/>
                <w:sz w:val="18"/>
                <w:szCs w:val="18"/>
                <w:lang w:val="sl-SI" w:eastAsia="en-GB"/>
              </w:rPr>
              <w:t>Bypass</w:t>
            </w:r>
            <w:proofErr w:type="spellEnd"/>
            <w:r w:rsidRPr="00275FBD">
              <w:rPr>
                <w:rFonts w:ascii="Calibri" w:hAnsi="Calibri"/>
                <w:color w:val="000000"/>
                <w:sz w:val="18"/>
                <w:szCs w:val="18"/>
                <w:lang w:val="sl-SI" w:eastAsia="en-GB"/>
              </w:rPr>
              <w:t xml:space="preserve"> System during </w:t>
            </w:r>
            <w:proofErr w:type="spellStart"/>
            <w:r w:rsidRPr="00275FBD">
              <w:rPr>
                <w:rFonts w:ascii="Calibri" w:hAnsi="Calibri"/>
                <w:color w:val="000000"/>
                <w:sz w:val="18"/>
                <w:szCs w:val="18"/>
                <w:lang w:val="sl-SI" w:eastAsia="en-GB"/>
              </w:rPr>
              <w:t>this</w:t>
            </w:r>
            <w:proofErr w:type="spellEnd"/>
            <w:r w:rsidRPr="00275FBD">
              <w:rPr>
                <w:rFonts w:ascii="Calibri" w:hAnsi="Calibri"/>
                <w:color w:val="000000"/>
                <w:sz w:val="18"/>
                <w:szCs w:val="18"/>
                <w:lang w:val="sl-SI" w:eastAsia="en-GB"/>
              </w:rPr>
              <w:t xml:space="preserve"> period.</w:t>
            </w:r>
          </w:p>
        </w:tc>
        <w:tc>
          <w:tcPr>
            <w:tcW w:w="2694" w:type="dxa"/>
          </w:tcPr>
          <w:p w14:paraId="3E664597"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70A334B4" w14:textId="77777777" w:rsidTr="00935B67">
        <w:tc>
          <w:tcPr>
            <w:tcW w:w="1384" w:type="dxa"/>
            <w:shd w:val="clear" w:color="auto" w:fill="F2DBDB" w:themeFill="accent2" w:themeFillTint="33"/>
          </w:tcPr>
          <w:p w14:paraId="377AA548"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sz w:val="18"/>
                <w:szCs w:val="18"/>
                <w:lang w:val="sl-SI" w:eastAsia="en-GB"/>
              </w:rPr>
              <w:t>PSR3 1.1-113</w:t>
            </w:r>
          </w:p>
        </w:tc>
        <w:tc>
          <w:tcPr>
            <w:tcW w:w="3827" w:type="dxa"/>
          </w:tcPr>
          <w:p w14:paraId="7723954B"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BTP 7-11; </w:t>
            </w:r>
            <w:proofErr w:type="spellStart"/>
            <w:r w:rsidRPr="00275FBD">
              <w:rPr>
                <w:rFonts w:ascii="Calibri" w:hAnsi="Calibri"/>
                <w:color w:val="000000"/>
                <w:sz w:val="18"/>
                <w:szCs w:val="18"/>
                <w:lang w:val="sl-SI" w:eastAsia="en-GB"/>
              </w:rPr>
              <w:t>Systems</w:t>
            </w:r>
            <w:proofErr w:type="spellEnd"/>
            <w:r w:rsidRPr="00275FBD">
              <w:rPr>
                <w:rFonts w:ascii="Calibri" w:hAnsi="Calibri"/>
                <w:color w:val="000000"/>
                <w:sz w:val="18"/>
                <w:szCs w:val="18"/>
                <w:lang w:val="sl-SI" w:eastAsia="en-GB"/>
              </w:rPr>
              <w:t xml:space="preserve"> / </w:t>
            </w:r>
            <w:proofErr w:type="spellStart"/>
            <w:r w:rsidRPr="00275FBD">
              <w:rPr>
                <w:rFonts w:ascii="Calibri" w:hAnsi="Calibri"/>
                <w:color w:val="000000"/>
                <w:sz w:val="18"/>
                <w:szCs w:val="18"/>
                <w:lang w:val="sl-SI" w:eastAsia="en-GB"/>
              </w:rPr>
              <w:t>functions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Electrical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isolation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devices</w:t>
            </w:r>
            <w:proofErr w:type="spellEnd"/>
            <w:r w:rsidRPr="00275FBD">
              <w:rPr>
                <w:rFonts w:ascii="Calibri" w:hAnsi="Calibri"/>
                <w:color w:val="000000"/>
                <w:sz w:val="18"/>
                <w:szCs w:val="18"/>
                <w:lang w:val="sl-SI" w:eastAsia="en-GB"/>
              </w:rPr>
              <w:t xml:space="preserve">; Risk / DOD </w:t>
            </w:r>
            <w:proofErr w:type="spellStart"/>
            <w:r w:rsidRPr="00275FBD">
              <w:rPr>
                <w:rFonts w:ascii="Calibri" w:hAnsi="Calibri"/>
                <w:color w:val="000000"/>
                <w:sz w:val="18"/>
                <w:szCs w:val="18"/>
                <w:lang w:val="sl-SI" w:eastAsia="en-GB"/>
              </w:rPr>
              <w:t>significance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discrepancy</w:t>
            </w:r>
            <w:proofErr w:type="spellEnd"/>
            <w:r w:rsidRPr="00275FBD">
              <w:rPr>
                <w:rFonts w:ascii="Calibri" w:hAnsi="Calibri"/>
                <w:color w:val="000000"/>
                <w:sz w:val="18"/>
                <w:szCs w:val="18"/>
                <w:lang w:val="sl-SI" w:eastAsia="en-GB"/>
              </w:rPr>
              <w:t xml:space="preserve"> with </w:t>
            </w:r>
            <w:proofErr w:type="spellStart"/>
            <w:r w:rsidRPr="00275FBD">
              <w:rPr>
                <w:rFonts w:ascii="Calibri" w:hAnsi="Calibri"/>
                <w:color w:val="000000"/>
                <w:sz w:val="18"/>
                <w:szCs w:val="18"/>
                <w:lang w:val="sl-SI" w:eastAsia="en-GB"/>
              </w:rPr>
              <w:t>international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standards</w:t>
            </w:r>
            <w:proofErr w:type="spellEnd"/>
            <w:r w:rsidRPr="00275FBD">
              <w:rPr>
                <w:rFonts w:ascii="Calibri" w:hAnsi="Calibri"/>
                <w:color w:val="000000"/>
                <w:sz w:val="18"/>
                <w:szCs w:val="18"/>
                <w:lang w:val="sl-SI" w:eastAsia="en-GB"/>
              </w:rPr>
              <w:t xml:space="preserve"> - TL.</w:t>
            </w:r>
          </w:p>
        </w:tc>
        <w:tc>
          <w:tcPr>
            <w:tcW w:w="993" w:type="dxa"/>
          </w:tcPr>
          <w:p w14:paraId="2B234BCB"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3.1.2</w:t>
            </w:r>
          </w:p>
        </w:tc>
        <w:tc>
          <w:tcPr>
            <w:tcW w:w="5244" w:type="dxa"/>
          </w:tcPr>
          <w:p w14:paraId="041F73A8" w14:textId="77777777" w:rsidR="00935B67" w:rsidRPr="00275FBD" w:rsidRDefault="00935B67" w:rsidP="00935B67">
            <w:pPr>
              <w:spacing w:after="0"/>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The USAR rev. 27 is not </w:t>
            </w:r>
            <w:proofErr w:type="spellStart"/>
            <w:r w:rsidRPr="00275FBD">
              <w:rPr>
                <w:rFonts w:ascii="Calibri" w:hAnsi="Calibri"/>
                <w:color w:val="000000"/>
                <w:sz w:val="18"/>
                <w:szCs w:val="18"/>
                <w:lang w:val="sl-SI" w:eastAsia="en-GB"/>
              </w:rPr>
              <w:t>updated</w:t>
            </w:r>
            <w:proofErr w:type="spellEnd"/>
            <w:r w:rsidRPr="00275FBD">
              <w:rPr>
                <w:rFonts w:ascii="Calibri" w:hAnsi="Calibri"/>
                <w:color w:val="000000"/>
                <w:sz w:val="18"/>
                <w:szCs w:val="18"/>
                <w:lang w:val="sl-SI" w:eastAsia="en-GB"/>
              </w:rPr>
              <w:t xml:space="preserve"> to </w:t>
            </w:r>
            <w:proofErr w:type="spellStart"/>
            <w:r w:rsidRPr="00275FBD">
              <w:rPr>
                <w:rFonts w:ascii="Calibri" w:hAnsi="Calibri"/>
                <w:color w:val="000000"/>
                <w:sz w:val="18"/>
                <w:szCs w:val="18"/>
                <w:lang w:val="sl-SI" w:eastAsia="en-GB"/>
              </w:rPr>
              <w:t>reflect</w:t>
            </w:r>
            <w:proofErr w:type="spellEnd"/>
            <w:r w:rsidRPr="00275FBD">
              <w:rPr>
                <w:rFonts w:ascii="Calibri" w:hAnsi="Calibri"/>
                <w:color w:val="000000"/>
                <w:sz w:val="18"/>
                <w:szCs w:val="18"/>
                <w:lang w:val="sl-SI" w:eastAsia="en-GB"/>
              </w:rPr>
              <w:t xml:space="preserve"> the status of the </w:t>
            </w:r>
            <w:proofErr w:type="spellStart"/>
            <w:r w:rsidRPr="00275FBD">
              <w:rPr>
                <w:rFonts w:ascii="Calibri" w:hAnsi="Calibri"/>
                <w:color w:val="000000"/>
                <w:sz w:val="18"/>
                <w:szCs w:val="18"/>
                <w:lang w:val="sl-SI" w:eastAsia="en-GB"/>
              </w:rPr>
              <w:t>plant</w:t>
            </w:r>
            <w:proofErr w:type="spellEnd"/>
            <w:r w:rsidRPr="00275FBD">
              <w:rPr>
                <w:rFonts w:ascii="Calibri" w:hAnsi="Calibri"/>
                <w:color w:val="000000"/>
                <w:sz w:val="18"/>
                <w:szCs w:val="18"/>
                <w:lang w:val="sl-SI" w:eastAsia="en-GB"/>
              </w:rPr>
              <w:t xml:space="preserve"> with </w:t>
            </w:r>
            <w:proofErr w:type="spellStart"/>
            <w:r w:rsidRPr="00275FBD">
              <w:rPr>
                <w:rFonts w:ascii="Calibri" w:hAnsi="Calibri"/>
                <w:color w:val="000000"/>
                <w:sz w:val="18"/>
                <w:szCs w:val="18"/>
                <w:lang w:val="sl-SI" w:eastAsia="en-GB"/>
              </w:rPr>
              <w:t>respect</w:t>
            </w:r>
            <w:proofErr w:type="spellEnd"/>
            <w:r w:rsidRPr="00275FBD">
              <w:rPr>
                <w:rFonts w:ascii="Calibri" w:hAnsi="Calibri"/>
                <w:color w:val="000000"/>
                <w:sz w:val="18"/>
                <w:szCs w:val="18"/>
                <w:lang w:val="sl-SI" w:eastAsia="en-GB"/>
              </w:rPr>
              <w:t xml:space="preserve"> to the </w:t>
            </w:r>
            <w:proofErr w:type="spellStart"/>
            <w:r w:rsidRPr="00275FBD">
              <w:rPr>
                <w:rFonts w:ascii="Calibri" w:hAnsi="Calibri"/>
                <w:color w:val="000000"/>
                <w:sz w:val="18"/>
                <w:szCs w:val="18"/>
                <w:lang w:val="sl-SI" w:eastAsia="en-GB"/>
              </w:rPr>
              <w:t>BTPs</w:t>
            </w:r>
            <w:proofErr w:type="spellEnd"/>
            <w:r w:rsidRPr="00275FBD">
              <w:rPr>
                <w:rFonts w:ascii="Calibri" w:hAnsi="Calibri"/>
                <w:color w:val="000000"/>
                <w:sz w:val="18"/>
                <w:szCs w:val="18"/>
                <w:lang w:val="sl-SI" w:eastAsia="en-GB"/>
              </w:rPr>
              <w:t xml:space="preserve"> in </w:t>
            </w:r>
            <w:proofErr w:type="spellStart"/>
            <w:r w:rsidRPr="00275FBD">
              <w:rPr>
                <w:rFonts w:ascii="Calibri" w:hAnsi="Calibri"/>
                <w:color w:val="000000"/>
                <w:sz w:val="18"/>
                <w:szCs w:val="18"/>
                <w:lang w:val="sl-SI" w:eastAsia="en-GB"/>
              </w:rPr>
              <w:t>Chapter</w:t>
            </w:r>
            <w:proofErr w:type="spellEnd"/>
            <w:r w:rsidRPr="00275FBD">
              <w:rPr>
                <w:rFonts w:ascii="Calibri" w:hAnsi="Calibri"/>
                <w:color w:val="000000"/>
                <w:sz w:val="18"/>
                <w:szCs w:val="18"/>
                <w:lang w:val="sl-SI" w:eastAsia="en-GB"/>
              </w:rPr>
              <w:t xml:space="preserve"> 7. But </w:t>
            </w:r>
            <w:proofErr w:type="spellStart"/>
            <w:r w:rsidRPr="00275FBD">
              <w:rPr>
                <w:rFonts w:ascii="Calibri" w:hAnsi="Calibri"/>
                <w:color w:val="000000"/>
                <w:sz w:val="18"/>
                <w:szCs w:val="18"/>
                <w:lang w:val="sl-SI" w:eastAsia="en-GB"/>
              </w:rPr>
              <w:t>its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importance</w:t>
            </w:r>
            <w:proofErr w:type="spellEnd"/>
            <w:r w:rsidRPr="00275FBD">
              <w:rPr>
                <w:rFonts w:ascii="Calibri" w:hAnsi="Calibri"/>
                <w:color w:val="000000"/>
                <w:sz w:val="18"/>
                <w:szCs w:val="18"/>
                <w:lang w:val="sl-SI" w:eastAsia="en-GB"/>
              </w:rPr>
              <w:t xml:space="preserve"> is not only the reference in the USAR or RCP. From the PSR3 </w:t>
            </w:r>
            <w:proofErr w:type="spellStart"/>
            <w:r w:rsidRPr="00275FBD">
              <w:rPr>
                <w:rFonts w:ascii="Calibri" w:hAnsi="Calibri"/>
                <w:color w:val="000000"/>
                <w:sz w:val="18"/>
                <w:szCs w:val="18"/>
                <w:lang w:val="sl-SI" w:eastAsia="en-GB"/>
              </w:rPr>
              <w:t>report</w:t>
            </w:r>
            <w:proofErr w:type="spellEnd"/>
            <w:r w:rsidRPr="00275FBD">
              <w:rPr>
                <w:rFonts w:ascii="Calibri" w:hAnsi="Calibri"/>
                <w:color w:val="000000"/>
                <w:sz w:val="18"/>
                <w:szCs w:val="18"/>
                <w:lang w:val="sl-SI" w:eastAsia="en-GB"/>
              </w:rPr>
              <w:t xml:space="preserve"> it is not </w:t>
            </w:r>
            <w:proofErr w:type="spellStart"/>
            <w:r w:rsidRPr="00275FBD">
              <w:rPr>
                <w:rFonts w:ascii="Calibri" w:hAnsi="Calibri"/>
                <w:color w:val="000000"/>
                <w:sz w:val="18"/>
                <w:szCs w:val="18"/>
                <w:lang w:val="sl-SI" w:eastAsia="en-GB"/>
              </w:rPr>
              <w:t>clear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if</w:t>
            </w:r>
            <w:proofErr w:type="spellEnd"/>
            <w:r w:rsidRPr="00275FBD">
              <w:rPr>
                <w:rFonts w:ascii="Calibri" w:hAnsi="Calibri"/>
                <w:color w:val="000000"/>
                <w:sz w:val="18"/>
                <w:szCs w:val="18"/>
                <w:lang w:val="sl-SI" w:eastAsia="en-GB"/>
              </w:rPr>
              <w:t xml:space="preserve"> the </w:t>
            </w:r>
            <w:proofErr w:type="spellStart"/>
            <w:r w:rsidRPr="00275FBD">
              <w:rPr>
                <w:rFonts w:ascii="Calibri" w:hAnsi="Calibri"/>
                <w:color w:val="000000"/>
                <w:sz w:val="18"/>
                <w:szCs w:val="18"/>
                <w:lang w:val="sl-SI" w:eastAsia="en-GB"/>
              </w:rPr>
              <w:t>actual</w:t>
            </w:r>
            <w:proofErr w:type="spellEnd"/>
            <w:r w:rsidRPr="00275FBD">
              <w:rPr>
                <w:rFonts w:ascii="Calibri" w:hAnsi="Calibri"/>
                <w:color w:val="000000"/>
                <w:sz w:val="18"/>
                <w:szCs w:val="18"/>
                <w:lang w:val="sl-SI" w:eastAsia="en-GB"/>
              </w:rPr>
              <w:t xml:space="preserve"> status on the </w:t>
            </w:r>
            <w:proofErr w:type="spellStart"/>
            <w:r w:rsidRPr="00275FBD">
              <w:rPr>
                <w:rFonts w:ascii="Calibri" w:hAnsi="Calibri"/>
                <w:color w:val="000000"/>
                <w:sz w:val="18"/>
                <w:szCs w:val="18"/>
                <w:lang w:val="sl-SI" w:eastAsia="en-GB"/>
              </w:rPr>
              <w:t>plant</w:t>
            </w:r>
            <w:proofErr w:type="spellEnd"/>
            <w:r w:rsidRPr="00275FBD">
              <w:rPr>
                <w:rFonts w:ascii="Calibri" w:hAnsi="Calibri"/>
                <w:color w:val="000000"/>
                <w:sz w:val="18"/>
                <w:szCs w:val="18"/>
                <w:lang w:val="sl-SI" w:eastAsia="en-GB"/>
              </w:rPr>
              <w:t xml:space="preserve"> is in </w:t>
            </w:r>
            <w:proofErr w:type="spellStart"/>
            <w:r w:rsidRPr="00275FBD">
              <w:rPr>
                <w:rFonts w:ascii="Calibri" w:hAnsi="Calibri"/>
                <w:color w:val="000000"/>
                <w:sz w:val="18"/>
                <w:szCs w:val="18"/>
                <w:lang w:val="sl-SI" w:eastAsia="en-GB"/>
              </w:rPr>
              <w:t>accordance</w:t>
            </w:r>
            <w:proofErr w:type="spellEnd"/>
            <w:r w:rsidRPr="00275FBD">
              <w:rPr>
                <w:rFonts w:ascii="Calibri" w:hAnsi="Calibri"/>
                <w:color w:val="000000"/>
                <w:sz w:val="18"/>
                <w:szCs w:val="18"/>
                <w:lang w:val="sl-SI" w:eastAsia="en-GB"/>
              </w:rPr>
              <w:t xml:space="preserve"> with BTP-7-11.</w:t>
            </w:r>
          </w:p>
        </w:tc>
        <w:tc>
          <w:tcPr>
            <w:tcW w:w="2694" w:type="dxa"/>
          </w:tcPr>
          <w:p w14:paraId="45A49D64" w14:textId="77777777" w:rsidR="00935B67" w:rsidRPr="00275FBD" w:rsidRDefault="00935B67" w:rsidP="00935B67">
            <w:pPr>
              <w:pStyle w:val="xmsonormal"/>
              <w:rPr>
                <w:sz w:val="18"/>
                <w:szCs w:val="18"/>
              </w:rPr>
            </w:pPr>
            <w:r w:rsidRPr="00275FBD">
              <w:rPr>
                <w:sz w:val="18"/>
                <w:szCs w:val="18"/>
              </w:rPr>
              <w:t xml:space="preserve">Time </w:t>
            </w:r>
            <w:proofErr w:type="spellStart"/>
            <w:r w:rsidRPr="00275FBD">
              <w:rPr>
                <w:sz w:val="18"/>
                <w:szCs w:val="18"/>
              </w:rPr>
              <w:t>frame</w:t>
            </w:r>
            <w:proofErr w:type="spellEnd"/>
            <w:r w:rsidRPr="00275FBD">
              <w:rPr>
                <w:sz w:val="18"/>
                <w:szCs w:val="18"/>
              </w:rPr>
              <w:t xml:space="preserve"> III</w:t>
            </w:r>
          </w:p>
          <w:p w14:paraId="5736E95B" w14:textId="77777777" w:rsidR="00935B67" w:rsidRPr="00275FBD" w:rsidRDefault="00935B67" w:rsidP="00935B67">
            <w:pPr>
              <w:pStyle w:val="xmsonormal"/>
              <w:rPr>
                <w:color w:val="000000"/>
                <w:sz w:val="18"/>
                <w:szCs w:val="18"/>
                <w:lang w:eastAsia="en-GB"/>
              </w:rPr>
            </w:pPr>
          </w:p>
        </w:tc>
      </w:tr>
      <w:tr w:rsidR="00935B67" w:rsidRPr="00275FBD" w14:paraId="06D327C6" w14:textId="77777777" w:rsidTr="00935B67">
        <w:trPr>
          <w:trHeight w:val="1895"/>
        </w:trPr>
        <w:tc>
          <w:tcPr>
            <w:tcW w:w="1384" w:type="dxa"/>
            <w:tcBorders>
              <w:top w:val="single" w:sz="4" w:space="0" w:color="auto"/>
            </w:tcBorders>
            <w:shd w:val="clear" w:color="auto" w:fill="E5DFEC" w:themeFill="accent4" w:themeFillTint="33"/>
          </w:tcPr>
          <w:p w14:paraId="4029C5C4"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themeColor="text1"/>
                <w:sz w:val="18"/>
                <w:szCs w:val="18"/>
                <w:lang w:val="sl-SI" w:eastAsia="en-GB"/>
              </w:rPr>
              <w:t>PSR3 1.3-003</w:t>
            </w:r>
          </w:p>
        </w:tc>
        <w:tc>
          <w:tcPr>
            <w:tcW w:w="3827" w:type="dxa"/>
            <w:tcBorders>
              <w:top w:val="single" w:sz="4" w:space="0" w:color="auto"/>
            </w:tcBorders>
          </w:tcPr>
          <w:p w14:paraId="1D94CB18"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b/>
                <w:bCs/>
                <w:color w:val="000000" w:themeColor="text1"/>
                <w:sz w:val="18"/>
                <w:szCs w:val="18"/>
                <w:lang w:val="sl-SI" w:eastAsia="en-GB"/>
              </w:rPr>
              <w:t xml:space="preserve">8007-MTR </w:t>
            </w:r>
            <w:proofErr w:type="spellStart"/>
            <w:r w:rsidRPr="00275FBD">
              <w:rPr>
                <w:rFonts w:ascii="Calibri" w:hAnsi="Calibri"/>
                <w:b/>
                <w:bCs/>
                <w:color w:val="000000" w:themeColor="text1"/>
                <w:sz w:val="18"/>
                <w:szCs w:val="18"/>
                <w:lang w:val="sl-SI" w:eastAsia="en-GB"/>
              </w:rPr>
              <w:t>discrepancy</w:t>
            </w:r>
            <w:proofErr w:type="spellEnd"/>
            <w:r w:rsidRPr="00275FBD">
              <w:rPr>
                <w:rFonts w:ascii="Calibri" w:hAnsi="Calibri"/>
                <w:b/>
                <w:bCs/>
                <w:color w:val="000000" w:themeColor="text1"/>
                <w:sz w:val="18"/>
                <w:szCs w:val="18"/>
                <w:lang w:val="sl-SI" w:eastAsia="en-GB"/>
              </w:rPr>
              <w:t xml:space="preserve"> in </w:t>
            </w:r>
            <w:proofErr w:type="spellStart"/>
            <w:r w:rsidRPr="00275FBD">
              <w:rPr>
                <w:rFonts w:ascii="Calibri" w:hAnsi="Calibri"/>
                <w:b/>
                <w:bCs/>
                <w:color w:val="000000" w:themeColor="text1"/>
                <w:sz w:val="18"/>
                <w:szCs w:val="18"/>
                <w:lang w:val="sl-SI" w:eastAsia="en-GB"/>
              </w:rPr>
              <w:t>database</w:t>
            </w:r>
            <w:proofErr w:type="spellEnd"/>
            <w:r w:rsidRPr="00275FBD">
              <w:rPr>
                <w:rFonts w:ascii="Calibri" w:hAnsi="Calibri"/>
                <w:color w:val="000000" w:themeColor="text1"/>
                <w:sz w:val="18"/>
                <w:szCs w:val="18"/>
                <w:lang w:val="sl-SI" w:eastAsia="en-GB"/>
              </w:rPr>
              <w:br/>
              <w:t xml:space="preserve">OSF element: </w:t>
            </w:r>
            <w:proofErr w:type="spellStart"/>
            <w:r w:rsidRPr="00275FBD">
              <w:rPr>
                <w:rFonts w:ascii="Calibri" w:hAnsi="Calibri"/>
                <w:color w:val="000000" w:themeColor="text1"/>
                <w:sz w:val="18"/>
                <w:szCs w:val="18"/>
                <w:lang w:val="sl-SI" w:eastAsia="en-GB"/>
              </w:rPr>
              <w:t>Change</w:t>
            </w:r>
            <w:proofErr w:type="spellEnd"/>
            <w:r w:rsidRPr="00275FBD">
              <w:rPr>
                <w:rFonts w:ascii="Calibri" w:hAnsi="Calibri"/>
                <w:color w:val="000000" w:themeColor="text1"/>
                <w:sz w:val="18"/>
                <w:szCs w:val="18"/>
                <w:lang w:val="sl-SI" w:eastAsia="en-GB"/>
              </w:rPr>
              <w:t xml:space="preserve"> Review </w:t>
            </w:r>
            <w:proofErr w:type="spellStart"/>
            <w:r w:rsidRPr="00275FBD">
              <w:rPr>
                <w:rFonts w:ascii="Calibri" w:hAnsi="Calibri"/>
                <w:color w:val="000000" w:themeColor="text1"/>
                <w:sz w:val="18"/>
                <w:szCs w:val="18"/>
                <w:lang w:val="sl-SI" w:eastAsia="en-GB"/>
              </w:rPr>
              <w:t>Process</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r>
            <w:proofErr w:type="spellStart"/>
            <w:r w:rsidRPr="00275FBD">
              <w:rPr>
                <w:rFonts w:ascii="Calibri" w:hAnsi="Calibri"/>
                <w:color w:val="000000" w:themeColor="text1"/>
                <w:sz w:val="18"/>
                <w:szCs w:val="18"/>
                <w:lang w:val="sl-SI" w:eastAsia="en-GB"/>
              </w:rPr>
              <w:t>Connection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between</w:t>
            </w:r>
            <w:proofErr w:type="spellEnd"/>
            <w:r w:rsidRPr="00275FBD">
              <w:rPr>
                <w:rFonts w:ascii="Calibri" w:hAnsi="Calibri"/>
                <w:color w:val="000000" w:themeColor="text1"/>
                <w:sz w:val="18"/>
                <w:szCs w:val="18"/>
                <w:lang w:val="sl-SI" w:eastAsia="en-GB"/>
              </w:rPr>
              <w:t xml:space="preserve"> MECL/EQAR and </w:t>
            </w:r>
            <w:proofErr w:type="spellStart"/>
            <w:r w:rsidRPr="00275FBD">
              <w:rPr>
                <w:rFonts w:ascii="Calibri" w:hAnsi="Calibri"/>
                <w:color w:val="000000" w:themeColor="text1"/>
                <w:sz w:val="18"/>
                <w:szCs w:val="18"/>
                <w:lang w:val="sl-SI" w:eastAsia="en-GB"/>
              </w:rPr>
              <w:t>maintenance</w:t>
            </w:r>
            <w:proofErr w:type="spellEnd"/>
            <w:r w:rsidRPr="00275FBD">
              <w:rPr>
                <w:rFonts w:ascii="Calibri" w:hAnsi="Calibri"/>
                <w:color w:val="000000" w:themeColor="text1"/>
                <w:sz w:val="18"/>
                <w:szCs w:val="18"/>
                <w:lang w:val="sl-SI" w:eastAsia="en-GB"/>
              </w:rPr>
              <w:t xml:space="preserve"> procedure is not </w:t>
            </w:r>
            <w:proofErr w:type="spellStart"/>
            <w:r w:rsidRPr="00275FBD">
              <w:rPr>
                <w:rFonts w:ascii="Calibri" w:hAnsi="Calibri"/>
                <w:color w:val="000000" w:themeColor="text1"/>
                <w:sz w:val="18"/>
                <w:szCs w:val="18"/>
                <w:lang w:val="sl-SI" w:eastAsia="en-GB"/>
              </w:rPr>
              <w:t>clearly</w:t>
            </w:r>
            <w:proofErr w:type="spellEnd"/>
            <w:r w:rsidRPr="00275FBD">
              <w:rPr>
                <w:rFonts w:ascii="Calibri" w:hAnsi="Calibri"/>
                <w:color w:val="000000" w:themeColor="text1"/>
                <w:sz w:val="18"/>
                <w:szCs w:val="18"/>
                <w:lang w:val="sl-SI" w:eastAsia="en-GB"/>
              </w:rPr>
              <w:t xml:space="preserve"> defined.</w:t>
            </w:r>
          </w:p>
        </w:tc>
        <w:tc>
          <w:tcPr>
            <w:tcW w:w="993" w:type="dxa"/>
            <w:tcBorders>
              <w:top w:val="single" w:sz="4" w:space="0" w:color="auto"/>
            </w:tcBorders>
          </w:tcPr>
          <w:p w14:paraId="704017DB"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themeColor="text1"/>
                <w:sz w:val="18"/>
                <w:szCs w:val="18"/>
                <w:lang w:val="sl-SI" w:eastAsia="en-GB"/>
              </w:rPr>
              <w:t>3.3.3</w:t>
            </w:r>
          </w:p>
        </w:tc>
        <w:tc>
          <w:tcPr>
            <w:tcW w:w="5244" w:type="dxa"/>
            <w:tcBorders>
              <w:top w:val="single" w:sz="4" w:space="0" w:color="auto"/>
            </w:tcBorders>
          </w:tcPr>
          <w:p w14:paraId="65E018FA" w14:textId="77777777" w:rsidR="00935B67" w:rsidRPr="00275FBD" w:rsidRDefault="00935B67" w:rsidP="00935B67">
            <w:pPr>
              <w:spacing w:before="0" w:after="0"/>
              <w:jc w:val="left"/>
              <w:rPr>
                <w:rFonts w:ascii="Calibri" w:hAnsi="Calibri"/>
                <w:color w:val="000000" w:themeColor="text1"/>
                <w:sz w:val="18"/>
                <w:szCs w:val="18"/>
                <w:lang w:val="sl-SI" w:eastAsia="en-GB"/>
              </w:rPr>
            </w:pPr>
            <w:proofErr w:type="spellStart"/>
            <w:r w:rsidRPr="00275FBD">
              <w:rPr>
                <w:rFonts w:ascii="Calibri" w:hAnsi="Calibri"/>
                <w:color w:val="000000" w:themeColor="text1"/>
                <w:sz w:val="18"/>
                <w:szCs w:val="18"/>
                <w:lang w:val="sl-SI" w:eastAsia="en-GB"/>
              </w:rPr>
              <w:t>This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resolved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together</w:t>
            </w:r>
            <w:proofErr w:type="spellEnd"/>
            <w:r w:rsidRPr="00275FBD">
              <w:rPr>
                <w:rFonts w:ascii="Calibri" w:hAnsi="Calibri"/>
                <w:color w:val="000000" w:themeColor="text1"/>
                <w:sz w:val="18"/>
                <w:szCs w:val="18"/>
                <w:lang w:val="sl-SI" w:eastAsia="en-GB"/>
              </w:rPr>
              <w:t xml:space="preserve"> with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1.3-002. Both </w:t>
            </w:r>
            <w:proofErr w:type="spellStart"/>
            <w:r w:rsidRPr="00275FBD">
              <w:rPr>
                <w:rFonts w:ascii="Calibri" w:hAnsi="Calibri"/>
                <w:color w:val="000000" w:themeColor="text1"/>
                <w:sz w:val="18"/>
                <w:szCs w:val="18"/>
                <w:lang w:val="sl-SI" w:eastAsia="en-GB"/>
              </w:rPr>
              <w:t>issues</w:t>
            </w:r>
            <w:proofErr w:type="spellEnd"/>
            <w:r w:rsidRPr="00275FBD">
              <w:rPr>
                <w:rFonts w:ascii="Calibri" w:hAnsi="Calibri"/>
                <w:color w:val="000000" w:themeColor="text1"/>
                <w:sz w:val="18"/>
                <w:szCs w:val="18"/>
                <w:lang w:val="sl-SI" w:eastAsia="en-GB"/>
              </w:rPr>
              <w:t xml:space="preserve"> address the same </w:t>
            </w:r>
            <w:proofErr w:type="spellStart"/>
            <w:r w:rsidRPr="00275FBD">
              <w:rPr>
                <w:rFonts w:ascii="Calibri" w:hAnsi="Calibri"/>
                <w:color w:val="000000" w:themeColor="text1"/>
                <w:sz w:val="18"/>
                <w:szCs w:val="18"/>
                <w:lang w:val="sl-SI" w:eastAsia="en-GB"/>
              </w:rPr>
              <w:t>component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but</w:t>
            </w:r>
            <w:proofErr w:type="spellEnd"/>
            <w:r w:rsidRPr="00275FBD">
              <w:rPr>
                <w:rFonts w:ascii="Calibri" w:hAnsi="Calibri"/>
                <w:color w:val="000000" w:themeColor="text1"/>
                <w:sz w:val="18"/>
                <w:szCs w:val="18"/>
                <w:lang w:val="sl-SI" w:eastAsia="en-GB"/>
              </w:rPr>
              <w:t xml:space="preserve"> a </w:t>
            </w:r>
            <w:proofErr w:type="spellStart"/>
            <w:r w:rsidRPr="00275FBD">
              <w:rPr>
                <w:rFonts w:ascii="Calibri" w:hAnsi="Calibri"/>
                <w:color w:val="000000" w:themeColor="text1"/>
                <w:sz w:val="18"/>
                <w:szCs w:val="18"/>
                <w:lang w:val="sl-SI" w:eastAsia="en-GB"/>
              </w:rPr>
              <w:t>mistake</w:t>
            </w:r>
            <w:proofErr w:type="spellEnd"/>
            <w:r w:rsidRPr="00275FBD">
              <w:rPr>
                <w:rFonts w:ascii="Calibri" w:hAnsi="Calibri"/>
                <w:color w:val="000000" w:themeColor="text1"/>
                <w:sz w:val="18"/>
                <w:szCs w:val="18"/>
                <w:lang w:val="sl-SI" w:eastAsia="en-GB"/>
              </w:rPr>
              <w:t xml:space="preserve"> in </w:t>
            </w:r>
            <w:proofErr w:type="spellStart"/>
            <w:r w:rsidRPr="00275FBD">
              <w:rPr>
                <w:rFonts w:ascii="Calibri" w:hAnsi="Calibri"/>
                <w:color w:val="000000" w:themeColor="text1"/>
                <w:sz w:val="18"/>
                <w:szCs w:val="18"/>
                <w:lang w:val="sl-SI" w:eastAsia="en-GB"/>
              </w:rPr>
              <w:t>this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would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have</w:t>
            </w:r>
            <w:proofErr w:type="spellEnd"/>
            <w:r w:rsidRPr="00275FBD">
              <w:rPr>
                <w:rFonts w:ascii="Calibri" w:hAnsi="Calibri"/>
                <w:color w:val="000000" w:themeColor="text1"/>
                <w:sz w:val="18"/>
                <w:szCs w:val="18"/>
                <w:lang w:val="sl-SI" w:eastAsia="en-GB"/>
              </w:rPr>
              <w:t xml:space="preserve"> a </w:t>
            </w:r>
            <w:proofErr w:type="spellStart"/>
            <w:r w:rsidRPr="00275FBD">
              <w:rPr>
                <w:rFonts w:ascii="Calibri" w:hAnsi="Calibri"/>
                <w:color w:val="000000" w:themeColor="text1"/>
                <w:sz w:val="18"/>
                <w:szCs w:val="18"/>
                <w:lang w:val="sl-SI" w:eastAsia="en-GB"/>
              </w:rPr>
              <w:t>larger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impact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then</w:t>
            </w:r>
            <w:proofErr w:type="spellEnd"/>
            <w:r w:rsidRPr="00275FBD">
              <w:rPr>
                <w:rFonts w:ascii="Calibri" w:hAnsi="Calibri"/>
                <w:color w:val="000000" w:themeColor="text1"/>
                <w:sz w:val="18"/>
                <w:szCs w:val="18"/>
                <w:lang w:val="sl-SI" w:eastAsia="en-GB"/>
              </w:rPr>
              <w:t xml:space="preserve"> in the 1.3-002.</w:t>
            </w:r>
          </w:p>
          <w:p w14:paraId="612B28BA" w14:textId="77777777" w:rsidR="00935B67" w:rsidRPr="00275FBD" w:rsidRDefault="00935B67" w:rsidP="00935B67">
            <w:pPr>
              <w:spacing w:after="0"/>
              <w:jc w:val="left"/>
              <w:rPr>
                <w:rFonts w:ascii="Calibri" w:hAnsi="Calibri"/>
                <w:color w:val="000000"/>
                <w:sz w:val="18"/>
                <w:szCs w:val="18"/>
                <w:highlight w:val="green"/>
                <w:lang w:val="sl-SI" w:eastAsia="en-GB"/>
              </w:rPr>
            </w:pPr>
            <w:r w:rsidRPr="00275FBD">
              <w:rPr>
                <w:rFonts w:ascii="Calibri" w:hAnsi="Calibri"/>
                <w:color w:val="000000" w:themeColor="text1"/>
                <w:sz w:val="18"/>
                <w:szCs w:val="18"/>
                <w:lang w:val="sl-SI" w:eastAsia="en-GB"/>
              </w:rPr>
              <w:t xml:space="preserve">Procedure for the </w:t>
            </w:r>
            <w:proofErr w:type="spellStart"/>
            <w:r w:rsidRPr="00275FBD">
              <w:rPr>
                <w:rFonts w:ascii="Calibri" w:hAnsi="Calibri"/>
                <w:color w:val="000000" w:themeColor="text1"/>
                <w:sz w:val="18"/>
                <w:szCs w:val="18"/>
                <w:lang w:val="sl-SI" w:eastAsia="en-GB"/>
              </w:rPr>
              <w:t>actuator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exists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but</w:t>
            </w:r>
            <w:proofErr w:type="spellEnd"/>
            <w:r w:rsidRPr="00275FBD">
              <w:rPr>
                <w:rFonts w:ascii="Calibri" w:hAnsi="Calibri"/>
                <w:color w:val="000000" w:themeColor="text1"/>
                <w:sz w:val="18"/>
                <w:szCs w:val="18"/>
                <w:lang w:val="sl-SI" w:eastAsia="en-GB"/>
              </w:rPr>
              <w:t xml:space="preserve"> in the </w:t>
            </w:r>
            <w:proofErr w:type="spellStart"/>
            <w:r w:rsidRPr="00275FBD">
              <w:rPr>
                <w:rFonts w:ascii="Calibri" w:hAnsi="Calibri"/>
                <w:color w:val="000000" w:themeColor="text1"/>
                <w:sz w:val="18"/>
                <w:szCs w:val="18"/>
                <w:lang w:val="sl-SI" w:eastAsia="en-GB"/>
              </w:rPr>
              <w:t>database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there</w:t>
            </w:r>
            <w:proofErr w:type="spellEnd"/>
            <w:r w:rsidRPr="00275FBD">
              <w:rPr>
                <w:rFonts w:ascii="Calibri" w:hAnsi="Calibri"/>
                <w:color w:val="000000" w:themeColor="text1"/>
                <w:sz w:val="18"/>
                <w:szCs w:val="18"/>
                <w:lang w:val="sl-SI" w:eastAsia="en-GB"/>
              </w:rPr>
              <w:t xml:space="preserve"> is no evidence of a procedure for the motor. </w:t>
            </w:r>
            <w:proofErr w:type="spellStart"/>
            <w:r w:rsidRPr="00275FBD">
              <w:rPr>
                <w:rFonts w:ascii="Calibri" w:hAnsi="Calibri"/>
                <w:color w:val="000000" w:themeColor="text1"/>
                <w:sz w:val="18"/>
                <w:szCs w:val="18"/>
                <w:lang w:val="sl-SI" w:eastAsia="en-GB"/>
              </w:rPr>
              <w:t>If</w:t>
            </w:r>
            <w:proofErr w:type="spellEnd"/>
            <w:r w:rsidRPr="00275FBD">
              <w:rPr>
                <w:rFonts w:ascii="Calibri" w:hAnsi="Calibri"/>
                <w:color w:val="000000" w:themeColor="text1"/>
                <w:sz w:val="18"/>
                <w:szCs w:val="18"/>
                <w:lang w:val="sl-SI" w:eastAsia="en-GB"/>
              </w:rPr>
              <w:t xml:space="preserve"> only a reference on the </w:t>
            </w:r>
            <w:proofErr w:type="spellStart"/>
            <w:r w:rsidRPr="00275FBD">
              <w:rPr>
                <w:rFonts w:ascii="Calibri" w:hAnsi="Calibri"/>
                <w:color w:val="000000" w:themeColor="text1"/>
                <w:sz w:val="18"/>
                <w:szCs w:val="18"/>
                <w:lang w:val="sl-SI" w:eastAsia="en-GB"/>
              </w:rPr>
              <w:t>existing</w:t>
            </w:r>
            <w:proofErr w:type="spellEnd"/>
            <w:r w:rsidRPr="00275FBD">
              <w:rPr>
                <w:rFonts w:ascii="Calibri" w:hAnsi="Calibri"/>
                <w:color w:val="000000" w:themeColor="text1"/>
                <w:sz w:val="18"/>
                <w:szCs w:val="18"/>
                <w:lang w:val="sl-SI" w:eastAsia="en-GB"/>
              </w:rPr>
              <w:t xml:space="preserve"> procedure is </w:t>
            </w:r>
            <w:proofErr w:type="spellStart"/>
            <w:r w:rsidRPr="00275FBD">
              <w:rPr>
                <w:rFonts w:ascii="Calibri" w:hAnsi="Calibri"/>
                <w:color w:val="000000" w:themeColor="text1"/>
                <w:sz w:val="18"/>
                <w:szCs w:val="18"/>
                <w:lang w:val="sl-SI" w:eastAsia="en-GB"/>
              </w:rPr>
              <w:t>missing</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then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this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will</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simply</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resolved</w:t>
            </w:r>
            <w:proofErr w:type="spellEnd"/>
            <w:r w:rsidRPr="00275FBD">
              <w:rPr>
                <w:rFonts w:ascii="Calibri" w:hAnsi="Calibri"/>
                <w:color w:val="000000" w:themeColor="text1"/>
                <w:sz w:val="18"/>
                <w:szCs w:val="18"/>
                <w:lang w:val="sl-SI" w:eastAsia="en-GB"/>
              </w:rPr>
              <w:t xml:space="preserve">. But </w:t>
            </w:r>
            <w:proofErr w:type="spellStart"/>
            <w:r w:rsidRPr="00275FBD">
              <w:rPr>
                <w:rFonts w:ascii="Calibri" w:hAnsi="Calibri"/>
                <w:color w:val="000000" w:themeColor="text1"/>
                <w:sz w:val="18"/>
                <w:szCs w:val="18"/>
                <w:lang w:val="sl-SI" w:eastAsia="en-GB"/>
              </w:rPr>
              <w:t>if</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there</w:t>
            </w:r>
            <w:proofErr w:type="spellEnd"/>
            <w:r w:rsidRPr="00275FBD">
              <w:rPr>
                <w:rFonts w:ascii="Calibri" w:hAnsi="Calibri"/>
                <w:color w:val="000000" w:themeColor="text1"/>
                <w:sz w:val="18"/>
                <w:szCs w:val="18"/>
                <w:lang w:val="sl-SI" w:eastAsia="en-GB"/>
              </w:rPr>
              <w:t xml:space="preserve"> is no procedure, </w:t>
            </w:r>
            <w:proofErr w:type="spellStart"/>
            <w:r w:rsidRPr="00275FBD">
              <w:rPr>
                <w:rFonts w:ascii="Calibri" w:hAnsi="Calibri"/>
                <w:color w:val="000000" w:themeColor="text1"/>
                <w:sz w:val="18"/>
                <w:szCs w:val="18"/>
                <w:lang w:val="sl-SI" w:eastAsia="en-GB"/>
              </w:rPr>
              <w:t>then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such</w:t>
            </w:r>
            <w:proofErr w:type="spellEnd"/>
            <w:r w:rsidRPr="00275FBD">
              <w:rPr>
                <w:rFonts w:ascii="Calibri" w:hAnsi="Calibri"/>
                <w:color w:val="000000" w:themeColor="text1"/>
                <w:sz w:val="18"/>
                <w:szCs w:val="18"/>
                <w:lang w:val="sl-SI" w:eastAsia="en-GB"/>
              </w:rPr>
              <w:t xml:space="preserve"> a procedure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developed</w:t>
            </w:r>
            <w:proofErr w:type="spellEnd"/>
            <w:r w:rsidRPr="00275FBD">
              <w:rPr>
                <w:rFonts w:ascii="Calibri" w:hAnsi="Calibri"/>
                <w:color w:val="000000" w:themeColor="text1"/>
                <w:sz w:val="18"/>
                <w:szCs w:val="18"/>
                <w:lang w:val="sl-SI" w:eastAsia="en-GB"/>
              </w:rPr>
              <w:t>.</w:t>
            </w:r>
          </w:p>
        </w:tc>
        <w:tc>
          <w:tcPr>
            <w:tcW w:w="2694" w:type="dxa"/>
            <w:tcBorders>
              <w:top w:val="single" w:sz="4" w:space="0" w:color="auto"/>
            </w:tcBorders>
          </w:tcPr>
          <w:p w14:paraId="4FC655B7" w14:textId="77777777" w:rsidR="00935B67" w:rsidRPr="00275FBD" w:rsidRDefault="00935B67" w:rsidP="00935B67">
            <w:pPr>
              <w:spacing w:before="0" w:after="0"/>
              <w:jc w:val="left"/>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 xml:space="preserve">8007-MTR </w:t>
            </w:r>
            <w:proofErr w:type="spellStart"/>
            <w:r w:rsidRPr="00275FBD">
              <w:rPr>
                <w:rFonts w:ascii="Calibri" w:hAnsi="Calibri"/>
                <w:color w:val="000000" w:themeColor="text1"/>
                <w:sz w:val="18"/>
                <w:szCs w:val="18"/>
                <w:lang w:val="sl-SI" w:eastAsia="en-GB"/>
              </w:rPr>
              <w:t>will</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linked</w:t>
            </w:r>
            <w:proofErr w:type="spellEnd"/>
            <w:r w:rsidRPr="00275FBD">
              <w:rPr>
                <w:rFonts w:ascii="Calibri" w:hAnsi="Calibri"/>
                <w:color w:val="000000" w:themeColor="text1"/>
                <w:sz w:val="18"/>
                <w:szCs w:val="18"/>
                <w:lang w:val="sl-SI" w:eastAsia="en-GB"/>
              </w:rPr>
              <w:t xml:space="preserve"> to </w:t>
            </w:r>
            <w:proofErr w:type="spellStart"/>
            <w:r w:rsidRPr="00275FBD">
              <w:rPr>
                <w:rFonts w:ascii="Calibri" w:hAnsi="Calibri"/>
                <w:color w:val="000000" w:themeColor="text1"/>
                <w:sz w:val="18"/>
                <w:szCs w:val="18"/>
                <w:lang w:val="sl-SI" w:eastAsia="en-GB"/>
              </w:rPr>
              <w:t>applicable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maintenance</w:t>
            </w:r>
            <w:proofErr w:type="spellEnd"/>
            <w:r w:rsidRPr="00275FBD">
              <w:rPr>
                <w:rFonts w:ascii="Calibri" w:hAnsi="Calibri"/>
                <w:color w:val="000000" w:themeColor="text1"/>
                <w:sz w:val="18"/>
                <w:szCs w:val="18"/>
                <w:lang w:val="sl-SI" w:eastAsia="en-GB"/>
              </w:rPr>
              <w:t xml:space="preserve"> procedure PME-4.037 </w:t>
            </w:r>
            <w:proofErr w:type="spellStart"/>
            <w:r w:rsidRPr="00275FBD">
              <w:rPr>
                <w:rFonts w:ascii="Calibri" w:hAnsi="Calibri"/>
                <w:color w:val="000000" w:themeColor="text1"/>
                <w:sz w:val="18"/>
                <w:szCs w:val="18"/>
                <w:lang w:val="sl-SI" w:eastAsia="en-GB"/>
              </w:rPr>
              <w:t>which</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defines</w:t>
            </w:r>
            <w:proofErr w:type="spellEnd"/>
            <w:r w:rsidRPr="00275FBD">
              <w:rPr>
                <w:rFonts w:ascii="Calibri" w:hAnsi="Calibri"/>
                <w:color w:val="000000" w:themeColor="text1"/>
                <w:sz w:val="18"/>
                <w:szCs w:val="18"/>
                <w:lang w:val="sl-SI" w:eastAsia="en-GB"/>
              </w:rPr>
              <w:t xml:space="preserve"> EQ </w:t>
            </w:r>
            <w:proofErr w:type="spellStart"/>
            <w:r w:rsidRPr="00275FBD">
              <w:rPr>
                <w:rFonts w:ascii="Calibri" w:hAnsi="Calibri"/>
                <w:color w:val="000000" w:themeColor="text1"/>
                <w:sz w:val="18"/>
                <w:szCs w:val="18"/>
                <w:lang w:val="sl-SI" w:eastAsia="en-GB"/>
              </w:rPr>
              <w:t>requirements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This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task</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will</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solved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outside</w:t>
            </w:r>
            <w:proofErr w:type="spellEnd"/>
            <w:r w:rsidRPr="00275FBD">
              <w:rPr>
                <w:rFonts w:ascii="Calibri" w:hAnsi="Calibri"/>
                <w:color w:val="000000" w:themeColor="text1"/>
                <w:sz w:val="18"/>
                <w:szCs w:val="18"/>
                <w:lang w:val="sl-SI" w:eastAsia="en-GB"/>
              </w:rPr>
              <w:t xml:space="preserve"> of PSR3 </w:t>
            </w:r>
            <w:proofErr w:type="spellStart"/>
            <w:r w:rsidRPr="00275FBD">
              <w:rPr>
                <w:rFonts w:ascii="Calibri" w:hAnsi="Calibri"/>
                <w:color w:val="000000" w:themeColor="text1"/>
                <w:sz w:val="18"/>
                <w:szCs w:val="18"/>
                <w:lang w:val="sl-SI" w:eastAsia="en-GB"/>
              </w:rPr>
              <w:t>action</w:t>
            </w:r>
            <w:proofErr w:type="spellEnd"/>
            <w:r w:rsidRPr="00275FBD">
              <w:rPr>
                <w:rFonts w:ascii="Calibri" w:hAnsi="Calibri"/>
                <w:color w:val="000000" w:themeColor="text1"/>
                <w:sz w:val="18"/>
                <w:szCs w:val="18"/>
                <w:lang w:val="sl-SI" w:eastAsia="en-GB"/>
              </w:rPr>
              <w:t xml:space="preserve"> plan, </w:t>
            </w:r>
            <w:r w:rsidRPr="00275FBD">
              <w:rPr>
                <w:rFonts w:ascii="Calibri" w:hAnsi="Calibri"/>
                <w:color w:val="000000" w:themeColor="text1"/>
                <w:sz w:val="18"/>
                <w:szCs w:val="18"/>
                <w:u w:val="single"/>
                <w:lang w:val="sl-SI" w:eastAsia="en-GB"/>
              </w:rPr>
              <w:t xml:space="preserve">in time </w:t>
            </w:r>
            <w:proofErr w:type="spellStart"/>
            <w:r w:rsidRPr="00275FBD">
              <w:rPr>
                <w:rFonts w:ascii="Calibri" w:hAnsi="Calibri"/>
                <w:color w:val="000000" w:themeColor="text1"/>
                <w:sz w:val="18"/>
                <w:szCs w:val="18"/>
                <w:u w:val="single"/>
                <w:lang w:val="sl-SI" w:eastAsia="en-GB"/>
              </w:rPr>
              <w:t>frame</w:t>
            </w:r>
            <w:proofErr w:type="spellEnd"/>
            <w:r w:rsidRPr="00275FBD">
              <w:rPr>
                <w:rFonts w:ascii="Calibri" w:hAnsi="Calibri"/>
                <w:color w:val="000000" w:themeColor="text1"/>
                <w:sz w:val="18"/>
                <w:szCs w:val="18"/>
                <w:u w:val="single"/>
                <w:lang w:val="sl-SI" w:eastAsia="en-GB"/>
              </w:rPr>
              <w:t xml:space="preserve"> </w:t>
            </w:r>
            <w:proofErr w:type="spellStart"/>
            <w:r w:rsidRPr="00275FBD">
              <w:rPr>
                <w:rFonts w:ascii="Calibri" w:hAnsi="Calibri"/>
                <w:color w:val="000000" w:themeColor="text1"/>
                <w:sz w:val="18"/>
                <w:szCs w:val="18"/>
                <w:u w:val="single"/>
                <w:lang w:val="sl-SI" w:eastAsia="en-GB"/>
              </w:rPr>
              <w:t>category</w:t>
            </w:r>
            <w:proofErr w:type="spellEnd"/>
            <w:r w:rsidRPr="00275FBD">
              <w:rPr>
                <w:rFonts w:ascii="Calibri" w:hAnsi="Calibri"/>
                <w:color w:val="000000" w:themeColor="text1"/>
                <w:sz w:val="18"/>
                <w:szCs w:val="18"/>
                <w:u w:val="single"/>
                <w:lang w:val="sl-SI" w:eastAsia="en-GB"/>
              </w:rPr>
              <w:t xml:space="preserve"> I (0-1 </w:t>
            </w:r>
            <w:proofErr w:type="spellStart"/>
            <w:r w:rsidRPr="00275FBD">
              <w:rPr>
                <w:rFonts w:ascii="Calibri" w:hAnsi="Calibri"/>
                <w:color w:val="000000" w:themeColor="text1"/>
                <w:sz w:val="18"/>
                <w:szCs w:val="18"/>
                <w:u w:val="single"/>
                <w:lang w:val="sl-SI" w:eastAsia="en-GB"/>
              </w:rPr>
              <w:t>year</w:t>
            </w:r>
            <w:proofErr w:type="spellEnd"/>
            <w:r w:rsidRPr="00275FBD">
              <w:rPr>
                <w:rFonts w:ascii="Calibri" w:hAnsi="Calibri"/>
                <w:color w:val="000000" w:themeColor="text1"/>
                <w:sz w:val="18"/>
                <w:szCs w:val="18"/>
                <w:u w:val="single"/>
                <w:lang w:val="sl-SI" w:eastAsia="en-GB"/>
              </w:rPr>
              <w:t>)</w:t>
            </w:r>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1.3-002 </w:t>
            </w:r>
            <w:proofErr w:type="spellStart"/>
            <w:r w:rsidRPr="00275FBD">
              <w:rPr>
                <w:rFonts w:ascii="Calibri" w:hAnsi="Calibri"/>
                <w:color w:val="000000" w:themeColor="text1"/>
                <w:sz w:val="18"/>
                <w:szCs w:val="18"/>
                <w:lang w:val="sl-SI" w:eastAsia="en-GB"/>
              </w:rPr>
              <w:t>was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already</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resolved</w:t>
            </w:r>
            <w:proofErr w:type="spellEnd"/>
            <w:r w:rsidRPr="00275FBD">
              <w:rPr>
                <w:rFonts w:ascii="Calibri" w:hAnsi="Calibri"/>
                <w:color w:val="000000" w:themeColor="text1"/>
                <w:sz w:val="18"/>
                <w:szCs w:val="18"/>
                <w:lang w:val="sl-SI" w:eastAsia="en-GB"/>
              </w:rPr>
              <w:t xml:space="preserve"> (EQMC-32 Rev.0 and EQMEL Rev.13).</w:t>
            </w:r>
          </w:p>
        </w:tc>
      </w:tr>
      <w:tr w:rsidR="00935B67" w:rsidRPr="00275FBD" w14:paraId="11C75063" w14:textId="77777777" w:rsidTr="00935B67">
        <w:trPr>
          <w:trHeight w:val="1073"/>
        </w:trPr>
        <w:tc>
          <w:tcPr>
            <w:tcW w:w="1384" w:type="dxa"/>
            <w:tcBorders>
              <w:bottom w:val="single" w:sz="4" w:space="0" w:color="auto"/>
            </w:tcBorders>
            <w:shd w:val="clear" w:color="auto" w:fill="E5DFEC" w:themeFill="accent4" w:themeFillTint="33"/>
          </w:tcPr>
          <w:p w14:paraId="6DA985AF"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1.3-009</w:t>
            </w:r>
          </w:p>
        </w:tc>
        <w:tc>
          <w:tcPr>
            <w:tcW w:w="3827" w:type="dxa"/>
            <w:tcBorders>
              <w:bottom w:val="single" w:sz="4" w:space="0" w:color="auto"/>
            </w:tcBorders>
          </w:tcPr>
          <w:p w14:paraId="1B7A719A" w14:textId="77777777" w:rsidR="00935B67" w:rsidRPr="00275FBD" w:rsidRDefault="00935B67" w:rsidP="00935B67">
            <w:pPr>
              <w:spacing w:after="0"/>
              <w:jc w:val="left"/>
              <w:rPr>
                <w:rFonts w:ascii="Calibri" w:hAnsi="Calibri"/>
                <w:b/>
                <w:bCs/>
                <w:color w:val="000000" w:themeColor="text1"/>
                <w:sz w:val="18"/>
                <w:szCs w:val="18"/>
                <w:lang w:val="sl-SI" w:eastAsia="en-GB"/>
              </w:rPr>
            </w:pPr>
            <w:r w:rsidRPr="00275FBD">
              <w:rPr>
                <w:rFonts w:ascii="Calibri" w:hAnsi="Calibri"/>
                <w:b/>
                <w:bCs/>
                <w:color w:val="000000" w:themeColor="text1"/>
                <w:sz w:val="18"/>
                <w:szCs w:val="18"/>
                <w:lang w:val="sl-SI" w:eastAsia="en-GB"/>
              </w:rPr>
              <w:t xml:space="preserve">USAR </w:t>
            </w:r>
            <w:proofErr w:type="spellStart"/>
            <w:r w:rsidRPr="00275FBD">
              <w:rPr>
                <w:rFonts w:ascii="Calibri" w:hAnsi="Calibri"/>
                <w:b/>
                <w:bCs/>
                <w:color w:val="000000" w:themeColor="text1"/>
                <w:sz w:val="18"/>
                <w:szCs w:val="18"/>
                <w:lang w:val="sl-SI" w:eastAsia="en-GB"/>
              </w:rPr>
              <w:t>section</w:t>
            </w:r>
            <w:proofErr w:type="spellEnd"/>
            <w:r w:rsidRPr="00275FBD">
              <w:rPr>
                <w:rFonts w:ascii="Calibri" w:hAnsi="Calibri"/>
                <w:b/>
                <w:bCs/>
                <w:color w:val="000000" w:themeColor="text1"/>
                <w:sz w:val="18"/>
                <w:szCs w:val="18"/>
                <w:lang w:val="sl-SI" w:eastAsia="en-GB"/>
              </w:rPr>
              <w:t xml:space="preserve"> 20 </w:t>
            </w:r>
            <w:proofErr w:type="spellStart"/>
            <w:r w:rsidRPr="00275FBD">
              <w:rPr>
                <w:rFonts w:ascii="Calibri" w:hAnsi="Calibri"/>
                <w:b/>
                <w:bCs/>
                <w:color w:val="000000" w:themeColor="text1"/>
                <w:sz w:val="18"/>
                <w:szCs w:val="18"/>
                <w:lang w:val="sl-SI" w:eastAsia="en-GB"/>
              </w:rPr>
              <w:t>references</w:t>
            </w:r>
            <w:proofErr w:type="spellEnd"/>
            <w:r w:rsidRPr="00275FBD">
              <w:rPr>
                <w:rFonts w:ascii="Calibri" w:hAnsi="Calibri"/>
                <w:b/>
                <w:bCs/>
                <w:color w:val="000000" w:themeColor="text1"/>
                <w:sz w:val="18"/>
                <w:szCs w:val="18"/>
                <w:lang w:val="sl-SI" w:eastAsia="en-GB"/>
              </w:rPr>
              <w:t xml:space="preserve"> update</w:t>
            </w:r>
            <w:r w:rsidRPr="00275FBD">
              <w:rPr>
                <w:rFonts w:ascii="Calibri" w:hAnsi="Calibri"/>
                <w:color w:val="000000" w:themeColor="text1"/>
                <w:sz w:val="18"/>
                <w:szCs w:val="18"/>
                <w:lang w:val="sl-SI" w:eastAsia="en-GB"/>
              </w:rPr>
              <w:br/>
              <w:t xml:space="preserve">OSF element: </w:t>
            </w:r>
            <w:proofErr w:type="spellStart"/>
            <w:r w:rsidRPr="00275FBD">
              <w:rPr>
                <w:rFonts w:ascii="Calibri" w:hAnsi="Calibri"/>
                <w:color w:val="000000" w:themeColor="text1"/>
                <w:sz w:val="18"/>
                <w:szCs w:val="18"/>
                <w:lang w:val="sl-SI" w:eastAsia="en-GB"/>
              </w:rPr>
              <w:t>Change</w:t>
            </w:r>
            <w:proofErr w:type="spellEnd"/>
            <w:r w:rsidRPr="00275FBD">
              <w:rPr>
                <w:rFonts w:ascii="Calibri" w:hAnsi="Calibri"/>
                <w:color w:val="000000" w:themeColor="text1"/>
                <w:sz w:val="18"/>
                <w:szCs w:val="18"/>
                <w:lang w:val="sl-SI" w:eastAsia="en-GB"/>
              </w:rPr>
              <w:t xml:space="preserve"> Review </w:t>
            </w:r>
            <w:proofErr w:type="spellStart"/>
            <w:r w:rsidRPr="00275FBD">
              <w:rPr>
                <w:rFonts w:ascii="Calibri" w:hAnsi="Calibri"/>
                <w:color w:val="000000" w:themeColor="text1"/>
                <w:sz w:val="18"/>
                <w:szCs w:val="18"/>
                <w:lang w:val="sl-SI" w:eastAsia="en-GB"/>
              </w:rPr>
              <w:t>Process</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r>
            <w:proofErr w:type="spellStart"/>
            <w:r w:rsidRPr="00275FBD">
              <w:rPr>
                <w:rFonts w:ascii="Calibri" w:hAnsi="Calibri"/>
                <w:color w:val="000000" w:themeColor="text1"/>
                <w:sz w:val="18"/>
                <w:szCs w:val="18"/>
                <w:lang w:val="sl-SI" w:eastAsia="en-GB"/>
              </w:rPr>
              <w:t>Programs</w:t>
            </w:r>
            <w:proofErr w:type="spellEnd"/>
            <w:r w:rsidRPr="00275FBD">
              <w:rPr>
                <w:rFonts w:ascii="Calibri" w:hAnsi="Calibri"/>
                <w:color w:val="000000" w:themeColor="text1"/>
                <w:sz w:val="18"/>
                <w:szCs w:val="18"/>
                <w:lang w:val="sl-SI" w:eastAsia="en-GB"/>
              </w:rPr>
              <w:t xml:space="preserve"> ED-12 and ED-17 are </w:t>
            </w:r>
            <w:proofErr w:type="spellStart"/>
            <w:r w:rsidRPr="00275FBD">
              <w:rPr>
                <w:rFonts w:ascii="Calibri" w:hAnsi="Calibri"/>
                <w:color w:val="000000" w:themeColor="text1"/>
                <w:sz w:val="18"/>
                <w:szCs w:val="18"/>
                <w:lang w:val="sl-SI" w:eastAsia="en-GB"/>
              </w:rPr>
              <w:t>missing</w:t>
            </w:r>
            <w:proofErr w:type="spellEnd"/>
            <w:r w:rsidRPr="00275FBD">
              <w:rPr>
                <w:rFonts w:ascii="Calibri" w:hAnsi="Calibri"/>
                <w:color w:val="000000" w:themeColor="text1"/>
                <w:sz w:val="18"/>
                <w:szCs w:val="18"/>
                <w:lang w:val="sl-SI" w:eastAsia="en-GB"/>
              </w:rPr>
              <w:t xml:space="preserve"> in </w:t>
            </w:r>
            <w:proofErr w:type="spellStart"/>
            <w:r w:rsidRPr="00275FBD">
              <w:rPr>
                <w:rFonts w:ascii="Calibri" w:hAnsi="Calibri"/>
                <w:color w:val="000000" w:themeColor="text1"/>
                <w:sz w:val="18"/>
                <w:szCs w:val="18"/>
                <w:lang w:val="sl-SI" w:eastAsia="en-GB"/>
              </w:rPr>
              <w:t>references</w:t>
            </w:r>
            <w:proofErr w:type="spellEnd"/>
            <w:r w:rsidRPr="00275FBD">
              <w:rPr>
                <w:rFonts w:ascii="Calibri" w:hAnsi="Calibri"/>
                <w:color w:val="000000" w:themeColor="text1"/>
                <w:sz w:val="18"/>
                <w:szCs w:val="18"/>
                <w:lang w:val="sl-SI" w:eastAsia="en-GB"/>
              </w:rPr>
              <w:t xml:space="preserve"> list in </w:t>
            </w:r>
            <w:proofErr w:type="spellStart"/>
            <w:r w:rsidRPr="00275FBD">
              <w:rPr>
                <w:rFonts w:ascii="Calibri" w:hAnsi="Calibri"/>
                <w:color w:val="000000" w:themeColor="text1"/>
                <w:sz w:val="18"/>
                <w:szCs w:val="18"/>
                <w:lang w:val="sl-SI" w:eastAsia="en-GB"/>
              </w:rPr>
              <w:t>section</w:t>
            </w:r>
            <w:proofErr w:type="spellEnd"/>
            <w:r w:rsidRPr="00275FBD">
              <w:rPr>
                <w:rFonts w:ascii="Calibri" w:hAnsi="Calibri"/>
                <w:color w:val="000000" w:themeColor="text1"/>
                <w:sz w:val="18"/>
                <w:szCs w:val="18"/>
                <w:lang w:val="sl-SI" w:eastAsia="en-GB"/>
              </w:rPr>
              <w:t xml:space="preserve"> 20 of USAR.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added</w:t>
            </w:r>
            <w:proofErr w:type="spellEnd"/>
            <w:r w:rsidRPr="00275FBD">
              <w:rPr>
                <w:rFonts w:ascii="Calibri" w:hAnsi="Calibri"/>
                <w:color w:val="000000" w:themeColor="text1"/>
                <w:sz w:val="18"/>
                <w:szCs w:val="18"/>
                <w:lang w:val="sl-SI" w:eastAsia="en-GB"/>
              </w:rPr>
              <w:t>.</w:t>
            </w:r>
          </w:p>
        </w:tc>
        <w:tc>
          <w:tcPr>
            <w:tcW w:w="993" w:type="dxa"/>
            <w:tcBorders>
              <w:bottom w:val="single" w:sz="4" w:space="0" w:color="auto"/>
            </w:tcBorders>
          </w:tcPr>
          <w:p w14:paraId="4364F17E" w14:textId="77777777" w:rsidR="00935B67" w:rsidRPr="00275FBD" w:rsidRDefault="00935B67" w:rsidP="00935B67">
            <w:pPr>
              <w:jc w:val="cente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3.3.3</w:t>
            </w:r>
          </w:p>
        </w:tc>
        <w:tc>
          <w:tcPr>
            <w:tcW w:w="5244" w:type="dxa"/>
            <w:tcBorders>
              <w:bottom w:val="single" w:sz="4" w:space="0" w:color="auto"/>
            </w:tcBorders>
          </w:tcPr>
          <w:p w14:paraId="129152BB" w14:textId="77777777" w:rsidR="00935B67" w:rsidRPr="00275FBD" w:rsidRDefault="00935B67" w:rsidP="00935B67">
            <w:pPr>
              <w:spacing w:before="0" w:after="0"/>
              <w:jc w:val="left"/>
              <w:rPr>
                <w:rFonts w:ascii="Calibri" w:hAnsi="Calibri"/>
                <w:color w:val="000000" w:themeColor="text1"/>
                <w:sz w:val="18"/>
                <w:szCs w:val="18"/>
                <w:highlight w:val="green"/>
                <w:lang w:val="sl-SI" w:eastAsia="en-GB"/>
              </w:rPr>
            </w:pPr>
            <w:proofErr w:type="spellStart"/>
            <w:r w:rsidRPr="00275FBD">
              <w:rPr>
                <w:rFonts w:ascii="Calibri" w:hAnsi="Calibri"/>
                <w:color w:val="000000" w:themeColor="text1"/>
                <w:sz w:val="18"/>
                <w:szCs w:val="18"/>
                <w:lang w:val="sl-SI" w:eastAsia="en-GB"/>
              </w:rPr>
              <w:t>References</w:t>
            </w:r>
            <w:proofErr w:type="spellEnd"/>
            <w:r w:rsidRPr="00275FBD">
              <w:rPr>
                <w:rFonts w:ascii="Calibri" w:hAnsi="Calibri"/>
                <w:color w:val="000000" w:themeColor="text1"/>
                <w:sz w:val="18"/>
                <w:szCs w:val="18"/>
                <w:lang w:val="sl-SI" w:eastAsia="en-GB"/>
              </w:rPr>
              <w:t xml:space="preserve"> to ED-12 and ED-17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added</w:t>
            </w:r>
            <w:proofErr w:type="spellEnd"/>
            <w:r w:rsidRPr="00275FBD">
              <w:rPr>
                <w:rFonts w:ascii="Calibri" w:hAnsi="Calibri"/>
                <w:color w:val="000000" w:themeColor="text1"/>
                <w:sz w:val="18"/>
                <w:szCs w:val="18"/>
                <w:lang w:val="sl-SI" w:eastAsia="en-GB"/>
              </w:rPr>
              <w:t xml:space="preserve"> in the USAR. In </w:t>
            </w:r>
            <w:proofErr w:type="spellStart"/>
            <w:r w:rsidRPr="00275FBD">
              <w:rPr>
                <w:rFonts w:ascii="Calibri" w:hAnsi="Calibri"/>
                <w:color w:val="000000" w:themeColor="text1"/>
                <w:sz w:val="18"/>
                <w:szCs w:val="18"/>
                <w:lang w:val="sl-SI" w:eastAsia="en-GB"/>
              </w:rPr>
              <w:t>addition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also</w:t>
            </w:r>
            <w:proofErr w:type="spellEnd"/>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content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checked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if</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there</w:t>
            </w:r>
            <w:proofErr w:type="spellEnd"/>
            <w:r w:rsidRPr="00275FBD">
              <w:rPr>
                <w:rFonts w:ascii="Calibri" w:hAnsi="Calibri"/>
                <w:color w:val="000000" w:themeColor="text1"/>
                <w:sz w:val="18"/>
                <w:szCs w:val="18"/>
                <w:lang w:val="sl-SI" w:eastAsia="en-GB"/>
              </w:rPr>
              <w:t xml:space="preserve"> is a </w:t>
            </w:r>
            <w:proofErr w:type="spellStart"/>
            <w:r w:rsidRPr="00275FBD">
              <w:rPr>
                <w:rFonts w:ascii="Calibri" w:hAnsi="Calibri"/>
                <w:color w:val="000000" w:themeColor="text1"/>
                <w:sz w:val="18"/>
                <w:szCs w:val="18"/>
                <w:lang w:val="sl-SI" w:eastAsia="en-GB"/>
              </w:rPr>
              <w:t>need</w:t>
            </w:r>
            <w:proofErr w:type="spellEnd"/>
            <w:r w:rsidRPr="00275FBD">
              <w:rPr>
                <w:rFonts w:ascii="Calibri" w:hAnsi="Calibri"/>
                <w:color w:val="000000" w:themeColor="text1"/>
                <w:sz w:val="18"/>
                <w:szCs w:val="18"/>
                <w:lang w:val="sl-SI" w:eastAsia="en-GB"/>
              </w:rPr>
              <w:t xml:space="preserve"> to update it.</w:t>
            </w:r>
          </w:p>
        </w:tc>
        <w:tc>
          <w:tcPr>
            <w:tcW w:w="2694" w:type="dxa"/>
            <w:tcBorders>
              <w:bottom w:val="single" w:sz="4" w:space="0" w:color="auto"/>
            </w:tcBorders>
          </w:tcPr>
          <w:p w14:paraId="6C1F8F3F" w14:textId="77777777" w:rsidR="00935B67" w:rsidRPr="00275FBD" w:rsidRDefault="00935B67" w:rsidP="00935B67">
            <w:pPr>
              <w:spacing w:before="0" w:after="0"/>
              <w:jc w:val="left"/>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 xml:space="preserve">ED-12 and ED-17 </w:t>
            </w:r>
            <w:proofErr w:type="spellStart"/>
            <w:r w:rsidRPr="00275FBD">
              <w:rPr>
                <w:rFonts w:ascii="Calibri" w:hAnsi="Calibri"/>
                <w:color w:val="000000" w:themeColor="text1"/>
                <w:sz w:val="18"/>
                <w:szCs w:val="18"/>
                <w:lang w:val="sl-SI" w:eastAsia="en-GB"/>
              </w:rPr>
              <w:t>will</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added</w:t>
            </w:r>
            <w:proofErr w:type="spellEnd"/>
            <w:r w:rsidRPr="00275FBD">
              <w:rPr>
                <w:rFonts w:ascii="Calibri" w:hAnsi="Calibri"/>
                <w:color w:val="000000" w:themeColor="text1"/>
                <w:sz w:val="18"/>
                <w:szCs w:val="18"/>
                <w:lang w:val="sl-SI" w:eastAsia="en-GB"/>
              </w:rPr>
              <w:t xml:space="preserve"> to USAR </w:t>
            </w:r>
            <w:proofErr w:type="spellStart"/>
            <w:r w:rsidRPr="00275FBD">
              <w:rPr>
                <w:rFonts w:ascii="Calibri" w:hAnsi="Calibri"/>
                <w:color w:val="000000" w:themeColor="text1"/>
                <w:sz w:val="18"/>
                <w:szCs w:val="18"/>
                <w:lang w:val="sl-SI" w:eastAsia="en-GB"/>
              </w:rPr>
              <w:t>section</w:t>
            </w:r>
            <w:proofErr w:type="spellEnd"/>
            <w:r w:rsidRPr="00275FBD">
              <w:rPr>
                <w:rFonts w:ascii="Calibri" w:hAnsi="Calibri"/>
                <w:color w:val="000000" w:themeColor="text1"/>
                <w:sz w:val="18"/>
                <w:szCs w:val="18"/>
                <w:lang w:val="sl-SI" w:eastAsia="en-GB"/>
              </w:rPr>
              <w:t xml:space="preserve"> 20.1.4. </w:t>
            </w:r>
            <w:proofErr w:type="spellStart"/>
            <w:r w:rsidRPr="00275FBD">
              <w:rPr>
                <w:rFonts w:ascii="Calibri" w:hAnsi="Calibri"/>
                <w:color w:val="000000" w:themeColor="text1"/>
                <w:sz w:val="18"/>
                <w:szCs w:val="18"/>
                <w:lang w:val="sl-SI" w:eastAsia="en-GB"/>
              </w:rPr>
              <w:t>This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task</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will</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solved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outside</w:t>
            </w:r>
            <w:proofErr w:type="spellEnd"/>
            <w:r w:rsidRPr="00275FBD">
              <w:rPr>
                <w:rFonts w:ascii="Calibri" w:hAnsi="Calibri"/>
                <w:color w:val="000000" w:themeColor="text1"/>
                <w:sz w:val="18"/>
                <w:szCs w:val="18"/>
                <w:lang w:val="sl-SI" w:eastAsia="en-GB"/>
              </w:rPr>
              <w:t xml:space="preserve"> of PSR3 </w:t>
            </w:r>
            <w:proofErr w:type="spellStart"/>
            <w:r w:rsidRPr="00275FBD">
              <w:rPr>
                <w:rFonts w:ascii="Calibri" w:hAnsi="Calibri"/>
                <w:color w:val="000000" w:themeColor="text1"/>
                <w:sz w:val="18"/>
                <w:szCs w:val="18"/>
                <w:lang w:val="sl-SI" w:eastAsia="en-GB"/>
              </w:rPr>
              <w:t>action</w:t>
            </w:r>
            <w:proofErr w:type="spellEnd"/>
            <w:r w:rsidRPr="00275FBD">
              <w:rPr>
                <w:rFonts w:ascii="Calibri" w:hAnsi="Calibri"/>
                <w:color w:val="000000" w:themeColor="text1"/>
                <w:sz w:val="18"/>
                <w:szCs w:val="18"/>
                <w:lang w:val="sl-SI" w:eastAsia="en-GB"/>
              </w:rPr>
              <w:t xml:space="preserve"> plan, </w:t>
            </w:r>
            <w:r w:rsidRPr="00275FBD">
              <w:rPr>
                <w:rFonts w:ascii="Calibri" w:hAnsi="Calibri"/>
                <w:color w:val="000000" w:themeColor="text1"/>
                <w:sz w:val="18"/>
                <w:szCs w:val="18"/>
                <w:u w:val="single"/>
                <w:lang w:val="sl-SI" w:eastAsia="en-GB"/>
              </w:rPr>
              <w:t xml:space="preserve">in time </w:t>
            </w:r>
            <w:proofErr w:type="spellStart"/>
            <w:r w:rsidRPr="00275FBD">
              <w:rPr>
                <w:rFonts w:ascii="Calibri" w:hAnsi="Calibri"/>
                <w:color w:val="000000" w:themeColor="text1"/>
                <w:sz w:val="18"/>
                <w:szCs w:val="18"/>
                <w:u w:val="single"/>
                <w:lang w:val="sl-SI" w:eastAsia="en-GB"/>
              </w:rPr>
              <w:t>frame</w:t>
            </w:r>
            <w:proofErr w:type="spellEnd"/>
            <w:r w:rsidRPr="00275FBD">
              <w:rPr>
                <w:rFonts w:ascii="Calibri" w:hAnsi="Calibri"/>
                <w:color w:val="000000" w:themeColor="text1"/>
                <w:sz w:val="18"/>
                <w:szCs w:val="18"/>
                <w:u w:val="single"/>
                <w:lang w:val="sl-SI" w:eastAsia="en-GB"/>
              </w:rPr>
              <w:t xml:space="preserve"> </w:t>
            </w:r>
            <w:proofErr w:type="spellStart"/>
            <w:r w:rsidRPr="00275FBD">
              <w:rPr>
                <w:rFonts w:ascii="Calibri" w:hAnsi="Calibri"/>
                <w:color w:val="000000" w:themeColor="text1"/>
                <w:sz w:val="18"/>
                <w:szCs w:val="18"/>
                <w:u w:val="single"/>
                <w:lang w:val="sl-SI" w:eastAsia="en-GB"/>
              </w:rPr>
              <w:t>category</w:t>
            </w:r>
            <w:proofErr w:type="spellEnd"/>
            <w:r w:rsidRPr="00275FBD">
              <w:rPr>
                <w:rFonts w:ascii="Calibri" w:hAnsi="Calibri"/>
                <w:color w:val="000000" w:themeColor="text1"/>
                <w:sz w:val="18"/>
                <w:szCs w:val="18"/>
                <w:u w:val="single"/>
                <w:lang w:val="sl-SI" w:eastAsia="en-GB"/>
              </w:rPr>
              <w:t xml:space="preserve"> II (1-3 </w:t>
            </w:r>
            <w:proofErr w:type="spellStart"/>
            <w:r w:rsidRPr="00275FBD">
              <w:rPr>
                <w:rFonts w:ascii="Calibri" w:hAnsi="Calibri"/>
                <w:color w:val="000000" w:themeColor="text1"/>
                <w:sz w:val="18"/>
                <w:szCs w:val="18"/>
                <w:u w:val="single"/>
                <w:lang w:val="sl-SI" w:eastAsia="en-GB"/>
              </w:rPr>
              <w:t>years</w:t>
            </w:r>
            <w:proofErr w:type="spellEnd"/>
            <w:r w:rsidRPr="00275FBD">
              <w:rPr>
                <w:rFonts w:ascii="Calibri" w:hAnsi="Calibri"/>
                <w:color w:val="000000" w:themeColor="text1"/>
                <w:sz w:val="18"/>
                <w:szCs w:val="18"/>
                <w:u w:val="single"/>
                <w:lang w:val="sl-SI" w:eastAsia="en-GB"/>
              </w:rPr>
              <w:t>).</w:t>
            </w:r>
          </w:p>
        </w:tc>
      </w:tr>
      <w:tr w:rsidR="00935B67" w:rsidRPr="00275FBD" w14:paraId="2F80E08F" w14:textId="77777777" w:rsidTr="00935B67">
        <w:tc>
          <w:tcPr>
            <w:tcW w:w="1384" w:type="dxa"/>
            <w:tcBorders>
              <w:top w:val="single" w:sz="4" w:space="0" w:color="auto"/>
            </w:tcBorders>
            <w:shd w:val="clear" w:color="auto" w:fill="92CDDC" w:themeFill="accent5" w:themeFillTint="99"/>
          </w:tcPr>
          <w:p w14:paraId="7493D583"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sz w:val="18"/>
                <w:szCs w:val="18"/>
                <w:lang w:val="sl-SI" w:eastAsia="en-GB"/>
              </w:rPr>
              <w:lastRenderedPageBreak/>
              <w:t>PSR3 2.1-003</w:t>
            </w:r>
          </w:p>
        </w:tc>
        <w:tc>
          <w:tcPr>
            <w:tcW w:w="3827" w:type="dxa"/>
            <w:tcBorders>
              <w:top w:val="single" w:sz="4" w:space="0" w:color="auto"/>
            </w:tcBorders>
          </w:tcPr>
          <w:p w14:paraId="66730A0F"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Best </w:t>
            </w:r>
            <w:proofErr w:type="spellStart"/>
            <w:r w:rsidRPr="00275FBD">
              <w:rPr>
                <w:rFonts w:ascii="Calibri" w:hAnsi="Calibri"/>
                <w:color w:val="000000"/>
                <w:sz w:val="18"/>
                <w:szCs w:val="18"/>
                <w:lang w:val="sl-SI" w:eastAsia="en-GB"/>
              </w:rPr>
              <w:t>estimate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code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versions</w:t>
            </w:r>
            <w:proofErr w:type="spellEnd"/>
            <w:r w:rsidRPr="00275FBD">
              <w:rPr>
                <w:rFonts w:ascii="Calibri" w:hAnsi="Calibri"/>
                <w:color w:val="000000"/>
                <w:sz w:val="18"/>
                <w:szCs w:val="18"/>
                <w:lang w:val="sl-SI" w:eastAsia="en-GB"/>
              </w:rPr>
              <w:t xml:space="preserve"> and DEC </w:t>
            </w:r>
            <w:proofErr w:type="spellStart"/>
            <w:r w:rsidRPr="00275FBD">
              <w:rPr>
                <w:rFonts w:ascii="Calibri" w:hAnsi="Calibri"/>
                <w:color w:val="000000"/>
                <w:sz w:val="18"/>
                <w:szCs w:val="18"/>
                <w:lang w:val="sl-SI" w:eastAsia="en-GB"/>
              </w:rPr>
              <w:t>simulations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Systems</w:t>
            </w:r>
            <w:proofErr w:type="spellEnd"/>
            <w:r w:rsidRPr="00275FBD">
              <w:rPr>
                <w:rFonts w:ascii="Calibri" w:hAnsi="Calibri"/>
                <w:color w:val="000000"/>
                <w:sz w:val="18"/>
                <w:szCs w:val="18"/>
                <w:lang w:val="sl-SI" w:eastAsia="en-GB"/>
              </w:rPr>
              <w:t xml:space="preserve"> / </w:t>
            </w:r>
            <w:proofErr w:type="spellStart"/>
            <w:r w:rsidRPr="00275FBD">
              <w:rPr>
                <w:rFonts w:ascii="Calibri" w:hAnsi="Calibri"/>
                <w:color w:val="000000"/>
                <w:sz w:val="18"/>
                <w:szCs w:val="18"/>
                <w:lang w:val="sl-SI" w:eastAsia="en-GB"/>
              </w:rPr>
              <w:t>functions</w:t>
            </w:r>
            <w:proofErr w:type="spellEnd"/>
            <w:r w:rsidRPr="00275FBD">
              <w:rPr>
                <w:rFonts w:ascii="Calibri" w:hAnsi="Calibri"/>
                <w:color w:val="000000"/>
                <w:sz w:val="18"/>
                <w:szCs w:val="18"/>
                <w:lang w:val="sl-SI" w:eastAsia="en-GB"/>
              </w:rPr>
              <w:t xml:space="preserve">: DEC; Risk / DOD </w:t>
            </w:r>
            <w:proofErr w:type="spellStart"/>
            <w:r w:rsidRPr="00275FBD">
              <w:rPr>
                <w:rFonts w:ascii="Calibri" w:hAnsi="Calibri"/>
                <w:color w:val="000000"/>
                <w:sz w:val="18"/>
                <w:szCs w:val="18"/>
                <w:lang w:val="sl-SI" w:eastAsia="en-GB"/>
              </w:rPr>
              <w:t>significance</w:t>
            </w:r>
            <w:proofErr w:type="spellEnd"/>
            <w:r w:rsidRPr="00275FBD">
              <w:rPr>
                <w:rFonts w:ascii="Calibri" w:hAnsi="Calibri"/>
                <w:color w:val="000000"/>
                <w:sz w:val="18"/>
                <w:szCs w:val="18"/>
                <w:lang w:val="sl-SI" w:eastAsia="en-GB"/>
              </w:rPr>
              <w:t>: TL.</w:t>
            </w:r>
          </w:p>
          <w:p w14:paraId="6655CADF" w14:textId="77777777" w:rsidR="00935B67" w:rsidRPr="00275FBD" w:rsidRDefault="00935B67" w:rsidP="00935B67">
            <w:pPr>
              <w:jc w:val="left"/>
              <w:rPr>
                <w:rFonts w:ascii="Calibri" w:hAnsi="Calibri"/>
                <w:b/>
                <w:bCs/>
                <w:color w:val="000000"/>
                <w:sz w:val="18"/>
                <w:szCs w:val="18"/>
                <w:lang w:val="sl-SI" w:eastAsia="en-GB"/>
              </w:rPr>
            </w:pPr>
            <w:proofErr w:type="spellStart"/>
            <w:r w:rsidRPr="00275FBD">
              <w:rPr>
                <w:rFonts w:ascii="Calibri" w:hAnsi="Calibri"/>
                <w:b/>
                <w:bCs/>
                <w:color w:val="000000"/>
                <w:sz w:val="18"/>
                <w:szCs w:val="18"/>
                <w:lang w:val="sl-SI" w:eastAsia="en-GB"/>
              </w:rPr>
              <w:t>Determine</w:t>
            </w:r>
            <w:proofErr w:type="spellEnd"/>
            <w:r w:rsidRPr="00275FBD">
              <w:rPr>
                <w:rFonts w:ascii="Calibri" w:hAnsi="Calibri"/>
                <w:b/>
                <w:bCs/>
                <w:color w:val="000000"/>
                <w:sz w:val="18"/>
                <w:szCs w:val="18"/>
                <w:lang w:val="sl-SI" w:eastAsia="en-GB"/>
              </w:rPr>
              <w:t xml:space="preserve"> conditions for </w:t>
            </w:r>
            <w:proofErr w:type="spellStart"/>
            <w:r w:rsidRPr="00275FBD">
              <w:rPr>
                <w:rFonts w:ascii="Calibri" w:hAnsi="Calibri"/>
                <w:b/>
                <w:bCs/>
                <w:color w:val="000000"/>
                <w:sz w:val="18"/>
                <w:szCs w:val="18"/>
                <w:lang w:val="sl-SI" w:eastAsia="en-GB"/>
              </w:rPr>
              <w:t>updating</w:t>
            </w:r>
            <w:proofErr w:type="spellEnd"/>
            <w:r w:rsidRPr="00275FBD">
              <w:rPr>
                <w:rFonts w:ascii="Calibri" w:hAnsi="Calibri"/>
                <w:b/>
                <w:bCs/>
                <w:color w:val="000000"/>
                <w:sz w:val="18"/>
                <w:szCs w:val="18"/>
                <w:lang w:val="sl-SI" w:eastAsia="en-GB"/>
              </w:rPr>
              <w:t xml:space="preserve"> on </w:t>
            </w:r>
            <w:proofErr w:type="spellStart"/>
            <w:r w:rsidRPr="00275FBD">
              <w:rPr>
                <w:rFonts w:ascii="Calibri" w:hAnsi="Calibri"/>
                <w:b/>
                <w:bCs/>
                <w:color w:val="000000"/>
                <w:sz w:val="18"/>
                <w:szCs w:val="18"/>
                <w:lang w:val="sl-SI" w:eastAsia="en-GB"/>
              </w:rPr>
              <w:t>best</w:t>
            </w:r>
            <w:proofErr w:type="spellEnd"/>
            <w:r w:rsidRPr="00275FBD">
              <w:rPr>
                <w:rFonts w:ascii="Calibri" w:hAnsi="Calibri"/>
                <w:b/>
                <w:bCs/>
                <w:color w:val="000000"/>
                <w:sz w:val="18"/>
                <w:szCs w:val="18"/>
                <w:lang w:val="sl-SI" w:eastAsia="en-GB"/>
              </w:rPr>
              <w:t xml:space="preserve"> </w:t>
            </w:r>
            <w:proofErr w:type="spellStart"/>
            <w:r w:rsidRPr="00275FBD">
              <w:rPr>
                <w:rFonts w:ascii="Calibri" w:hAnsi="Calibri"/>
                <w:b/>
                <w:bCs/>
                <w:color w:val="000000"/>
                <w:sz w:val="18"/>
                <w:szCs w:val="18"/>
                <w:lang w:val="sl-SI" w:eastAsia="en-GB"/>
              </w:rPr>
              <w:t>estimate</w:t>
            </w:r>
            <w:proofErr w:type="spellEnd"/>
            <w:r w:rsidRPr="00275FBD">
              <w:rPr>
                <w:rFonts w:ascii="Calibri" w:hAnsi="Calibri"/>
                <w:b/>
                <w:bCs/>
                <w:color w:val="000000"/>
                <w:sz w:val="18"/>
                <w:szCs w:val="18"/>
                <w:lang w:val="sl-SI" w:eastAsia="en-GB"/>
              </w:rPr>
              <w:t xml:space="preserve"> </w:t>
            </w:r>
            <w:proofErr w:type="spellStart"/>
            <w:r w:rsidRPr="00275FBD">
              <w:rPr>
                <w:rFonts w:ascii="Calibri" w:hAnsi="Calibri"/>
                <w:b/>
                <w:bCs/>
                <w:color w:val="000000"/>
                <w:sz w:val="18"/>
                <w:szCs w:val="18"/>
                <w:lang w:val="sl-SI" w:eastAsia="en-GB"/>
              </w:rPr>
              <w:t>code</w:t>
            </w:r>
            <w:proofErr w:type="spellEnd"/>
            <w:r w:rsidRPr="00275FBD">
              <w:rPr>
                <w:rFonts w:ascii="Calibri" w:hAnsi="Calibri"/>
                <w:b/>
                <w:bCs/>
                <w:color w:val="000000"/>
                <w:sz w:val="18"/>
                <w:szCs w:val="18"/>
                <w:lang w:val="sl-SI" w:eastAsia="en-GB"/>
              </w:rPr>
              <w:t xml:space="preserve"> </w:t>
            </w:r>
            <w:proofErr w:type="spellStart"/>
            <w:r w:rsidRPr="00275FBD">
              <w:rPr>
                <w:rFonts w:ascii="Calibri" w:hAnsi="Calibri"/>
                <w:b/>
                <w:bCs/>
                <w:color w:val="000000"/>
                <w:sz w:val="18"/>
                <w:szCs w:val="18"/>
                <w:lang w:val="sl-SI" w:eastAsia="en-GB"/>
              </w:rPr>
              <w:t>versions</w:t>
            </w:r>
            <w:proofErr w:type="spellEnd"/>
            <w:r w:rsidRPr="00275FBD">
              <w:rPr>
                <w:rFonts w:ascii="Calibri" w:hAnsi="Calibri"/>
                <w:b/>
                <w:bCs/>
                <w:color w:val="000000"/>
                <w:sz w:val="18"/>
                <w:szCs w:val="18"/>
                <w:lang w:val="sl-SI" w:eastAsia="en-GB"/>
              </w:rPr>
              <w:t xml:space="preserve"> and DEC </w:t>
            </w:r>
            <w:proofErr w:type="spellStart"/>
            <w:r w:rsidRPr="00275FBD">
              <w:rPr>
                <w:rFonts w:ascii="Calibri" w:hAnsi="Calibri"/>
                <w:b/>
                <w:bCs/>
                <w:color w:val="000000"/>
                <w:sz w:val="18"/>
                <w:szCs w:val="18"/>
                <w:lang w:val="sl-SI" w:eastAsia="en-GB"/>
              </w:rPr>
              <w:t>simulations</w:t>
            </w:r>
            <w:proofErr w:type="spellEnd"/>
          </w:p>
          <w:p w14:paraId="0454BCA9"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The </w:t>
            </w:r>
            <w:proofErr w:type="spellStart"/>
            <w:r w:rsidRPr="00275FBD">
              <w:rPr>
                <w:rFonts w:ascii="Calibri" w:hAnsi="Calibri"/>
                <w:color w:val="000000"/>
                <w:sz w:val="18"/>
                <w:szCs w:val="18"/>
                <w:lang w:val="sl-SI" w:eastAsia="en-GB"/>
              </w:rPr>
              <w:t>issue</w:t>
            </w:r>
            <w:proofErr w:type="spellEnd"/>
            <w:r w:rsidRPr="00275FBD">
              <w:rPr>
                <w:rFonts w:ascii="Calibri" w:hAnsi="Calibri"/>
                <w:color w:val="000000"/>
                <w:sz w:val="18"/>
                <w:szCs w:val="18"/>
                <w:lang w:val="sl-SI" w:eastAsia="en-GB"/>
              </w:rPr>
              <w:t xml:space="preserve"> is </w:t>
            </w:r>
            <w:proofErr w:type="spellStart"/>
            <w:r w:rsidRPr="00275FBD">
              <w:rPr>
                <w:rFonts w:ascii="Calibri" w:hAnsi="Calibri"/>
                <w:color w:val="000000"/>
                <w:sz w:val="18"/>
                <w:szCs w:val="18"/>
                <w:lang w:val="sl-SI" w:eastAsia="en-GB"/>
              </w:rPr>
              <w:t>about</w:t>
            </w:r>
            <w:proofErr w:type="spellEnd"/>
            <w:r w:rsidRPr="00275FBD">
              <w:rPr>
                <w:rFonts w:ascii="Calibri" w:hAnsi="Calibri"/>
                <w:color w:val="000000"/>
                <w:sz w:val="18"/>
                <w:szCs w:val="18"/>
                <w:lang w:val="sl-SI" w:eastAsia="en-GB"/>
              </w:rPr>
              <w:t xml:space="preserve"> a </w:t>
            </w:r>
            <w:proofErr w:type="spellStart"/>
            <w:r w:rsidRPr="00275FBD">
              <w:rPr>
                <w:rFonts w:ascii="Calibri" w:hAnsi="Calibri"/>
                <w:color w:val="000000"/>
                <w:sz w:val="18"/>
                <w:szCs w:val="18"/>
                <w:lang w:val="sl-SI" w:eastAsia="en-GB"/>
              </w:rPr>
              <w:t>need</w:t>
            </w:r>
            <w:proofErr w:type="spellEnd"/>
            <w:r w:rsidRPr="00275FBD">
              <w:rPr>
                <w:rFonts w:ascii="Calibri" w:hAnsi="Calibri"/>
                <w:color w:val="000000"/>
                <w:sz w:val="18"/>
                <w:szCs w:val="18"/>
                <w:lang w:val="sl-SI" w:eastAsia="en-GB"/>
              </w:rPr>
              <w:t xml:space="preserve"> to </w:t>
            </w:r>
            <w:proofErr w:type="spellStart"/>
            <w:r w:rsidRPr="00275FBD">
              <w:rPr>
                <w:rFonts w:ascii="Calibri" w:hAnsi="Calibri"/>
                <w:color w:val="000000"/>
                <w:sz w:val="18"/>
                <w:szCs w:val="18"/>
                <w:lang w:val="sl-SI" w:eastAsia="en-GB"/>
              </w:rPr>
              <w:t>define</w:t>
            </w:r>
            <w:proofErr w:type="spellEnd"/>
            <w:r w:rsidRPr="00275FBD">
              <w:rPr>
                <w:rFonts w:ascii="Calibri" w:hAnsi="Calibri"/>
                <w:color w:val="000000"/>
                <w:sz w:val="18"/>
                <w:szCs w:val="18"/>
                <w:lang w:val="sl-SI" w:eastAsia="en-GB"/>
              </w:rPr>
              <w:t xml:space="preserve"> the conditions as </w:t>
            </w:r>
            <w:proofErr w:type="spellStart"/>
            <w:r w:rsidRPr="00275FBD">
              <w:rPr>
                <w:rFonts w:ascii="Calibri" w:hAnsi="Calibri"/>
                <w:color w:val="000000"/>
                <w:sz w:val="18"/>
                <w:szCs w:val="18"/>
                <w:lang w:val="sl-SI" w:eastAsia="en-GB"/>
              </w:rPr>
              <w:t>when</w:t>
            </w:r>
            <w:proofErr w:type="spellEnd"/>
            <w:r w:rsidRPr="00275FBD">
              <w:rPr>
                <w:rFonts w:ascii="Calibri" w:hAnsi="Calibri"/>
                <w:color w:val="000000"/>
                <w:sz w:val="18"/>
                <w:szCs w:val="18"/>
                <w:lang w:val="sl-SI" w:eastAsia="en-GB"/>
              </w:rPr>
              <w:t xml:space="preserve"> to </w:t>
            </w:r>
            <w:proofErr w:type="spellStart"/>
            <w:r w:rsidRPr="00275FBD">
              <w:rPr>
                <w:rFonts w:ascii="Calibri" w:hAnsi="Calibri"/>
                <w:color w:val="000000"/>
                <w:sz w:val="18"/>
                <w:szCs w:val="18"/>
                <w:lang w:val="sl-SI" w:eastAsia="en-GB"/>
              </w:rPr>
              <w:t>apply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new</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releases</w:t>
            </w:r>
            <w:proofErr w:type="spellEnd"/>
            <w:r w:rsidRPr="00275FBD">
              <w:rPr>
                <w:rFonts w:ascii="Calibri" w:hAnsi="Calibri"/>
                <w:color w:val="000000"/>
                <w:sz w:val="18"/>
                <w:szCs w:val="18"/>
                <w:lang w:val="sl-SI" w:eastAsia="en-GB"/>
              </w:rPr>
              <w:t xml:space="preserve"> of </w:t>
            </w:r>
            <w:proofErr w:type="spellStart"/>
            <w:r w:rsidRPr="00275FBD">
              <w:rPr>
                <w:rFonts w:ascii="Calibri" w:hAnsi="Calibri"/>
                <w:color w:val="000000"/>
                <w:sz w:val="18"/>
                <w:szCs w:val="18"/>
                <w:lang w:val="sl-SI" w:eastAsia="en-GB"/>
              </w:rPr>
              <w:t>best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estimate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codes</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when</w:t>
            </w:r>
            <w:proofErr w:type="spellEnd"/>
            <w:r w:rsidRPr="00275FBD">
              <w:rPr>
                <w:rFonts w:ascii="Calibri" w:hAnsi="Calibri"/>
                <w:color w:val="000000"/>
                <w:sz w:val="18"/>
                <w:szCs w:val="18"/>
                <w:lang w:val="sl-SI" w:eastAsia="en-GB"/>
              </w:rPr>
              <w:t xml:space="preserve"> to re-</w:t>
            </w:r>
            <w:proofErr w:type="spellStart"/>
            <w:r w:rsidRPr="00275FBD">
              <w:rPr>
                <w:rFonts w:ascii="Calibri" w:hAnsi="Calibri"/>
                <w:color w:val="000000"/>
                <w:sz w:val="18"/>
                <w:szCs w:val="18"/>
                <w:lang w:val="sl-SI" w:eastAsia="en-GB"/>
              </w:rPr>
              <w:t>check</w:t>
            </w:r>
            <w:proofErr w:type="spellEnd"/>
            <w:r w:rsidRPr="00275FBD">
              <w:rPr>
                <w:rFonts w:ascii="Calibri" w:hAnsi="Calibri"/>
                <w:color w:val="000000"/>
                <w:sz w:val="18"/>
                <w:szCs w:val="18"/>
                <w:lang w:val="sl-SI" w:eastAsia="en-GB"/>
              </w:rPr>
              <w:t xml:space="preserve"> the </w:t>
            </w:r>
            <w:proofErr w:type="spellStart"/>
            <w:r w:rsidRPr="00275FBD">
              <w:rPr>
                <w:rFonts w:ascii="Calibri" w:hAnsi="Calibri"/>
                <w:color w:val="000000"/>
                <w:sz w:val="18"/>
                <w:szCs w:val="18"/>
                <w:lang w:val="sl-SI" w:eastAsia="en-GB"/>
              </w:rPr>
              <w:t>validity</w:t>
            </w:r>
            <w:proofErr w:type="spellEnd"/>
            <w:r w:rsidRPr="00275FBD">
              <w:rPr>
                <w:rFonts w:ascii="Calibri" w:hAnsi="Calibri"/>
                <w:color w:val="000000"/>
                <w:sz w:val="18"/>
                <w:szCs w:val="18"/>
                <w:lang w:val="sl-SI" w:eastAsia="en-GB"/>
              </w:rPr>
              <w:t xml:space="preserve"> of DEC </w:t>
            </w:r>
            <w:proofErr w:type="spellStart"/>
            <w:r w:rsidRPr="00275FBD">
              <w:rPr>
                <w:rFonts w:ascii="Calibri" w:hAnsi="Calibri"/>
                <w:color w:val="000000"/>
                <w:sz w:val="18"/>
                <w:szCs w:val="18"/>
                <w:lang w:val="sl-SI" w:eastAsia="en-GB"/>
              </w:rPr>
              <w:t>analyses</w:t>
            </w:r>
            <w:proofErr w:type="spellEnd"/>
            <w:r w:rsidRPr="00275FBD">
              <w:rPr>
                <w:rFonts w:ascii="Calibri" w:hAnsi="Calibri"/>
                <w:color w:val="000000"/>
                <w:sz w:val="18"/>
                <w:szCs w:val="18"/>
                <w:lang w:val="sl-SI" w:eastAsia="en-GB"/>
              </w:rPr>
              <w:t xml:space="preserve">. NEK </w:t>
            </w:r>
            <w:proofErr w:type="spellStart"/>
            <w:r w:rsidRPr="00275FBD">
              <w:rPr>
                <w:rFonts w:ascii="Calibri" w:hAnsi="Calibri"/>
                <w:color w:val="000000"/>
                <w:sz w:val="18"/>
                <w:szCs w:val="18"/>
                <w:lang w:val="sl-SI" w:eastAsia="en-GB"/>
              </w:rPr>
              <w:t>considers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introducing</w:t>
            </w:r>
            <w:proofErr w:type="spellEnd"/>
            <w:r w:rsidRPr="00275FBD">
              <w:rPr>
                <w:rFonts w:ascii="Calibri" w:hAnsi="Calibri"/>
                <w:color w:val="000000"/>
                <w:sz w:val="18"/>
                <w:szCs w:val="18"/>
                <w:lang w:val="sl-SI" w:eastAsia="en-GB"/>
              </w:rPr>
              <w:t xml:space="preserve"> a procedure to </w:t>
            </w:r>
            <w:proofErr w:type="spellStart"/>
            <w:r w:rsidRPr="00275FBD">
              <w:rPr>
                <w:rFonts w:ascii="Calibri" w:hAnsi="Calibri"/>
                <w:color w:val="000000"/>
                <w:sz w:val="18"/>
                <w:szCs w:val="18"/>
                <w:lang w:val="sl-SI" w:eastAsia="en-GB"/>
              </w:rPr>
              <w:t>this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effect</w:t>
            </w:r>
            <w:proofErr w:type="spellEnd"/>
            <w:r w:rsidRPr="00275FBD">
              <w:rPr>
                <w:rFonts w:ascii="Calibri" w:hAnsi="Calibri"/>
                <w:color w:val="000000"/>
                <w:sz w:val="18"/>
                <w:szCs w:val="18"/>
                <w:lang w:val="sl-SI" w:eastAsia="en-GB"/>
              </w:rPr>
              <w:t>.</w:t>
            </w:r>
          </w:p>
        </w:tc>
        <w:tc>
          <w:tcPr>
            <w:tcW w:w="993" w:type="dxa"/>
            <w:tcBorders>
              <w:top w:val="single" w:sz="4" w:space="0" w:color="auto"/>
            </w:tcBorders>
          </w:tcPr>
          <w:p w14:paraId="41D6453C"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3.1.2</w:t>
            </w:r>
          </w:p>
        </w:tc>
        <w:tc>
          <w:tcPr>
            <w:tcW w:w="5244" w:type="dxa"/>
            <w:tcBorders>
              <w:top w:val="single" w:sz="4" w:space="0" w:color="auto"/>
            </w:tcBorders>
          </w:tcPr>
          <w:p w14:paraId="542ADE38" w14:textId="77777777" w:rsidR="00935B67" w:rsidRPr="00275FBD" w:rsidRDefault="00935B67" w:rsidP="00935B67">
            <w:pPr>
              <w:jc w:val="left"/>
              <w:rPr>
                <w:rFonts w:ascii="Calibri" w:hAnsi="Calibri"/>
                <w:sz w:val="18"/>
                <w:szCs w:val="18"/>
                <w:lang w:val="sl-SI" w:eastAsia="en-GB"/>
              </w:rPr>
            </w:pPr>
            <w:r w:rsidRPr="00275FBD">
              <w:rPr>
                <w:rFonts w:ascii="Calibri" w:hAnsi="Calibri"/>
                <w:sz w:val="18"/>
                <w:szCs w:val="18"/>
                <w:lang w:val="sl-SI" w:eastAsia="en-GB"/>
              </w:rPr>
              <w:t xml:space="preserve">SNSA </w:t>
            </w:r>
            <w:proofErr w:type="spellStart"/>
            <w:r w:rsidRPr="00275FBD">
              <w:rPr>
                <w:rFonts w:ascii="Calibri" w:hAnsi="Calibri"/>
                <w:sz w:val="18"/>
                <w:szCs w:val="18"/>
                <w:lang w:val="sl-SI" w:eastAsia="en-GB"/>
              </w:rPr>
              <w:t>agrees</w:t>
            </w:r>
            <w:proofErr w:type="spellEnd"/>
            <w:r w:rsidRPr="00275FBD">
              <w:rPr>
                <w:rFonts w:ascii="Calibri" w:hAnsi="Calibri"/>
                <w:sz w:val="18"/>
                <w:szCs w:val="18"/>
                <w:lang w:val="sl-SI" w:eastAsia="en-GB"/>
              </w:rPr>
              <w:t xml:space="preserve"> that </w:t>
            </w:r>
            <w:proofErr w:type="spellStart"/>
            <w:r w:rsidRPr="00275FBD">
              <w:rPr>
                <w:rFonts w:ascii="Calibri" w:hAnsi="Calibri"/>
                <w:sz w:val="18"/>
                <w:szCs w:val="18"/>
                <w:lang w:val="sl-SI" w:eastAsia="en-GB"/>
              </w:rPr>
              <w:t>clear</w:t>
            </w:r>
            <w:proofErr w:type="spellEnd"/>
            <w:r w:rsidRPr="00275FBD">
              <w:rPr>
                <w:rFonts w:ascii="Calibri" w:hAnsi="Calibri"/>
                <w:sz w:val="18"/>
                <w:szCs w:val="18"/>
                <w:lang w:val="sl-SI" w:eastAsia="en-GB"/>
              </w:rPr>
              <w:t xml:space="preserve"> conditions </w:t>
            </w:r>
            <w:proofErr w:type="spellStart"/>
            <w:r w:rsidRPr="00275FBD">
              <w:rPr>
                <w:rFonts w:ascii="Calibri" w:hAnsi="Calibri"/>
                <w:sz w:val="18"/>
                <w:szCs w:val="18"/>
                <w:lang w:val="sl-SI" w:eastAsia="en-GB"/>
              </w:rPr>
              <w:t>shall</w:t>
            </w:r>
            <w:proofErr w:type="spellEnd"/>
            <w:r w:rsidRPr="00275FBD">
              <w:rPr>
                <w:rFonts w:ascii="Calibri" w:hAnsi="Calibri"/>
                <w:sz w:val="18"/>
                <w:szCs w:val="18"/>
                <w:lang w:val="sl-SI" w:eastAsia="en-GB"/>
              </w:rPr>
              <w:t xml:space="preserve"> be defined as to </w:t>
            </w:r>
            <w:proofErr w:type="spellStart"/>
            <w:r w:rsidRPr="00275FBD">
              <w:rPr>
                <w:rFonts w:ascii="Calibri" w:hAnsi="Calibri"/>
                <w:sz w:val="18"/>
                <w:szCs w:val="18"/>
                <w:lang w:val="sl-SI" w:eastAsia="en-GB"/>
              </w:rPr>
              <w:t>when</w:t>
            </w:r>
            <w:proofErr w:type="spellEnd"/>
            <w:r w:rsidRPr="00275FBD">
              <w:rPr>
                <w:rFonts w:ascii="Calibri" w:hAnsi="Calibri"/>
                <w:sz w:val="18"/>
                <w:szCs w:val="18"/>
                <w:lang w:val="sl-SI" w:eastAsia="en-GB"/>
              </w:rPr>
              <w:t xml:space="preserve"> to </w:t>
            </w:r>
            <w:proofErr w:type="spellStart"/>
            <w:r w:rsidRPr="00275FBD">
              <w:rPr>
                <w:rFonts w:ascii="Calibri" w:hAnsi="Calibri"/>
                <w:sz w:val="18"/>
                <w:szCs w:val="18"/>
                <w:lang w:val="sl-SI" w:eastAsia="en-GB"/>
              </w:rPr>
              <w:t>apply</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new</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releases</w:t>
            </w:r>
            <w:proofErr w:type="spellEnd"/>
            <w:r w:rsidRPr="00275FBD">
              <w:rPr>
                <w:rFonts w:ascii="Calibri" w:hAnsi="Calibri"/>
                <w:sz w:val="18"/>
                <w:szCs w:val="18"/>
                <w:lang w:val="sl-SI" w:eastAsia="en-GB"/>
              </w:rPr>
              <w:t xml:space="preserve"> of </w:t>
            </w:r>
            <w:proofErr w:type="spellStart"/>
            <w:r w:rsidRPr="00275FBD">
              <w:rPr>
                <w:rFonts w:ascii="Calibri" w:hAnsi="Calibri"/>
                <w:sz w:val="18"/>
                <w:szCs w:val="18"/>
                <w:lang w:val="sl-SI" w:eastAsia="en-GB"/>
              </w:rPr>
              <w:t>best</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estimate</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codes</w:t>
            </w:r>
            <w:proofErr w:type="spellEnd"/>
            <w:r w:rsidRPr="00275FBD">
              <w:rPr>
                <w:rFonts w:ascii="Calibri" w:hAnsi="Calibri"/>
                <w:sz w:val="18"/>
                <w:szCs w:val="18"/>
                <w:lang w:val="sl-SI" w:eastAsia="en-GB"/>
              </w:rPr>
              <w:t xml:space="preserve"> and </w:t>
            </w:r>
            <w:proofErr w:type="spellStart"/>
            <w:r w:rsidRPr="00275FBD">
              <w:rPr>
                <w:rFonts w:ascii="Calibri" w:hAnsi="Calibri"/>
                <w:sz w:val="18"/>
                <w:szCs w:val="18"/>
                <w:lang w:val="sl-SI" w:eastAsia="en-GB"/>
              </w:rPr>
              <w:t>when</w:t>
            </w:r>
            <w:proofErr w:type="spellEnd"/>
            <w:r w:rsidRPr="00275FBD">
              <w:rPr>
                <w:rFonts w:ascii="Calibri" w:hAnsi="Calibri"/>
                <w:sz w:val="18"/>
                <w:szCs w:val="18"/>
                <w:lang w:val="sl-SI" w:eastAsia="en-GB"/>
              </w:rPr>
              <w:t xml:space="preserve"> to re-</w:t>
            </w:r>
            <w:proofErr w:type="spellStart"/>
            <w:r w:rsidRPr="00275FBD">
              <w:rPr>
                <w:rFonts w:ascii="Calibri" w:hAnsi="Calibri"/>
                <w:sz w:val="18"/>
                <w:szCs w:val="18"/>
                <w:lang w:val="sl-SI" w:eastAsia="en-GB"/>
              </w:rPr>
              <w:t>check</w:t>
            </w:r>
            <w:proofErr w:type="spellEnd"/>
            <w:r w:rsidRPr="00275FBD">
              <w:rPr>
                <w:rFonts w:ascii="Calibri" w:hAnsi="Calibri"/>
                <w:sz w:val="18"/>
                <w:szCs w:val="18"/>
                <w:lang w:val="sl-SI" w:eastAsia="en-GB"/>
              </w:rPr>
              <w:t xml:space="preserve"> the </w:t>
            </w:r>
            <w:proofErr w:type="spellStart"/>
            <w:r w:rsidRPr="00275FBD">
              <w:rPr>
                <w:rFonts w:ascii="Calibri" w:hAnsi="Calibri"/>
                <w:sz w:val="18"/>
                <w:szCs w:val="18"/>
                <w:lang w:val="sl-SI" w:eastAsia="en-GB"/>
              </w:rPr>
              <w:t>validity</w:t>
            </w:r>
            <w:proofErr w:type="spellEnd"/>
            <w:r w:rsidRPr="00275FBD">
              <w:rPr>
                <w:rFonts w:ascii="Calibri" w:hAnsi="Calibri"/>
                <w:sz w:val="18"/>
                <w:szCs w:val="18"/>
                <w:lang w:val="sl-SI" w:eastAsia="en-GB"/>
              </w:rPr>
              <w:t xml:space="preserve"> of DEC </w:t>
            </w:r>
            <w:proofErr w:type="spellStart"/>
            <w:r w:rsidRPr="00275FBD">
              <w:rPr>
                <w:rFonts w:ascii="Calibri" w:hAnsi="Calibri"/>
                <w:sz w:val="18"/>
                <w:szCs w:val="18"/>
                <w:lang w:val="sl-SI" w:eastAsia="en-GB"/>
              </w:rPr>
              <w:t>analyses</w:t>
            </w:r>
            <w:proofErr w:type="spellEnd"/>
            <w:r w:rsidRPr="00275FBD">
              <w:rPr>
                <w:rFonts w:ascii="Calibri" w:hAnsi="Calibri"/>
                <w:sz w:val="18"/>
                <w:szCs w:val="18"/>
                <w:lang w:val="sl-SI" w:eastAsia="en-GB"/>
              </w:rPr>
              <w:t xml:space="preserve">. </w:t>
            </w:r>
          </w:p>
          <w:p w14:paraId="0B9BF8DE" w14:textId="77777777" w:rsidR="00935B67" w:rsidRPr="00275FBD" w:rsidRDefault="00935B67" w:rsidP="00935B67">
            <w:pPr>
              <w:jc w:val="left"/>
              <w:rPr>
                <w:rFonts w:ascii="Calibri" w:hAnsi="Calibri"/>
                <w:sz w:val="18"/>
                <w:szCs w:val="18"/>
                <w:lang w:val="sl-SI" w:eastAsia="en-GB"/>
              </w:rPr>
            </w:pPr>
            <w:r w:rsidRPr="00275FBD">
              <w:rPr>
                <w:rFonts w:ascii="Calibri" w:hAnsi="Calibri"/>
                <w:sz w:val="18"/>
                <w:szCs w:val="18"/>
                <w:lang w:val="sl-SI" w:eastAsia="en-GB"/>
              </w:rPr>
              <w:t xml:space="preserve">SNSA </w:t>
            </w:r>
            <w:proofErr w:type="spellStart"/>
            <w:r w:rsidRPr="00275FBD">
              <w:rPr>
                <w:rFonts w:ascii="Calibri" w:hAnsi="Calibri"/>
                <w:sz w:val="18"/>
                <w:szCs w:val="18"/>
                <w:lang w:val="sl-SI" w:eastAsia="en-GB"/>
              </w:rPr>
              <w:t>supports</w:t>
            </w:r>
            <w:proofErr w:type="spellEnd"/>
            <w:r w:rsidRPr="00275FBD">
              <w:rPr>
                <w:rFonts w:ascii="Calibri" w:hAnsi="Calibri"/>
                <w:sz w:val="18"/>
                <w:szCs w:val="18"/>
                <w:lang w:val="sl-SI" w:eastAsia="en-GB"/>
              </w:rPr>
              <w:t xml:space="preserve"> the implementation of </w:t>
            </w:r>
            <w:proofErr w:type="spellStart"/>
            <w:r w:rsidRPr="00275FBD">
              <w:rPr>
                <w:rFonts w:ascii="Calibri" w:hAnsi="Calibri"/>
                <w:sz w:val="18"/>
                <w:szCs w:val="18"/>
                <w:lang w:val="sl-SI" w:eastAsia="en-GB"/>
              </w:rPr>
              <w:t>this</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action</w:t>
            </w:r>
            <w:proofErr w:type="spellEnd"/>
            <w:r w:rsidRPr="00275FBD">
              <w:rPr>
                <w:rFonts w:ascii="Calibri" w:hAnsi="Calibri"/>
                <w:sz w:val="18"/>
                <w:szCs w:val="18"/>
                <w:lang w:val="sl-SI" w:eastAsia="en-GB"/>
              </w:rPr>
              <w:t>.</w:t>
            </w:r>
          </w:p>
          <w:p w14:paraId="79A70D0D" w14:textId="77777777" w:rsidR="00935B67" w:rsidRPr="00275FBD" w:rsidRDefault="00935B67" w:rsidP="00935B67">
            <w:pPr>
              <w:jc w:val="left"/>
              <w:rPr>
                <w:rFonts w:ascii="Calibri" w:hAnsi="Calibri"/>
                <w:sz w:val="18"/>
                <w:szCs w:val="18"/>
                <w:lang w:val="sl-SI" w:eastAsia="en-GB"/>
              </w:rPr>
            </w:pPr>
            <w:r w:rsidRPr="00275FBD">
              <w:rPr>
                <w:rFonts w:ascii="Calibri" w:hAnsi="Calibri"/>
                <w:sz w:val="18"/>
                <w:szCs w:val="18"/>
                <w:lang w:val="sl-SI" w:eastAsia="en-GB"/>
              </w:rPr>
              <w:t xml:space="preserve">NEK </w:t>
            </w:r>
            <w:proofErr w:type="spellStart"/>
            <w:r w:rsidRPr="00275FBD">
              <w:rPr>
                <w:rFonts w:ascii="Calibri" w:hAnsi="Calibri"/>
                <w:sz w:val="18"/>
                <w:szCs w:val="18"/>
                <w:lang w:val="sl-SI" w:eastAsia="en-GB"/>
              </w:rPr>
              <w:t>already</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considers</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introducing</w:t>
            </w:r>
            <w:proofErr w:type="spellEnd"/>
            <w:r w:rsidRPr="00275FBD">
              <w:rPr>
                <w:rFonts w:ascii="Calibri" w:hAnsi="Calibri"/>
                <w:sz w:val="18"/>
                <w:szCs w:val="18"/>
                <w:lang w:val="sl-SI" w:eastAsia="en-GB"/>
              </w:rPr>
              <w:t xml:space="preserve"> a procedure to </w:t>
            </w:r>
            <w:proofErr w:type="spellStart"/>
            <w:r w:rsidRPr="00275FBD">
              <w:rPr>
                <w:rFonts w:ascii="Calibri" w:hAnsi="Calibri"/>
                <w:sz w:val="18"/>
                <w:szCs w:val="18"/>
                <w:lang w:val="sl-SI" w:eastAsia="en-GB"/>
              </w:rPr>
              <w:t>this</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effect</w:t>
            </w:r>
            <w:proofErr w:type="spellEnd"/>
            <w:r w:rsidRPr="00275FBD">
              <w:rPr>
                <w:rFonts w:ascii="Calibri" w:hAnsi="Calibri"/>
                <w:sz w:val="18"/>
                <w:szCs w:val="18"/>
                <w:lang w:val="sl-SI" w:eastAsia="en-GB"/>
              </w:rPr>
              <w:t>.</w:t>
            </w:r>
          </w:p>
        </w:tc>
        <w:tc>
          <w:tcPr>
            <w:tcW w:w="2694" w:type="dxa"/>
            <w:tcBorders>
              <w:top w:val="single" w:sz="4" w:space="0" w:color="auto"/>
            </w:tcBorders>
          </w:tcPr>
          <w:p w14:paraId="18AC929A" w14:textId="77777777" w:rsidR="00935B67" w:rsidRPr="00275FBD" w:rsidRDefault="00935B67" w:rsidP="00935B67">
            <w:pPr>
              <w:jc w:val="left"/>
              <w:rPr>
                <w:rFonts w:ascii="Calibri" w:hAnsi="Calibri"/>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42D11ECD" w14:textId="77777777" w:rsidTr="00935B67">
        <w:tc>
          <w:tcPr>
            <w:tcW w:w="1384" w:type="dxa"/>
            <w:shd w:val="clear" w:color="auto" w:fill="92CDDC" w:themeFill="accent5" w:themeFillTint="99"/>
          </w:tcPr>
          <w:p w14:paraId="7E3393C7"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sz w:val="18"/>
                <w:szCs w:val="18"/>
                <w:lang w:val="sl-SI" w:eastAsia="en-GB"/>
              </w:rPr>
              <w:t>PSR3 2.1-004</w:t>
            </w:r>
          </w:p>
        </w:tc>
        <w:tc>
          <w:tcPr>
            <w:tcW w:w="3827" w:type="dxa"/>
          </w:tcPr>
          <w:p w14:paraId="1BB94496" w14:textId="77777777" w:rsidR="00935B67" w:rsidRPr="00275FBD" w:rsidRDefault="00935B67" w:rsidP="00935B67">
            <w:pPr>
              <w:jc w:val="left"/>
              <w:rPr>
                <w:rFonts w:ascii="Calibri" w:hAnsi="Calibri"/>
                <w:color w:val="000000"/>
                <w:sz w:val="18"/>
                <w:szCs w:val="18"/>
                <w:lang w:val="sl-SI" w:eastAsia="en-GB"/>
              </w:rPr>
            </w:pPr>
            <w:proofErr w:type="spellStart"/>
            <w:r w:rsidRPr="00275FBD">
              <w:rPr>
                <w:rFonts w:ascii="Calibri" w:hAnsi="Calibri"/>
                <w:color w:val="000000"/>
                <w:sz w:val="18"/>
                <w:szCs w:val="18"/>
                <w:lang w:val="sl-SI" w:eastAsia="en-GB"/>
              </w:rPr>
              <w:t>Postulated</w:t>
            </w:r>
            <w:proofErr w:type="spellEnd"/>
            <w:r w:rsidRPr="00275FBD">
              <w:rPr>
                <w:rFonts w:ascii="Calibri" w:hAnsi="Calibri"/>
                <w:color w:val="000000"/>
                <w:sz w:val="18"/>
                <w:szCs w:val="18"/>
                <w:lang w:val="sl-SI" w:eastAsia="en-GB"/>
              </w:rPr>
              <w:t xml:space="preserve"> multiple </w:t>
            </w:r>
            <w:proofErr w:type="spellStart"/>
            <w:r w:rsidRPr="00275FBD">
              <w:rPr>
                <w:rFonts w:ascii="Calibri" w:hAnsi="Calibri"/>
                <w:color w:val="000000"/>
                <w:sz w:val="18"/>
                <w:szCs w:val="18"/>
                <w:lang w:val="sl-SI" w:eastAsia="en-GB"/>
              </w:rPr>
              <w:t>failures</w:t>
            </w:r>
            <w:proofErr w:type="spellEnd"/>
            <w:r w:rsidRPr="00275FBD">
              <w:rPr>
                <w:rFonts w:ascii="Calibri" w:hAnsi="Calibri"/>
                <w:color w:val="000000"/>
                <w:sz w:val="18"/>
                <w:szCs w:val="18"/>
                <w:lang w:val="sl-SI" w:eastAsia="en-GB"/>
              </w:rPr>
              <w:t xml:space="preserve"> for DEC </w:t>
            </w:r>
            <w:proofErr w:type="spellStart"/>
            <w:r w:rsidRPr="00275FBD">
              <w:rPr>
                <w:rFonts w:ascii="Calibri" w:hAnsi="Calibri"/>
                <w:color w:val="000000"/>
                <w:sz w:val="18"/>
                <w:szCs w:val="18"/>
                <w:lang w:val="sl-SI" w:eastAsia="en-GB"/>
              </w:rPr>
              <w:t>analyses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Systems</w:t>
            </w:r>
            <w:proofErr w:type="spellEnd"/>
            <w:r w:rsidRPr="00275FBD">
              <w:rPr>
                <w:rFonts w:ascii="Calibri" w:hAnsi="Calibri"/>
                <w:color w:val="000000"/>
                <w:sz w:val="18"/>
                <w:szCs w:val="18"/>
                <w:lang w:val="sl-SI" w:eastAsia="en-GB"/>
              </w:rPr>
              <w:t xml:space="preserve"> / </w:t>
            </w:r>
            <w:proofErr w:type="spellStart"/>
            <w:r w:rsidRPr="00275FBD">
              <w:rPr>
                <w:rFonts w:ascii="Calibri" w:hAnsi="Calibri"/>
                <w:color w:val="000000"/>
                <w:sz w:val="18"/>
                <w:szCs w:val="18"/>
                <w:lang w:val="sl-SI" w:eastAsia="en-GB"/>
              </w:rPr>
              <w:t>functions</w:t>
            </w:r>
            <w:proofErr w:type="spellEnd"/>
            <w:r w:rsidRPr="00275FBD">
              <w:rPr>
                <w:rFonts w:ascii="Calibri" w:hAnsi="Calibri"/>
                <w:color w:val="000000"/>
                <w:sz w:val="18"/>
                <w:szCs w:val="18"/>
                <w:lang w:val="sl-SI" w:eastAsia="en-GB"/>
              </w:rPr>
              <w:t xml:space="preserve">: DEC; Risk / DOD </w:t>
            </w:r>
            <w:proofErr w:type="spellStart"/>
            <w:r w:rsidRPr="00275FBD">
              <w:rPr>
                <w:rFonts w:ascii="Calibri" w:hAnsi="Calibri"/>
                <w:color w:val="000000"/>
                <w:sz w:val="18"/>
                <w:szCs w:val="18"/>
                <w:lang w:val="sl-SI" w:eastAsia="en-GB"/>
              </w:rPr>
              <w:t>significance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discrepancy</w:t>
            </w:r>
            <w:proofErr w:type="spellEnd"/>
            <w:r w:rsidRPr="00275FBD">
              <w:rPr>
                <w:rFonts w:ascii="Calibri" w:hAnsi="Calibri"/>
                <w:color w:val="000000"/>
                <w:sz w:val="18"/>
                <w:szCs w:val="18"/>
                <w:lang w:val="sl-SI" w:eastAsia="en-GB"/>
              </w:rPr>
              <w:t xml:space="preserve"> with </w:t>
            </w:r>
            <w:proofErr w:type="spellStart"/>
            <w:r w:rsidRPr="00275FBD">
              <w:rPr>
                <w:rFonts w:ascii="Calibri" w:hAnsi="Calibri"/>
                <w:color w:val="000000"/>
                <w:sz w:val="18"/>
                <w:szCs w:val="18"/>
                <w:lang w:val="sl-SI" w:eastAsia="en-GB"/>
              </w:rPr>
              <w:t>international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standards</w:t>
            </w:r>
            <w:proofErr w:type="spellEnd"/>
            <w:r w:rsidRPr="00275FBD">
              <w:rPr>
                <w:rFonts w:ascii="Calibri" w:hAnsi="Calibri"/>
                <w:color w:val="000000"/>
                <w:sz w:val="18"/>
                <w:szCs w:val="18"/>
                <w:lang w:val="sl-SI" w:eastAsia="en-GB"/>
              </w:rPr>
              <w:t xml:space="preserve"> - TL.</w:t>
            </w:r>
          </w:p>
          <w:p w14:paraId="2D88FBBF" w14:textId="77777777" w:rsidR="00935B67" w:rsidRPr="00275FBD" w:rsidRDefault="00935B67" w:rsidP="00935B67">
            <w:pPr>
              <w:jc w:val="left"/>
              <w:rPr>
                <w:rFonts w:ascii="Calibri" w:hAnsi="Calibri"/>
                <w:b/>
                <w:bCs/>
                <w:color w:val="000000"/>
                <w:sz w:val="18"/>
                <w:szCs w:val="18"/>
                <w:lang w:val="sl-SI" w:eastAsia="en-GB"/>
              </w:rPr>
            </w:pPr>
            <w:proofErr w:type="spellStart"/>
            <w:r w:rsidRPr="00275FBD">
              <w:rPr>
                <w:rFonts w:ascii="Calibri" w:hAnsi="Calibri"/>
                <w:b/>
                <w:bCs/>
                <w:color w:val="000000"/>
                <w:sz w:val="18"/>
                <w:szCs w:val="18"/>
                <w:lang w:val="sl-SI" w:eastAsia="en-GB"/>
              </w:rPr>
              <w:t>Incomplete</w:t>
            </w:r>
            <w:proofErr w:type="spellEnd"/>
            <w:r w:rsidRPr="00275FBD">
              <w:rPr>
                <w:rFonts w:ascii="Calibri" w:hAnsi="Calibri"/>
                <w:b/>
                <w:bCs/>
                <w:color w:val="000000"/>
                <w:sz w:val="18"/>
                <w:szCs w:val="18"/>
                <w:lang w:val="sl-SI" w:eastAsia="en-GB"/>
              </w:rPr>
              <w:t xml:space="preserve"> and </w:t>
            </w:r>
            <w:proofErr w:type="spellStart"/>
            <w:r w:rsidRPr="00275FBD">
              <w:rPr>
                <w:rFonts w:ascii="Calibri" w:hAnsi="Calibri"/>
                <w:b/>
                <w:bCs/>
                <w:color w:val="000000"/>
                <w:sz w:val="18"/>
                <w:szCs w:val="18"/>
                <w:lang w:val="sl-SI" w:eastAsia="en-GB"/>
              </w:rPr>
              <w:t>unclear</w:t>
            </w:r>
            <w:proofErr w:type="spellEnd"/>
            <w:r w:rsidRPr="00275FBD">
              <w:rPr>
                <w:rFonts w:ascii="Calibri" w:hAnsi="Calibri"/>
                <w:b/>
                <w:bCs/>
                <w:color w:val="000000"/>
                <w:sz w:val="18"/>
                <w:szCs w:val="18"/>
                <w:lang w:val="sl-SI" w:eastAsia="en-GB"/>
              </w:rPr>
              <w:t xml:space="preserve"> list of </w:t>
            </w:r>
            <w:proofErr w:type="spellStart"/>
            <w:r w:rsidRPr="00275FBD">
              <w:rPr>
                <w:rFonts w:ascii="Calibri" w:hAnsi="Calibri"/>
                <w:b/>
                <w:bCs/>
                <w:color w:val="000000"/>
                <w:sz w:val="18"/>
                <w:szCs w:val="18"/>
                <w:lang w:val="sl-SI" w:eastAsia="en-GB"/>
              </w:rPr>
              <w:t>postulated</w:t>
            </w:r>
            <w:proofErr w:type="spellEnd"/>
            <w:r w:rsidRPr="00275FBD">
              <w:rPr>
                <w:rFonts w:ascii="Calibri" w:hAnsi="Calibri"/>
                <w:b/>
                <w:bCs/>
                <w:color w:val="000000"/>
                <w:sz w:val="18"/>
                <w:szCs w:val="18"/>
                <w:lang w:val="sl-SI" w:eastAsia="en-GB"/>
              </w:rPr>
              <w:t xml:space="preserve"> multiple </w:t>
            </w:r>
            <w:proofErr w:type="spellStart"/>
            <w:r w:rsidRPr="00275FBD">
              <w:rPr>
                <w:rFonts w:ascii="Calibri" w:hAnsi="Calibri"/>
                <w:b/>
                <w:bCs/>
                <w:color w:val="000000"/>
                <w:sz w:val="18"/>
                <w:szCs w:val="18"/>
                <w:lang w:val="sl-SI" w:eastAsia="en-GB"/>
              </w:rPr>
              <w:t>failures</w:t>
            </w:r>
            <w:proofErr w:type="spellEnd"/>
            <w:r w:rsidRPr="00275FBD">
              <w:rPr>
                <w:rFonts w:ascii="Calibri" w:hAnsi="Calibri"/>
                <w:b/>
                <w:bCs/>
                <w:color w:val="000000"/>
                <w:sz w:val="18"/>
                <w:szCs w:val="18"/>
                <w:lang w:val="sl-SI" w:eastAsia="en-GB"/>
              </w:rPr>
              <w:t xml:space="preserve"> (PMF) for DEC </w:t>
            </w:r>
            <w:proofErr w:type="spellStart"/>
            <w:r w:rsidRPr="00275FBD">
              <w:rPr>
                <w:rFonts w:ascii="Calibri" w:hAnsi="Calibri"/>
                <w:b/>
                <w:bCs/>
                <w:color w:val="000000"/>
                <w:sz w:val="18"/>
                <w:szCs w:val="18"/>
                <w:lang w:val="sl-SI" w:eastAsia="en-GB"/>
              </w:rPr>
              <w:t>analyses</w:t>
            </w:r>
            <w:proofErr w:type="spellEnd"/>
            <w:r w:rsidRPr="00275FBD">
              <w:rPr>
                <w:rFonts w:ascii="Calibri" w:hAnsi="Calibri"/>
                <w:b/>
                <w:bCs/>
                <w:color w:val="000000"/>
                <w:sz w:val="18"/>
                <w:szCs w:val="18"/>
                <w:lang w:val="sl-SI" w:eastAsia="en-GB"/>
              </w:rPr>
              <w:t xml:space="preserve"> in USAR </w:t>
            </w:r>
            <w:proofErr w:type="spellStart"/>
            <w:r w:rsidRPr="00275FBD">
              <w:rPr>
                <w:rFonts w:ascii="Calibri" w:hAnsi="Calibri"/>
                <w:b/>
                <w:bCs/>
                <w:color w:val="000000"/>
                <w:sz w:val="18"/>
                <w:szCs w:val="18"/>
                <w:lang w:val="sl-SI" w:eastAsia="en-GB"/>
              </w:rPr>
              <w:t>Chapter</w:t>
            </w:r>
            <w:proofErr w:type="spellEnd"/>
            <w:r w:rsidRPr="00275FBD">
              <w:rPr>
                <w:rFonts w:ascii="Calibri" w:hAnsi="Calibri"/>
                <w:b/>
                <w:bCs/>
                <w:color w:val="000000"/>
                <w:sz w:val="18"/>
                <w:szCs w:val="18"/>
                <w:lang w:val="sl-SI" w:eastAsia="en-GB"/>
              </w:rPr>
              <w:t xml:space="preserve"> 20</w:t>
            </w:r>
          </w:p>
          <w:p w14:paraId="7B2E8C46"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No </w:t>
            </w:r>
            <w:proofErr w:type="spellStart"/>
            <w:r w:rsidRPr="00275FBD">
              <w:rPr>
                <w:rFonts w:ascii="Calibri" w:hAnsi="Calibri"/>
                <w:color w:val="000000"/>
                <w:sz w:val="18"/>
                <w:szCs w:val="18"/>
                <w:lang w:val="sl-SI" w:eastAsia="en-GB"/>
              </w:rPr>
              <w:t>final</w:t>
            </w:r>
            <w:proofErr w:type="spellEnd"/>
            <w:r w:rsidRPr="00275FBD">
              <w:rPr>
                <w:rFonts w:ascii="Calibri" w:hAnsi="Calibri"/>
                <w:color w:val="000000"/>
                <w:sz w:val="18"/>
                <w:szCs w:val="18"/>
                <w:lang w:val="sl-SI" w:eastAsia="en-GB"/>
              </w:rPr>
              <w:t xml:space="preserve"> list of </w:t>
            </w:r>
            <w:proofErr w:type="spellStart"/>
            <w:r w:rsidRPr="00275FBD">
              <w:rPr>
                <w:rFonts w:ascii="Calibri" w:hAnsi="Calibri"/>
                <w:color w:val="000000"/>
                <w:sz w:val="18"/>
                <w:szCs w:val="18"/>
                <w:lang w:val="sl-SI" w:eastAsia="en-GB"/>
              </w:rPr>
              <w:t>postulated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events</w:t>
            </w:r>
            <w:proofErr w:type="spellEnd"/>
            <w:r w:rsidRPr="00275FBD">
              <w:rPr>
                <w:rFonts w:ascii="Calibri" w:hAnsi="Calibri"/>
                <w:color w:val="000000"/>
                <w:sz w:val="18"/>
                <w:szCs w:val="18"/>
                <w:lang w:val="sl-SI" w:eastAsia="en-GB"/>
              </w:rPr>
              <w:t xml:space="preserve"> for DEC </w:t>
            </w:r>
            <w:proofErr w:type="spellStart"/>
            <w:r w:rsidRPr="00275FBD">
              <w:rPr>
                <w:rFonts w:ascii="Calibri" w:hAnsi="Calibri"/>
                <w:color w:val="000000"/>
                <w:sz w:val="18"/>
                <w:szCs w:val="18"/>
                <w:lang w:val="sl-SI" w:eastAsia="en-GB"/>
              </w:rPr>
              <w:t>presented</w:t>
            </w:r>
            <w:proofErr w:type="spellEnd"/>
            <w:r w:rsidRPr="00275FBD">
              <w:rPr>
                <w:rFonts w:ascii="Calibri" w:hAnsi="Calibri"/>
                <w:color w:val="000000"/>
                <w:sz w:val="18"/>
                <w:szCs w:val="18"/>
                <w:lang w:val="sl-SI" w:eastAsia="en-GB"/>
              </w:rPr>
              <w:t xml:space="preserve"> in the USAR </w:t>
            </w:r>
            <w:proofErr w:type="spellStart"/>
            <w:r w:rsidRPr="00275FBD">
              <w:rPr>
                <w:rFonts w:ascii="Calibri" w:hAnsi="Calibri"/>
                <w:color w:val="000000"/>
                <w:sz w:val="18"/>
                <w:szCs w:val="18"/>
                <w:lang w:val="sl-SI" w:eastAsia="en-GB"/>
              </w:rPr>
              <w:t>together</w:t>
            </w:r>
            <w:proofErr w:type="spellEnd"/>
            <w:r w:rsidRPr="00275FBD">
              <w:rPr>
                <w:rFonts w:ascii="Calibri" w:hAnsi="Calibri"/>
                <w:color w:val="000000"/>
                <w:sz w:val="18"/>
                <w:szCs w:val="18"/>
                <w:lang w:val="sl-SI" w:eastAsia="en-GB"/>
              </w:rPr>
              <w:t xml:space="preserve"> with </w:t>
            </w:r>
            <w:proofErr w:type="spellStart"/>
            <w:r w:rsidRPr="00275FBD">
              <w:rPr>
                <w:rFonts w:ascii="Calibri" w:hAnsi="Calibri"/>
                <w:color w:val="000000"/>
                <w:sz w:val="18"/>
                <w:szCs w:val="18"/>
                <w:lang w:val="sl-SI" w:eastAsia="en-GB"/>
              </w:rPr>
              <w:t>clear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rationale</w:t>
            </w:r>
            <w:proofErr w:type="spellEnd"/>
            <w:r w:rsidRPr="00275FBD">
              <w:rPr>
                <w:rFonts w:ascii="Calibri" w:hAnsi="Calibri"/>
                <w:color w:val="000000"/>
                <w:sz w:val="18"/>
                <w:szCs w:val="18"/>
                <w:lang w:val="sl-SI" w:eastAsia="en-GB"/>
              </w:rPr>
              <w:t xml:space="preserve"> how it </w:t>
            </w:r>
            <w:proofErr w:type="spellStart"/>
            <w:r w:rsidRPr="00275FBD">
              <w:rPr>
                <w:rFonts w:ascii="Calibri" w:hAnsi="Calibri"/>
                <w:color w:val="000000"/>
                <w:sz w:val="18"/>
                <w:szCs w:val="18"/>
                <w:lang w:val="sl-SI" w:eastAsia="en-GB"/>
              </w:rPr>
              <w:t>was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obtained</w:t>
            </w:r>
            <w:proofErr w:type="spellEnd"/>
            <w:r w:rsidRPr="00275FBD">
              <w:rPr>
                <w:rFonts w:ascii="Calibri" w:hAnsi="Calibri"/>
                <w:color w:val="000000"/>
                <w:sz w:val="18"/>
                <w:szCs w:val="18"/>
                <w:lang w:val="sl-SI" w:eastAsia="en-GB"/>
              </w:rPr>
              <w:t xml:space="preserve">. The </w:t>
            </w:r>
            <w:proofErr w:type="spellStart"/>
            <w:r w:rsidRPr="00275FBD">
              <w:rPr>
                <w:rFonts w:ascii="Calibri" w:hAnsi="Calibri"/>
                <w:color w:val="000000"/>
                <w:sz w:val="18"/>
                <w:szCs w:val="18"/>
                <w:lang w:val="sl-SI" w:eastAsia="en-GB"/>
              </w:rPr>
              <w:t>issue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will</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addressed</w:t>
            </w:r>
            <w:proofErr w:type="spellEnd"/>
            <w:r w:rsidRPr="00275FBD">
              <w:rPr>
                <w:rFonts w:ascii="Calibri" w:hAnsi="Calibri"/>
                <w:color w:val="000000"/>
                <w:sz w:val="18"/>
                <w:szCs w:val="18"/>
                <w:lang w:val="sl-SI" w:eastAsia="en-GB"/>
              </w:rPr>
              <w:t xml:space="preserve"> as </w:t>
            </w:r>
            <w:proofErr w:type="spellStart"/>
            <w:r w:rsidRPr="00275FBD">
              <w:rPr>
                <w:rFonts w:ascii="Calibri" w:hAnsi="Calibri"/>
                <w:color w:val="000000"/>
                <w:sz w:val="18"/>
                <w:szCs w:val="18"/>
                <w:lang w:val="sl-SI" w:eastAsia="en-GB"/>
              </w:rPr>
              <w:t>discrepancy</w:t>
            </w:r>
            <w:proofErr w:type="spellEnd"/>
            <w:r w:rsidRPr="00275FBD">
              <w:rPr>
                <w:rFonts w:ascii="Calibri" w:hAnsi="Calibri"/>
                <w:color w:val="000000"/>
                <w:sz w:val="18"/>
                <w:szCs w:val="18"/>
                <w:lang w:val="sl-SI" w:eastAsia="en-GB"/>
              </w:rPr>
              <w:t xml:space="preserve"> with </w:t>
            </w:r>
            <w:proofErr w:type="spellStart"/>
            <w:r w:rsidRPr="00275FBD">
              <w:rPr>
                <w:rFonts w:ascii="Calibri" w:hAnsi="Calibri"/>
                <w:color w:val="000000"/>
                <w:sz w:val="18"/>
                <w:szCs w:val="18"/>
                <w:lang w:val="sl-SI" w:eastAsia="en-GB"/>
              </w:rPr>
              <w:t>international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standards</w:t>
            </w:r>
            <w:proofErr w:type="spellEnd"/>
            <w:r w:rsidRPr="00275FBD">
              <w:rPr>
                <w:rFonts w:ascii="Calibri" w:hAnsi="Calibri"/>
                <w:color w:val="000000"/>
                <w:sz w:val="18"/>
                <w:szCs w:val="18"/>
                <w:lang w:val="sl-SI" w:eastAsia="en-GB"/>
              </w:rPr>
              <w:t xml:space="preserve"> for </w:t>
            </w:r>
            <w:proofErr w:type="spellStart"/>
            <w:r w:rsidRPr="00275FBD">
              <w:rPr>
                <w:rFonts w:ascii="Calibri" w:hAnsi="Calibri"/>
                <w:color w:val="000000"/>
                <w:sz w:val="18"/>
                <w:szCs w:val="18"/>
                <w:lang w:val="sl-SI" w:eastAsia="en-GB"/>
              </w:rPr>
              <w:t>nuclear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safety</w:t>
            </w:r>
            <w:proofErr w:type="spellEnd"/>
            <w:r w:rsidRPr="00275FBD">
              <w:rPr>
                <w:rFonts w:ascii="Calibri" w:hAnsi="Calibri"/>
                <w:color w:val="000000"/>
                <w:sz w:val="18"/>
                <w:szCs w:val="18"/>
                <w:lang w:val="sl-SI" w:eastAsia="en-GB"/>
              </w:rPr>
              <w:t xml:space="preserve"> assessment.</w:t>
            </w:r>
          </w:p>
        </w:tc>
        <w:tc>
          <w:tcPr>
            <w:tcW w:w="993" w:type="dxa"/>
          </w:tcPr>
          <w:p w14:paraId="43C85AFB"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3.1.3</w:t>
            </w:r>
          </w:p>
        </w:tc>
        <w:tc>
          <w:tcPr>
            <w:tcW w:w="5244" w:type="dxa"/>
          </w:tcPr>
          <w:p w14:paraId="78572B44" w14:textId="77777777" w:rsidR="00935B67" w:rsidRPr="00275FBD" w:rsidRDefault="00935B67" w:rsidP="00935B67">
            <w:pPr>
              <w:jc w:val="left"/>
              <w:rPr>
                <w:rFonts w:ascii="Calibri" w:hAnsi="Calibri"/>
                <w:sz w:val="18"/>
                <w:szCs w:val="18"/>
                <w:lang w:val="sl-SI" w:eastAsia="en-GB"/>
              </w:rPr>
            </w:pPr>
            <w:r w:rsidRPr="00275FBD">
              <w:rPr>
                <w:rFonts w:ascii="Calibri" w:hAnsi="Calibri"/>
                <w:sz w:val="18"/>
                <w:szCs w:val="18"/>
                <w:lang w:val="sl-SI" w:eastAsia="en-GB"/>
              </w:rPr>
              <w:t xml:space="preserve">SNSA </w:t>
            </w:r>
            <w:proofErr w:type="spellStart"/>
            <w:r w:rsidRPr="00275FBD">
              <w:rPr>
                <w:rFonts w:ascii="Calibri" w:hAnsi="Calibri"/>
                <w:sz w:val="18"/>
                <w:szCs w:val="18"/>
                <w:lang w:val="sl-SI" w:eastAsia="en-GB"/>
              </w:rPr>
              <w:t>agrees</w:t>
            </w:r>
            <w:proofErr w:type="spellEnd"/>
            <w:r w:rsidRPr="00275FBD">
              <w:rPr>
                <w:rFonts w:ascii="Calibri" w:hAnsi="Calibri"/>
                <w:sz w:val="18"/>
                <w:szCs w:val="18"/>
                <w:lang w:val="sl-SI" w:eastAsia="en-GB"/>
              </w:rPr>
              <w:t xml:space="preserve"> that it is </w:t>
            </w:r>
            <w:proofErr w:type="spellStart"/>
            <w:r w:rsidRPr="00275FBD">
              <w:rPr>
                <w:rFonts w:ascii="Calibri" w:hAnsi="Calibri"/>
                <w:sz w:val="18"/>
                <w:szCs w:val="18"/>
                <w:lang w:val="sl-SI" w:eastAsia="en-GB"/>
              </w:rPr>
              <w:t>important</w:t>
            </w:r>
            <w:proofErr w:type="spellEnd"/>
            <w:r w:rsidRPr="00275FBD">
              <w:rPr>
                <w:rFonts w:ascii="Calibri" w:hAnsi="Calibri"/>
                <w:sz w:val="18"/>
                <w:szCs w:val="18"/>
                <w:lang w:val="sl-SI" w:eastAsia="en-GB"/>
              </w:rPr>
              <w:t xml:space="preserve"> that a list of </w:t>
            </w:r>
            <w:proofErr w:type="spellStart"/>
            <w:r w:rsidRPr="00275FBD">
              <w:rPr>
                <w:rFonts w:ascii="Calibri" w:hAnsi="Calibri"/>
                <w:sz w:val="18"/>
                <w:szCs w:val="18"/>
                <w:lang w:val="sl-SI" w:eastAsia="en-GB"/>
              </w:rPr>
              <w:t>postulated</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events</w:t>
            </w:r>
            <w:proofErr w:type="spellEnd"/>
            <w:r w:rsidRPr="00275FBD">
              <w:rPr>
                <w:rFonts w:ascii="Calibri" w:hAnsi="Calibri"/>
                <w:sz w:val="18"/>
                <w:szCs w:val="18"/>
                <w:lang w:val="sl-SI" w:eastAsia="en-GB"/>
              </w:rPr>
              <w:t xml:space="preserve"> for DEC </w:t>
            </w:r>
            <w:proofErr w:type="spellStart"/>
            <w:r w:rsidRPr="00275FBD">
              <w:rPr>
                <w:rFonts w:ascii="Calibri" w:hAnsi="Calibri"/>
                <w:sz w:val="18"/>
                <w:szCs w:val="18"/>
                <w:lang w:val="sl-SI" w:eastAsia="en-GB"/>
              </w:rPr>
              <w:t>shall</w:t>
            </w:r>
            <w:proofErr w:type="spellEnd"/>
            <w:r w:rsidRPr="00275FBD">
              <w:rPr>
                <w:rFonts w:ascii="Calibri" w:hAnsi="Calibri"/>
                <w:sz w:val="18"/>
                <w:szCs w:val="18"/>
                <w:lang w:val="sl-SI" w:eastAsia="en-GB"/>
              </w:rPr>
              <w:t xml:space="preserve"> be </w:t>
            </w:r>
            <w:proofErr w:type="spellStart"/>
            <w:r w:rsidRPr="00275FBD">
              <w:rPr>
                <w:rFonts w:ascii="Calibri" w:hAnsi="Calibri"/>
                <w:sz w:val="18"/>
                <w:szCs w:val="18"/>
                <w:lang w:val="sl-SI" w:eastAsia="en-GB"/>
              </w:rPr>
              <w:t>presented</w:t>
            </w:r>
            <w:proofErr w:type="spellEnd"/>
            <w:r w:rsidRPr="00275FBD">
              <w:rPr>
                <w:rFonts w:ascii="Calibri" w:hAnsi="Calibri"/>
                <w:sz w:val="18"/>
                <w:szCs w:val="18"/>
                <w:lang w:val="sl-SI" w:eastAsia="en-GB"/>
              </w:rPr>
              <w:t xml:space="preserve"> in the USAR </w:t>
            </w:r>
            <w:proofErr w:type="spellStart"/>
            <w:r w:rsidRPr="00275FBD">
              <w:rPr>
                <w:rFonts w:ascii="Calibri" w:hAnsi="Calibri"/>
                <w:sz w:val="18"/>
                <w:szCs w:val="18"/>
                <w:lang w:val="sl-SI" w:eastAsia="en-GB"/>
              </w:rPr>
              <w:t>together</w:t>
            </w:r>
            <w:proofErr w:type="spellEnd"/>
            <w:r w:rsidRPr="00275FBD">
              <w:rPr>
                <w:rFonts w:ascii="Calibri" w:hAnsi="Calibri"/>
                <w:sz w:val="18"/>
                <w:szCs w:val="18"/>
                <w:lang w:val="sl-SI" w:eastAsia="en-GB"/>
              </w:rPr>
              <w:t xml:space="preserve"> with </w:t>
            </w:r>
            <w:proofErr w:type="spellStart"/>
            <w:r w:rsidRPr="00275FBD">
              <w:rPr>
                <w:rFonts w:ascii="Calibri" w:hAnsi="Calibri"/>
                <w:sz w:val="18"/>
                <w:szCs w:val="18"/>
                <w:lang w:val="sl-SI" w:eastAsia="en-GB"/>
              </w:rPr>
              <w:t>clear</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rationale</w:t>
            </w:r>
            <w:proofErr w:type="spellEnd"/>
            <w:r w:rsidRPr="00275FBD">
              <w:rPr>
                <w:rFonts w:ascii="Calibri" w:hAnsi="Calibri"/>
                <w:sz w:val="18"/>
                <w:szCs w:val="18"/>
                <w:lang w:val="sl-SI" w:eastAsia="en-GB"/>
              </w:rPr>
              <w:t xml:space="preserve"> how it </w:t>
            </w:r>
            <w:proofErr w:type="spellStart"/>
            <w:r w:rsidRPr="00275FBD">
              <w:rPr>
                <w:rFonts w:ascii="Calibri" w:hAnsi="Calibri"/>
                <w:sz w:val="18"/>
                <w:szCs w:val="18"/>
                <w:lang w:val="sl-SI" w:eastAsia="en-GB"/>
              </w:rPr>
              <w:t>was</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obtained</w:t>
            </w:r>
            <w:proofErr w:type="spellEnd"/>
            <w:r w:rsidRPr="00275FBD">
              <w:rPr>
                <w:rFonts w:ascii="Calibri" w:hAnsi="Calibri"/>
                <w:sz w:val="18"/>
                <w:szCs w:val="18"/>
                <w:lang w:val="sl-SI" w:eastAsia="en-GB"/>
              </w:rPr>
              <w:t xml:space="preserve">. </w:t>
            </w:r>
          </w:p>
          <w:p w14:paraId="4323D8F9" w14:textId="77777777" w:rsidR="00935B67" w:rsidRPr="00275FBD" w:rsidRDefault="00935B67" w:rsidP="00935B67">
            <w:pPr>
              <w:jc w:val="left"/>
              <w:rPr>
                <w:rFonts w:ascii="Calibri" w:hAnsi="Calibri"/>
                <w:sz w:val="18"/>
                <w:szCs w:val="18"/>
                <w:lang w:val="sl-SI" w:eastAsia="en-GB"/>
              </w:rPr>
            </w:pPr>
            <w:r w:rsidRPr="00275FBD">
              <w:rPr>
                <w:rFonts w:ascii="Calibri" w:hAnsi="Calibri"/>
                <w:sz w:val="18"/>
                <w:szCs w:val="18"/>
                <w:lang w:val="sl-SI" w:eastAsia="en-GB"/>
              </w:rPr>
              <w:t xml:space="preserve">SNSA </w:t>
            </w:r>
            <w:proofErr w:type="spellStart"/>
            <w:r w:rsidRPr="00275FBD">
              <w:rPr>
                <w:rFonts w:ascii="Calibri" w:hAnsi="Calibri"/>
                <w:sz w:val="18"/>
                <w:szCs w:val="18"/>
                <w:lang w:val="sl-SI" w:eastAsia="en-GB"/>
              </w:rPr>
              <w:t>supports</w:t>
            </w:r>
            <w:proofErr w:type="spellEnd"/>
            <w:r w:rsidRPr="00275FBD">
              <w:rPr>
                <w:rFonts w:ascii="Calibri" w:hAnsi="Calibri"/>
                <w:sz w:val="18"/>
                <w:szCs w:val="18"/>
                <w:lang w:val="sl-SI" w:eastAsia="en-GB"/>
              </w:rPr>
              <w:t xml:space="preserve"> the implementation of </w:t>
            </w:r>
            <w:proofErr w:type="spellStart"/>
            <w:r w:rsidRPr="00275FBD">
              <w:rPr>
                <w:rFonts w:ascii="Calibri" w:hAnsi="Calibri"/>
                <w:sz w:val="18"/>
                <w:szCs w:val="18"/>
                <w:lang w:val="sl-SI" w:eastAsia="en-GB"/>
              </w:rPr>
              <w:t>this</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action</w:t>
            </w:r>
            <w:proofErr w:type="spellEnd"/>
            <w:r w:rsidRPr="00275FBD">
              <w:rPr>
                <w:rFonts w:ascii="Calibri" w:hAnsi="Calibri"/>
                <w:sz w:val="18"/>
                <w:szCs w:val="18"/>
                <w:lang w:val="sl-SI" w:eastAsia="en-GB"/>
              </w:rPr>
              <w:t>.</w:t>
            </w:r>
          </w:p>
        </w:tc>
        <w:tc>
          <w:tcPr>
            <w:tcW w:w="2694" w:type="dxa"/>
          </w:tcPr>
          <w:p w14:paraId="5147994E" w14:textId="77777777" w:rsidR="00935B67" w:rsidRPr="00275FBD" w:rsidRDefault="00935B67" w:rsidP="00935B67">
            <w:pPr>
              <w:jc w:val="left"/>
              <w:rPr>
                <w:rFonts w:ascii="Calibri" w:hAnsi="Calibri"/>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03214747" w14:textId="77777777" w:rsidTr="00935B67">
        <w:tc>
          <w:tcPr>
            <w:tcW w:w="1384" w:type="dxa"/>
            <w:shd w:val="clear" w:color="auto" w:fill="92CDDC" w:themeFill="accent5" w:themeFillTint="99"/>
          </w:tcPr>
          <w:p w14:paraId="6B9773AA"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sz w:val="18"/>
                <w:szCs w:val="18"/>
                <w:lang w:val="sl-SI" w:eastAsia="en-GB"/>
              </w:rPr>
              <w:t>PSR3 2.1-010</w:t>
            </w:r>
          </w:p>
        </w:tc>
        <w:tc>
          <w:tcPr>
            <w:tcW w:w="3827" w:type="dxa"/>
          </w:tcPr>
          <w:p w14:paraId="2C3D2EC1"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Analyses of </w:t>
            </w:r>
            <w:proofErr w:type="spellStart"/>
            <w:r w:rsidRPr="00275FBD">
              <w:rPr>
                <w:rFonts w:ascii="Calibri" w:hAnsi="Calibri"/>
                <w:color w:val="000000"/>
                <w:sz w:val="18"/>
                <w:szCs w:val="18"/>
                <w:lang w:val="sl-SI" w:eastAsia="en-GB"/>
              </w:rPr>
              <w:t>off</w:t>
            </w:r>
            <w:proofErr w:type="spellEnd"/>
            <w:r w:rsidRPr="00275FBD">
              <w:rPr>
                <w:rFonts w:ascii="Calibri" w:hAnsi="Calibri"/>
                <w:color w:val="000000"/>
                <w:sz w:val="18"/>
                <w:szCs w:val="18"/>
                <w:lang w:val="sl-SI" w:eastAsia="en-GB"/>
              </w:rPr>
              <w:t xml:space="preserve">-site </w:t>
            </w:r>
            <w:proofErr w:type="spellStart"/>
            <w:r w:rsidRPr="00275FBD">
              <w:rPr>
                <w:rFonts w:ascii="Calibri" w:hAnsi="Calibri"/>
                <w:color w:val="000000"/>
                <w:sz w:val="18"/>
                <w:szCs w:val="18"/>
                <w:lang w:val="sl-SI" w:eastAsia="en-GB"/>
              </w:rPr>
              <w:t>radiological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consequences</w:t>
            </w:r>
            <w:proofErr w:type="spellEnd"/>
            <w:r w:rsidRPr="00275FBD">
              <w:rPr>
                <w:rFonts w:ascii="Calibri" w:hAnsi="Calibri"/>
                <w:color w:val="000000"/>
                <w:sz w:val="18"/>
                <w:szCs w:val="18"/>
                <w:lang w:val="sl-SI" w:eastAsia="en-GB"/>
              </w:rPr>
              <w:t xml:space="preserve"> - DEC B; </w:t>
            </w:r>
            <w:proofErr w:type="spellStart"/>
            <w:r w:rsidRPr="00275FBD">
              <w:rPr>
                <w:rFonts w:ascii="Calibri" w:hAnsi="Calibri"/>
                <w:color w:val="000000"/>
                <w:sz w:val="18"/>
                <w:szCs w:val="18"/>
                <w:lang w:val="sl-SI" w:eastAsia="en-GB"/>
              </w:rPr>
              <w:t>Systems</w:t>
            </w:r>
            <w:proofErr w:type="spellEnd"/>
            <w:r w:rsidRPr="00275FBD">
              <w:rPr>
                <w:rFonts w:ascii="Calibri" w:hAnsi="Calibri"/>
                <w:color w:val="000000"/>
                <w:sz w:val="18"/>
                <w:szCs w:val="18"/>
                <w:lang w:val="sl-SI" w:eastAsia="en-GB"/>
              </w:rPr>
              <w:t xml:space="preserve"> / </w:t>
            </w:r>
            <w:proofErr w:type="spellStart"/>
            <w:r w:rsidRPr="00275FBD">
              <w:rPr>
                <w:rFonts w:ascii="Calibri" w:hAnsi="Calibri"/>
                <w:color w:val="000000"/>
                <w:sz w:val="18"/>
                <w:szCs w:val="18"/>
                <w:lang w:val="sl-SI" w:eastAsia="en-GB"/>
              </w:rPr>
              <w:t>functions</w:t>
            </w:r>
            <w:proofErr w:type="spellEnd"/>
            <w:r w:rsidRPr="00275FBD">
              <w:rPr>
                <w:rFonts w:ascii="Calibri" w:hAnsi="Calibri"/>
                <w:color w:val="000000"/>
                <w:sz w:val="18"/>
                <w:szCs w:val="18"/>
                <w:lang w:val="sl-SI" w:eastAsia="en-GB"/>
              </w:rPr>
              <w:t xml:space="preserve">: DEC B; Risk / DOD </w:t>
            </w:r>
            <w:proofErr w:type="spellStart"/>
            <w:r w:rsidRPr="00275FBD">
              <w:rPr>
                <w:rFonts w:ascii="Calibri" w:hAnsi="Calibri"/>
                <w:color w:val="000000"/>
                <w:sz w:val="18"/>
                <w:szCs w:val="18"/>
                <w:lang w:val="sl-SI" w:eastAsia="en-GB"/>
              </w:rPr>
              <w:t>significance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discrepancy</w:t>
            </w:r>
            <w:proofErr w:type="spellEnd"/>
            <w:r w:rsidRPr="00275FBD">
              <w:rPr>
                <w:rFonts w:ascii="Calibri" w:hAnsi="Calibri"/>
                <w:color w:val="000000"/>
                <w:sz w:val="18"/>
                <w:szCs w:val="18"/>
                <w:lang w:val="sl-SI" w:eastAsia="en-GB"/>
              </w:rPr>
              <w:t xml:space="preserve"> with </w:t>
            </w:r>
            <w:proofErr w:type="spellStart"/>
            <w:r w:rsidRPr="00275FBD">
              <w:rPr>
                <w:rFonts w:ascii="Calibri" w:hAnsi="Calibri"/>
                <w:color w:val="000000"/>
                <w:sz w:val="18"/>
                <w:szCs w:val="18"/>
                <w:lang w:val="sl-SI" w:eastAsia="en-GB"/>
              </w:rPr>
              <w:t>international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standards</w:t>
            </w:r>
            <w:proofErr w:type="spellEnd"/>
            <w:r w:rsidRPr="00275FBD">
              <w:rPr>
                <w:rFonts w:ascii="Calibri" w:hAnsi="Calibri"/>
                <w:color w:val="000000"/>
                <w:sz w:val="18"/>
                <w:szCs w:val="18"/>
                <w:lang w:val="sl-SI" w:eastAsia="en-GB"/>
              </w:rPr>
              <w:t xml:space="preserve"> - TL.</w:t>
            </w:r>
          </w:p>
          <w:p w14:paraId="42376E77" w14:textId="77777777" w:rsidR="00935B67" w:rsidRPr="00275FBD" w:rsidRDefault="00935B67" w:rsidP="00935B67">
            <w:pPr>
              <w:jc w:val="left"/>
              <w:rPr>
                <w:rFonts w:ascii="Calibri" w:hAnsi="Calibri"/>
                <w:b/>
                <w:bCs/>
                <w:color w:val="000000"/>
                <w:sz w:val="18"/>
                <w:szCs w:val="18"/>
                <w:lang w:val="sl-SI" w:eastAsia="en-GB"/>
              </w:rPr>
            </w:pPr>
            <w:proofErr w:type="spellStart"/>
            <w:r w:rsidRPr="00275FBD">
              <w:rPr>
                <w:rFonts w:ascii="Calibri" w:hAnsi="Calibri"/>
                <w:b/>
                <w:bCs/>
                <w:color w:val="000000"/>
                <w:sz w:val="18"/>
                <w:szCs w:val="18"/>
                <w:lang w:val="sl-SI" w:eastAsia="en-GB"/>
              </w:rPr>
              <w:t>Missing</w:t>
            </w:r>
            <w:proofErr w:type="spellEnd"/>
            <w:r w:rsidRPr="00275FBD">
              <w:rPr>
                <w:rFonts w:ascii="Calibri" w:hAnsi="Calibri"/>
                <w:b/>
                <w:bCs/>
                <w:color w:val="000000"/>
                <w:sz w:val="18"/>
                <w:szCs w:val="18"/>
                <w:lang w:val="sl-SI" w:eastAsia="en-GB"/>
              </w:rPr>
              <w:t xml:space="preserve"> </w:t>
            </w:r>
            <w:proofErr w:type="spellStart"/>
            <w:r w:rsidRPr="00275FBD">
              <w:rPr>
                <w:rFonts w:ascii="Calibri" w:hAnsi="Calibri"/>
                <w:b/>
                <w:bCs/>
                <w:color w:val="000000"/>
                <w:sz w:val="18"/>
                <w:szCs w:val="18"/>
                <w:lang w:val="sl-SI" w:eastAsia="en-GB"/>
              </w:rPr>
              <w:t>analyses</w:t>
            </w:r>
            <w:proofErr w:type="spellEnd"/>
            <w:r w:rsidRPr="00275FBD">
              <w:rPr>
                <w:rFonts w:ascii="Calibri" w:hAnsi="Calibri"/>
                <w:b/>
                <w:bCs/>
                <w:color w:val="000000"/>
                <w:sz w:val="18"/>
                <w:szCs w:val="18"/>
                <w:lang w:val="sl-SI" w:eastAsia="en-GB"/>
              </w:rPr>
              <w:t xml:space="preserve"> of </w:t>
            </w:r>
            <w:proofErr w:type="spellStart"/>
            <w:r w:rsidRPr="00275FBD">
              <w:rPr>
                <w:rFonts w:ascii="Calibri" w:hAnsi="Calibri"/>
                <w:b/>
                <w:bCs/>
                <w:color w:val="000000"/>
                <w:sz w:val="18"/>
                <w:szCs w:val="18"/>
                <w:lang w:val="sl-SI" w:eastAsia="en-GB"/>
              </w:rPr>
              <w:t>off</w:t>
            </w:r>
            <w:proofErr w:type="spellEnd"/>
            <w:r w:rsidRPr="00275FBD">
              <w:rPr>
                <w:rFonts w:ascii="Calibri" w:hAnsi="Calibri"/>
                <w:b/>
                <w:bCs/>
                <w:color w:val="000000"/>
                <w:sz w:val="18"/>
                <w:szCs w:val="18"/>
                <w:lang w:val="sl-SI" w:eastAsia="en-GB"/>
              </w:rPr>
              <w:t xml:space="preserve">-site </w:t>
            </w:r>
            <w:proofErr w:type="spellStart"/>
            <w:r w:rsidRPr="00275FBD">
              <w:rPr>
                <w:rFonts w:ascii="Calibri" w:hAnsi="Calibri"/>
                <w:b/>
                <w:bCs/>
                <w:color w:val="000000"/>
                <w:sz w:val="18"/>
                <w:szCs w:val="18"/>
                <w:lang w:val="sl-SI" w:eastAsia="en-GB"/>
              </w:rPr>
              <w:t>radiological</w:t>
            </w:r>
            <w:proofErr w:type="spellEnd"/>
            <w:r w:rsidRPr="00275FBD">
              <w:rPr>
                <w:rFonts w:ascii="Calibri" w:hAnsi="Calibri"/>
                <w:b/>
                <w:bCs/>
                <w:color w:val="000000"/>
                <w:sz w:val="18"/>
                <w:szCs w:val="18"/>
                <w:lang w:val="sl-SI" w:eastAsia="en-GB"/>
              </w:rPr>
              <w:t xml:space="preserve"> </w:t>
            </w:r>
            <w:proofErr w:type="spellStart"/>
            <w:r w:rsidRPr="00275FBD">
              <w:rPr>
                <w:rFonts w:ascii="Calibri" w:hAnsi="Calibri"/>
                <w:b/>
                <w:bCs/>
                <w:color w:val="000000"/>
                <w:sz w:val="18"/>
                <w:szCs w:val="18"/>
                <w:lang w:val="sl-SI" w:eastAsia="en-GB"/>
              </w:rPr>
              <w:t>consequences</w:t>
            </w:r>
            <w:proofErr w:type="spellEnd"/>
            <w:r w:rsidRPr="00275FBD">
              <w:rPr>
                <w:rFonts w:ascii="Calibri" w:hAnsi="Calibri"/>
                <w:b/>
                <w:bCs/>
                <w:color w:val="000000"/>
                <w:sz w:val="18"/>
                <w:szCs w:val="18"/>
                <w:lang w:val="sl-SI" w:eastAsia="en-GB"/>
              </w:rPr>
              <w:t xml:space="preserve"> </w:t>
            </w:r>
            <w:proofErr w:type="spellStart"/>
            <w:r w:rsidRPr="00275FBD">
              <w:rPr>
                <w:rFonts w:ascii="Calibri" w:hAnsi="Calibri"/>
                <w:b/>
                <w:bCs/>
                <w:color w:val="000000"/>
                <w:sz w:val="18"/>
                <w:szCs w:val="18"/>
                <w:lang w:val="sl-SI" w:eastAsia="en-GB"/>
              </w:rPr>
              <w:t>resulting</w:t>
            </w:r>
            <w:proofErr w:type="spellEnd"/>
            <w:r w:rsidRPr="00275FBD">
              <w:rPr>
                <w:rFonts w:ascii="Calibri" w:hAnsi="Calibri"/>
                <w:b/>
                <w:bCs/>
                <w:color w:val="000000"/>
                <w:sz w:val="18"/>
                <w:szCs w:val="18"/>
                <w:lang w:val="sl-SI" w:eastAsia="en-GB"/>
              </w:rPr>
              <w:t xml:space="preserve"> from DEC B </w:t>
            </w:r>
            <w:proofErr w:type="spellStart"/>
            <w:r w:rsidRPr="00275FBD">
              <w:rPr>
                <w:rFonts w:ascii="Calibri" w:hAnsi="Calibri"/>
                <w:b/>
                <w:bCs/>
                <w:color w:val="000000"/>
                <w:sz w:val="18"/>
                <w:szCs w:val="18"/>
                <w:lang w:val="sl-SI" w:eastAsia="en-GB"/>
              </w:rPr>
              <w:t>event</w:t>
            </w:r>
            <w:proofErr w:type="spellEnd"/>
            <w:r w:rsidRPr="00275FBD">
              <w:rPr>
                <w:rFonts w:ascii="Calibri" w:hAnsi="Calibri"/>
                <w:b/>
                <w:bCs/>
                <w:color w:val="000000"/>
                <w:sz w:val="18"/>
                <w:szCs w:val="18"/>
                <w:lang w:val="sl-SI" w:eastAsia="en-GB"/>
              </w:rPr>
              <w:t xml:space="preserve">. Analyses of </w:t>
            </w:r>
            <w:proofErr w:type="spellStart"/>
            <w:r w:rsidRPr="00275FBD">
              <w:rPr>
                <w:rFonts w:ascii="Calibri" w:hAnsi="Calibri"/>
                <w:b/>
                <w:bCs/>
                <w:color w:val="000000"/>
                <w:sz w:val="18"/>
                <w:szCs w:val="18"/>
                <w:lang w:val="sl-SI" w:eastAsia="en-GB"/>
              </w:rPr>
              <w:t>off</w:t>
            </w:r>
            <w:proofErr w:type="spellEnd"/>
            <w:r w:rsidRPr="00275FBD">
              <w:rPr>
                <w:rFonts w:ascii="Calibri" w:hAnsi="Calibri"/>
                <w:b/>
                <w:bCs/>
                <w:color w:val="000000"/>
                <w:sz w:val="18"/>
                <w:szCs w:val="18"/>
                <w:lang w:val="sl-SI" w:eastAsia="en-GB"/>
              </w:rPr>
              <w:t xml:space="preserve">-site </w:t>
            </w:r>
            <w:proofErr w:type="spellStart"/>
            <w:r w:rsidRPr="00275FBD">
              <w:rPr>
                <w:rFonts w:ascii="Calibri" w:hAnsi="Calibri"/>
                <w:b/>
                <w:bCs/>
                <w:color w:val="000000"/>
                <w:sz w:val="18"/>
                <w:szCs w:val="18"/>
                <w:lang w:val="sl-SI" w:eastAsia="en-GB"/>
              </w:rPr>
              <w:t>radiological</w:t>
            </w:r>
            <w:proofErr w:type="spellEnd"/>
            <w:r w:rsidRPr="00275FBD">
              <w:rPr>
                <w:rFonts w:ascii="Calibri" w:hAnsi="Calibri"/>
                <w:b/>
                <w:bCs/>
                <w:color w:val="000000"/>
                <w:sz w:val="18"/>
                <w:szCs w:val="18"/>
                <w:lang w:val="sl-SI" w:eastAsia="en-GB"/>
              </w:rPr>
              <w:t xml:space="preserve"> </w:t>
            </w:r>
            <w:proofErr w:type="spellStart"/>
            <w:r w:rsidRPr="00275FBD">
              <w:rPr>
                <w:rFonts w:ascii="Calibri" w:hAnsi="Calibri"/>
                <w:b/>
                <w:bCs/>
                <w:color w:val="000000"/>
                <w:sz w:val="18"/>
                <w:szCs w:val="18"/>
                <w:lang w:val="sl-SI" w:eastAsia="en-GB"/>
              </w:rPr>
              <w:t>consequences</w:t>
            </w:r>
            <w:proofErr w:type="spellEnd"/>
            <w:r w:rsidRPr="00275FBD">
              <w:rPr>
                <w:rFonts w:ascii="Calibri" w:hAnsi="Calibri"/>
                <w:b/>
                <w:bCs/>
                <w:color w:val="000000"/>
                <w:sz w:val="18"/>
                <w:szCs w:val="18"/>
                <w:lang w:val="sl-SI" w:eastAsia="en-GB"/>
              </w:rPr>
              <w:t xml:space="preserve"> </w:t>
            </w:r>
            <w:proofErr w:type="spellStart"/>
            <w:r w:rsidRPr="00275FBD">
              <w:rPr>
                <w:rFonts w:ascii="Calibri" w:hAnsi="Calibri"/>
                <w:b/>
                <w:bCs/>
                <w:color w:val="000000"/>
                <w:sz w:val="18"/>
                <w:szCs w:val="18"/>
                <w:lang w:val="sl-SI" w:eastAsia="en-GB"/>
              </w:rPr>
              <w:t>resulting</w:t>
            </w:r>
            <w:proofErr w:type="spellEnd"/>
            <w:r w:rsidRPr="00275FBD">
              <w:rPr>
                <w:rFonts w:ascii="Calibri" w:hAnsi="Calibri"/>
                <w:b/>
                <w:bCs/>
                <w:color w:val="000000"/>
                <w:sz w:val="18"/>
                <w:szCs w:val="18"/>
                <w:lang w:val="sl-SI" w:eastAsia="en-GB"/>
              </w:rPr>
              <w:t xml:space="preserve"> from design extension conditions are not </w:t>
            </w:r>
            <w:proofErr w:type="spellStart"/>
            <w:r w:rsidRPr="00275FBD">
              <w:rPr>
                <w:rFonts w:ascii="Calibri" w:hAnsi="Calibri"/>
                <w:b/>
                <w:bCs/>
                <w:color w:val="000000"/>
                <w:sz w:val="18"/>
                <w:szCs w:val="18"/>
                <w:lang w:val="sl-SI" w:eastAsia="en-GB"/>
              </w:rPr>
              <w:t>provided</w:t>
            </w:r>
            <w:proofErr w:type="spellEnd"/>
            <w:r w:rsidRPr="00275FBD">
              <w:rPr>
                <w:rFonts w:ascii="Calibri" w:hAnsi="Calibri"/>
                <w:b/>
                <w:bCs/>
                <w:color w:val="000000"/>
                <w:sz w:val="18"/>
                <w:szCs w:val="18"/>
                <w:lang w:val="sl-SI" w:eastAsia="en-GB"/>
              </w:rPr>
              <w:t xml:space="preserve"> </w:t>
            </w:r>
            <w:proofErr w:type="spellStart"/>
            <w:r w:rsidRPr="00275FBD">
              <w:rPr>
                <w:rFonts w:ascii="Calibri" w:hAnsi="Calibri"/>
                <w:b/>
                <w:bCs/>
                <w:color w:val="000000"/>
                <w:sz w:val="18"/>
                <w:szCs w:val="18"/>
                <w:lang w:val="sl-SI" w:eastAsia="en-GB"/>
              </w:rPr>
              <w:t>within</w:t>
            </w:r>
            <w:proofErr w:type="spellEnd"/>
            <w:r w:rsidRPr="00275FBD">
              <w:rPr>
                <w:rFonts w:ascii="Calibri" w:hAnsi="Calibri"/>
                <w:b/>
                <w:bCs/>
                <w:color w:val="000000"/>
                <w:sz w:val="18"/>
                <w:szCs w:val="18"/>
                <w:lang w:val="sl-SI" w:eastAsia="en-GB"/>
              </w:rPr>
              <w:t xml:space="preserve"> USAR </w:t>
            </w:r>
            <w:proofErr w:type="spellStart"/>
            <w:r w:rsidRPr="00275FBD">
              <w:rPr>
                <w:rFonts w:ascii="Calibri" w:hAnsi="Calibri"/>
                <w:b/>
                <w:bCs/>
                <w:color w:val="000000"/>
                <w:sz w:val="18"/>
                <w:szCs w:val="18"/>
                <w:lang w:val="sl-SI" w:eastAsia="en-GB"/>
              </w:rPr>
              <w:t>Chapter</w:t>
            </w:r>
            <w:proofErr w:type="spellEnd"/>
            <w:r w:rsidRPr="00275FBD">
              <w:rPr>
                <w:rFonts w:ascii="Calibri" w:hAnsi="Calibri"/>
                <w:b/>
                <w:bCs/>
                <w:color w:val="000000"/>
                <w:sz w:val="18"/>
                <w:szCs w:val="18"/>
                <w:lang w:val="sl-SI" w:eastAsia="en-GB"/>
              </w:rPr>
              <w:t xml:space="preserve"> 20, rev. 27.</w:t>
            </w:r>
          </w:p>
          <w:p w14:paraId="6395A897"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lastRenderedPageBreak/>
              <w:t xml:space="preserve">USAR </w:t>
            </w:r>
            <w:proofErr w:type="spellStart"/>
            <w:r w:rsidRPr="00275FBD">
              <w:rPr>
                <w:rFonts w:ascii="Calibri" w:hAnsi="Calibri"/>
                <w:color w:val="000000"/>
                <w:sz w:val="18"/>
                <w:szCs w:val="18"/>
                <w:lang w:val="sl-SI" w:eastAsia="en-GB"/>
              </w:rPr>
              <w:t>Chapter</w:t>
            </w:r>
            <w:proofErr w:type="spellEnd"/>
            <w:r w:rsidRPr="00275FBD">
              <w:rPr>
                <w:rFonts w:ascii="Calibri" w:hAnsi="Calibri"/>
                <w:color w:val="000000"/>
                <w:sz w:val="18"/>
                <w:szCs w:val="18"/>
                <w:lang w:val="sl-SI" w:eastAsia="en-GB"/>
              </w:rPr>
              <w:t xml:space="preserve"> 20 </w:t>
            </w:r>
            <w:proofErr w:type="spellStart"/>
            <w:r w:rsidRPr="00275FBD">
              <w:rPr>
                <w:rFonts w:ascii="Calibri" w:hAnsi="Calibri"/>
                <w:color w:val="000000"/>
                <w:sz w:val="18"/>
                <w:szCs w:val="18"/>
                <w:lang w:val="sl-SI" w:eastAsia="en-GB"/>
              </w:rPr>
              <w:t>needs</w:t>
            </w:r>
            <w:proofErr w:type="spellEnd"/>
            <w:r w:rsidRPr="00275FBD">
              <w:rPr>
                <w:rFonts w:ascii="Calibri" w:hAnsi="Calibri"/>
                <w:color w:val="000000"/>
                <w:sz w:val="18"/>
                <w:szCs w:val="18"/>
                <w:lang w:val="sl-SI" w:eastAsia="en-GB"/>
              </w:rPr>
              <w:t xml:space="preserve"> to be </w:t>
            </w:r>
            <w:proofErr w:type="spellStart"/>
            <w:r w:rsidRPr="00275FBD">
              <w:rPr>
                <w:rFonts w:ascii="Calibri" w:hAnsi="Calibri"/>
                <w:color w:val="000000"/>
                <w:sz w:val="18"/>
                <w:szCs w:val="18"/>
                <w:lang w:val="sl-SI" w:eastAsia="en-GB"/>
              </w:rPr>
              <w:t>updated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regarding</w:t>
            </w:r>
            <w:proofErr w:type="spellEnd"/>
            <w:r w:rsidRPr="00275FBD">
              <w:rPr>
                <w:rFonts w:ascii="Calibri" w:hAnsi="Calibri"/>
                <w:color w:val="000000"/>
                <w:sz w:val="18"/>
                <w:szCs w:val="18"/>
                <w:lang w:val="sl-SI" w:eastAsia="en-GB"/>
              </w:rPr>
              <w:t xml:space="preserve"> a </w:t>
            </w:r>
            <w:proofErr w:type="spellStart"/>
            <w:r w:rsidRPr="00275FBD">
              <w:rPr>
                <w:rFonts w:ascii="Calibri" w:hAnsi="Calibri"/>
                <w:color w:val="000000"/>
                <w:sz w:val="18"/>
                <w:szCs w:val="18"/>
                <w:lang w:val="sl-SI" w:eastAsia="en-GB"/>
              </w:rPr>
              <w:t>new</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obtained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off</w:t>
            </w:r>
            <w:proofErr w:type="spellEnd"/>
            <w:r w:rsidRPr="00275FBD">
              <w:rPr>
                <w:rFonts w:ascii="Calibri" w:hAnsi="Calibri"/>
                <w:color w:val="000000"/>
                <w:sz w:val="18"/>
                <w:szCs w:val="18"/>
                <w:lang w:val="sl-SI" w:eastAsia="en-GB"/>
              </w:rPr>
              <w:t xml:space="preserve">-site </w:t>
            </w:r>
            <w:proofErr w:type="spellStart"/>
            <w:r w:rsidRPr="00275FBD">
              <w:rPr>
                <w:rFonts w:ascii="Calibri" w:hAnsi="Calibri"/>
                <w:color w:val="000000"/>
                <w:sz w:val="18"/>
                <w:szCs w:val="18"/>
                <w:lang w:val="sl-SI" w:eastAsia="en-GB"/>
              </w:rPr>
              <w:t>radiological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consequences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resulting</w:t>
            </w:r>
            <w:proofErr w:type="spellEnd"/>
            <w:r w:rsidRPr="00275FBD">
              <w:rPr>
                <w:rFonts w:ascii="Calibri" w:hAnsi="Calibri"/>
                <w:color w:val="000000"/>
                <w:sz w:val="18"/>
                <w:szCs w:val="18"/>
                <w:lang w:val="sl-SI" w:eastAsia="en-GB"/>
              </w:rPr>
              <w:t xml:space="preserve"> from DEC B </w:t>
            </w:r>
            <w:proofErr w:type="spellStart"/>
            <w:r w:rsidRPr="00275FBD">
              <w:rPr>
                <w:rFonts w:ascii="Calibri" w:hAnsi="Calibri"/>
                <w:color w:val="000000"/>
                <w:sz w:val="18"/>
                <w:szCs w:val="18"/>
                <w:lang w:val="sl-SI" w:eastAsia="en-GB"/>
              </w:rPr>
              <w:t>event</w:t>
            </w:r>
            <w:proofErr w:type="spellEnd"/>
            <w:r w:rsidRPr="00275FBD">
              <w:rPr>
                <w:rFonts w:ascii="Calibri" w:hAnsi="Calibri"/>
                <w:color w:val="000000"/>
                <w:sz w:val="18"/>
                <w:szCs w:val="18"/>
                <w:lang w:val="sl-SI" w:eastAsia="en-GB"/>
              </w:rPr>
              <w:t xml:space="preserve">, in </w:t>
            </w:r>
            <w:proofErr w:type="spellStart"/>
            <w:r w:rsidRPr="00275FBD">
              <w:rPr>
                <w:rFonts w:ascii="Calibri" w:hAnsi="Calibri"/>
                <w:color w:val="000000"/>
                <w:sz w:val="18"/>
                <w:szCs w:val="18"/>
                <w:lang w:val="sl-SI" w:eastAsia="en-GB"/>
              </w:rPr>
              <w:t>order</w:t>
            </w:r>
            <w:proofErr w:type="spellEnd"/>
            <w:r w:rsidRPr="00275FBD">
              <w:rPr>
                <w:rFonts w:ascii="Calibri" w:hAnsi="Calibri"/>
                <w:color w:val="000000"/>
                <w:sz w:val="18"/>
                <w:szCs w:val="18"/>
                <w:lang w:val="sl-SI" w:eastAsia="en-GB"/>
              </w:rPr>
              <w:t xml:space="preserve"> to be </w:t>
            </w:r>
            <w:proofErr w:type="spellStart"/>
            <w:r w:rsidRPr="00275FBD">
              <w:rPr>
                <w:rFonts w:ascii="Calibri" w:hAnsi="Calibri"/>
                <w:color w:val="000000"/>
                <w:sz w:val="18"/>
                <w:szCs w:val="18"/>
                <w:lang w:val="sl-SI" w:eastAsia="en-GB"/>
              </w:rPr>
              <w:t>compliant</w:t>
            </w:r>
            <w:proofErr w:type="spellEnd"/>
            <w:r w:rsidRPr="00275FBD">
              <w:rPr>
                <w:rFonts w:ascii="Calibri" w:hAnsi="Calibri"/>
                <w:color w:val="000000"/>
                <w:sz w:val="18"/>
                <w:szCs w:val="18"/>
                <w:lang w:val="sl-SI" w:eastAsia="en-GB"/>
              </w:rPr>
              <w:t xml:space="preserve"> with IAEA SSG-61.</w:t>
            </w:r>
          </w:p>
        </w:tc>
        <w:tc>
          <w:tcPr>
            <w:tcW w:w="993" w:type="dxa"/>
          </w:tcPr>
          <w:p w14:paraId="7F718F21"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lastRenderedPageBreak/>
              <w:t>3.1.2</w:t>
            </w:r>
          </w:p>
        </w:tc>
        <w:tc>
          <w:tcPr>
            <w:tcW w:w="5244" w:type="dxa"/>
          </w:tcPr>
          <w:p w14:paraId="428CE2DE" w14:textId="77777777" w:rsidR="00935B67" w:rsidRPr="00275FBD" w:rsidRDefault="00935B67" w:rsidP="00935B67">
            <w:pPr>
              <w:jc w:val="left"/>
              <w:rPr>
                <w:rFonts w:ascii="Calibri" w:hAnsi="Calibri"/>
                <w:sz w:val="18"/>
                <w:szCs w:val="18"/>
                <w:lang w:val="sl-SI" w:eastAsia="en-GB"/>
              </w:rPr>
            </w:pPr>
            <w:r w:rsidRPr="00275FBD">
              <w:rPr>
                <w:rFonts w:ascii="Calibri" w:hAnsi="Calibri"/>
                <w:sz w:val="18"/>
                <w:szCs w:val="18"/>
                <w:lang w:val="sl-SI" w:eastAsia="en-GB"/>
              </w:rPr>
              <w:t xml:space="preserve">According to the SNSA </w:t>
            </w:r>
            <w:proofErr w:type="spellStart"/>
            <w:r w:rsidRPr="00275FBD">
              <w:rPr>
                <w:rFonts w:ascii="Calibri" w:hAnsi="Calibri"/>
                <w:sz w:val="18"/>
                <w:szCs w:val="18"/>
                <w:lang w:val="sl-SI" w:eastAsia="en-GB"/>
              </w:rPr>
              <w:t>records</w:t>
            </w:r>
            <w:proofErr w:type="spellEnd"/>
            <w:r w:rsidRPr="00275FBD">
              <w:rPr>
                <w:rFonts w:ascii="Calibri" w:hAnsi="Calibri"/>
                <w:sz w:val="18"/>
                <w:szCs w:val="18"/>
                <w:lang w:val="sl-SI" w:eastAsia="en-GB"/>
              </w:rPr>
              <w:t xml:space="preserve">, the </w:t>
            </w:r>
            <w:proofErr w:type="spellStart"/>
            <w:r w:rsidRPr="00275FBD">
              <w:rPr>
                <w:rFonts w:ascii="Calibri" w:hAnsi="Calibri"/>
                <w:sz w:val="18"/>
                <w:szCs w:val="18"/>
                <w:lang w:val="sl-SI" w:eastAsia="en-GB"/>
              </w:rPr>
              <w:t>licensing</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process</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already</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started</w:t>
            </w:r>
            <w:proofErr w:type="spellEnd"/>
            <w:r w:rsidRPr="00275FBD">
              <w:rPr>
                <w:rFonts w:ascii="Calibri" w:hAnsi="Calibri"/>
                <w:sz w:val="18"/>
                <w:szCs w:val="18"/>
                <w:lang w:val="sl-SI" w:eastAsia="en-GB"/>
              </w:rPr>
              <w:t xml:space="preserve"> to </w:t>
            </w:r>
            <w:proofErr w:type="spellStart"/>
            <w:r w:rsidRPr="00275FBD">
              <w:rPr>
                <w:rFonts w:ascii="Calibri" w:hAnsi="Calibri"/>
                <w:sz w:val="18"/>
                <w:szCs w:val="18"/>
                <w:lang w:val="sl-SI" w:eastAsia="en-GB"/>
              </w:rPr>
              <w:t>include</w:t>
            </w:r>
            <w:proofErr w:type="spellEnd"/>
            <w:r w:rsidRPr="00275FBD">
              <w:rPr>
                <w:rFonts w:ascii="Calibri" w:hAnsi="Calibri"/>
                <w:sz w:val="18"/>
                <w:szCs w:val="18"/>
                <w:lang w:val="sl-SI" w:eastAsia="en-GB"/>
              </w:rPr>
              <w:t xml:space="preserve"> in the USAR the </w:t>
            </w:r>
            <w:proofErr w:type="spellStart"/>
            <w:r w:rsidRPr="00275FBD">
              <w:rPr>
                <w:rFonts w:ascii="Calibri" w:hAnsi="Calibri"/>
                <w:sz w:val="18"/>
                <w:szCs w:val="18"/>
                <w:lang w:val="sl-SI" w:eastAsia="en-GB"/>
              </w:rPr>
              <w:t>analysis</w:t>
            </w:r>
            <w:proofErr w:type="spellEnd"/>
            <w:r w:rsidRPr="00275FBD">
              <w:rPr>
                <w:rFonts w:ascii="Calibri" w:hAnsi="Calibri"/>
                <w:sz w:val="18"/>
                <w:szCs w:val="18"/>
                <w:lang w:val="sl-SI" w:eastAsia="en-GB"/>
              </w:rPr>
              <w:t xml:space="preserve"> of </w:t>
            </w:r>
            <w:proofErr w:type="spellStart"/>
            <w:r w:rsidRPr="00275FBD">
              <w:rPr>
                <w:rFonts w:ascii="Calibri" w:hAnsi="Calibri"/>
                <w:sz w:val="18"/>
                <w:szCs w:val="18"/>
                <w:lang w:val="sl-SI" w:eastAsia="en-GB"/>
              </w:rPr>
              <w:t>off</w:t>
            </w:r>
            <w:proofErr w:type="spellEnd"/>
            <w:r w:rsidRPr="00275FBD">
              <w:rPr>
                <w:rFonts w:ascii="Calibri" w:hAnsi="Calibri"/>
                <w:sz w:val="18"/>
                <w:szCs w:val="18"/>
                <w:lang w:val="sl-SI" w:eastAsia="en-GB"/>
              </w:rPr>
              <w:t xml:space="preserve">-site </w:t>
            </w:r>
            <w:proofErr w:type="spellStart"/>
            <w:r w:rsidRPr="00275FBD">
              <w:rPr>
                <w:rFonts w:ascii="Calibri" w:hAnsi="Calibri"/>
                <w:sz w:val="18"/>
                <w:szCs w:val="18"/>
                <w:lang w:val="sl-SI" w:eastAsia="en-GB"/>
              </w:rPr>
              <w:t>radiological</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consequences</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resulting</w:t>
            </w:r>
            <w:proofErr w:type="spellEnd"/>
            <w:r w:rsidRPr="00275FBD">
              <w:rPr>
                <w:rFonts w:ascii="Calibri" w:hAnsi="Calibri"/>
                <w:sz w:val="18"/>
                <w:szCs w:val="18"/>
                <w:lang w:val="sl-SI" w:eastAsia="en-GB"/>
              </w:rPr>
              <w:t xml:space="preserve"> from DEC B </w:t>
            </w:r>
            <w:proofErr w:type="spellStart"/>
            <w:r w:rsidRPr="00275FBD">
              <w:rPr>
                <w:rFonts w:ascii="Calibri" w:hAnsi="Calibri"/>
                <w:sz w:val="18"/>
                <w:szCs w:val="18"/>
                <w:lang w:val="sl-SI" w:eastAsia="en-GB"/>
              </w:rPr>
              <w:t>event</w:t>
            </w:r>
            <w:proofErr w:type="spellEnd"/>
            <w:r w:rsidRPr="00275FBD">
              <w:rPr>
                <w:rFonts w:ascii="Calibri" w:hAnsi="Calibri"/>
                <w:sz w:val="18"/>
                <w:szCs w:val="18"/>
                <w:lang w:val="sl-SI" w:eastAsia="en-GB"/>
              </w:rPr>
              <w:t xml:space="preserve">. </w:t>
            </w:r>
          </w:p>
          <w:p w14:paraId="31E83E7C" w14:textId="77777777" w:rsidR="00935B67" w:rsidRPr="00275FBD" w:rsidRDefault="00935B67" w:rsidP="00935B67">
            <w:pPr>
              <w:jc w:val="left"/>
              <w:rPr>
                <w:rFonts w:ascii="Calibri" w:hAnsi="Calibri"/>
                <w:sz w:val="18"/>
                <w:szCs w:val="18"/>
                <w:lang w:val="sl-SI" w:eastAsia="en-GB"/>
              </w:rPr>
            </w:pPr>
            <w:r w:rsidRPr="00275FBD">
              <w:rPr>
                <w:rFonts w:ascii="Calibri" w:hAnsi="Calibri"/>
                <w:sz w:val="18"/>
                <w:szCs w:val="18"/>
                <w:lang w:val="sl-SI" w:eastAsia="en-GB"/>
              </w:rPr>
              <w:t xml:space="preserve">SNSA </w:t>
            </w:r>
            <w:proofErr w:type="spellStart"/>
            <w:r w:rsidRPr="00275FBD">
              <w:rPr>
                <w:rFonts w:ascii="Calibri" w:hAnsi="Calibri"/>
                <w:sz w:val="18"/>
                <w:szCs w:val="18"/>
                <w:lang w:val="sl-SI" w:eastAsia="en-GB"/>
              </w:rPr>
              <w:t>supports</w:t>
            </w:r>
            <w:proofErr w:type="spellEnd"/>
            <w:r w:rsidRPr="00275FBD">
              <w:rPr>
                <w:rFonts w:ascii="Calibri" w:hAnsi="Calibri"/>
                <w:sz w:val="18"/>
                <w:szCs w:val="18"/>
                <w:lang w:val="sl-SI" w:eastAsia="en-GB"/>
              </w:rPr>
              <w:t xml:space="preserve"> the implementation of </w:t>
            </w:r>
            <w:proofErr w:type="spellStart"/>
            <w:r w:rsidRPr="00275FBD">
              <w:rPr>
                <w:rFonts w:ascii="Calibri" w:hAnsi="Calibri"/>
                <w:sz w:val="18"/>
                <w:szCs w:val="18"/>
                <w:lang w:val="sl-SI" w:eastAsia="en-GB"/>
              </w:rPr>
              <w:t>this</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action</w:t>
            </w:r>
            <w:proofErr w:type="spellEnd"/>
            <w:r w:rsidRPr="00275FBD">
              <w:rPr>
                <w:rFonts w:ascii="Calibri" w:hAnsi="Calibri"/>
                <w:sz w:val="18"/>
                <w:szCs w:val="18"/>
                <w:lang w:val="sl-SI" w:eastAsia="en-GB"/>
              </w:rPr>
              <w:t>.</w:t>
            </w:r>
          </w:p>
        </w:tc>
        <w:tc>
          <w:tcPr>
            <w:tcW w:w="2694" w:type="dxa"/>
          </w:tcPr>
          <w:p w14:paraId="35B1DABD" w14:textId="77777777" w:rsidR="00935B67" w:rsidRPr="00275FBD" w:rsidRDefault="00935B67" w:rsidP="00935B67">
            <w:pPr>
              <w:jc w:val="left"/>
              <w:rPr>
                <w:rFonts w:ascii="Calibri" w:hAnsi="Calibri"/>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35BD4E07" w14:textId="77777777" w:rsidTr="00935B67">
        <w:tc>
          <w:tcPr>
            <w:tcW w:w="1384" w:type="dxa"/>
            <w:shd w:val="clear" w:color="auto" w:fill="92CDDC" w:themeFill="accent5" w:themeFillTint="99"/>
          </w:tcPr>
          <w:p w14:paraId="2EB80E44"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2.1-015</w:t>
            </w:r>
          </w:p>
        </w:tc>
        <w:tc>
          <w:tcPr>
            <w:tcW w:w="3827" w:type="dxa"/>
          </w:tcPr>
          <w:p w14:paraId="66080545" w14:textId="77777777" w:rsidR="00935B67" w:rsidRPr="00275FBD" w:rsidRDefault="00935B67" w:rsidP="00935B67">
            <w:pPr>
              <w:spacing w:before="0" w:after="0"/>
              <w:jc w:val="left"/>
              <w:rPr>
                <w:rFonts w:ascii="Calibri" w:hAnsi="Calibri"/>
                <w:color w:val="000000" w:themeColor="text1"/>
                <w:sz w:val="18"/>
                <w:szCs w:val="18"/>
                <w:lang w:val="sl-SI" w:eastAsia="en-GB"/>
              </w:rPr>
            </w:pPr>
            <w:r w:rsidRPr="00275FBD">
              <w:rPr>
                <w:rFonts w:ascii="Calibri" w:hAnsi="Calibri"/>
                <w:b/>
                <w:bCs/>
                <w:color w:val="000000" w:themeColor="text1"/>
                <w:sz w:val="18"/>
                <w:szCs w:val="18"/>
                <w:lang w:val="sl-SI" w:eastAsia="en-GB"/>
              </w:rPr>
              <w:t xml:space="preserve">Availability of </w:t>
            </w:r>
            <w:proofErr w:type="spellStart"/>
            <w:r w:rsidRPr="00275FBD">
              <w:rPr>
                <w:rFonts w:ascii="Calibri" w:hAnsi="Calibri"/>
                <w:b/>
                <w:bCs/>
                <w:color w:val="000000" w:themeColor="text1"/>
                <w:sz w:val="18"/>
                <w:szCs w:val="18"/>
                <w:lang w:val="sl-SI" w:eastAsia="en-GB"/>
              </w:rPr>
              <w:t>documented</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information</w:t>
            </w:r>
            <w:proofErr w:type="spellEnd"/>
            <w:r w:rsidRPr="00275FBD">
              <w:rPr>
                <w:rFonts w:ascii="Calibri" w:hAnsi="Calibri"/>
                <w:b/>
                <w:bCs/>
                <w:color w:val="000000" w:themeColor="text1"/>
                <w:sz w:val="18"/>
                <w:szCs w:val="18"/>
                <w:lang w:val="sl-SI" w:eastAsia="en-GB"/>
              </w:rPr>
              <w:t xml:space="preserve"> on </w:t>
            </w:r>
            <w:proofErr w:type="spellStart"/>
            <w:r w:rsidRPr="00275FBD">
              <w:rPr>
                <w:rFonts w:ascii="Calibri" w:hAnsi="Calibri"/>
                <w:b/>
                <w:bCs/>
                <w:color w:val="000000" w:themeColor="text1"/>
                <w:sz w:val="18"/>
                <w:szCs w:val="18"/>
                <w:lang w:val="sl-SI" w:eastAsia="en-GB"/>
              </w:rPr>
              <w:t>verification</w:t>
            </w:r>
            <w:proofErr w:type="spellEnd"/>
            <w:r w:rsidRPr="00275FBD">
              <w:rPr>
                <w:rFonts w:ascii="Calibri" w:hAnsi="Calibri"/>
                <w:b/>
                <w:bCs/>
                <w:color w:val="000000" w:themeColor="text1"/>
                <w:sz w:val="18"/>
                <w:szCs w:val="18"/>
                <w:lang w:val="sl-SI" w:eastAsia="en-GB"/>
              </w:rPr>
              <w:t xml:space="preserve"> and </w:t>
            </w:r>
            <w:proofErr w:type="spellStart"/>
            <w:r w:rsidRPr="00275FBD">
              <w:rPr>
                <w:rFonts w:ascii="Calibri" w:hAnsi="Calibri"/>
                <w:b/>
                <w:bCs/>
                <w:color w:val="000000" w:themeColor="text1"/>
                <w:sz w:val="18"/>
                <w:szCs w:val="18"/>
                <w:lang w:val="sl-SI" w:eastAsia="en-GB"/>
              </w:rPr>
              <w:t>validation</w:t>
            </w:r>
            <w:proofErr w:type="spellEnd"/>
            <w:r w:rsidRPr="00275FBD">
              <w:rPr>
                <w:rFonts w:ascii="Calibri" w:hAnsi="Calibri"/>
                <w:b/>
                <w:bCs/>
                <w:color w:val="000000" w:themeColor="text1"/>
                <w:sz w:val="18"/>
                <w:szCs w:val="18"/>
                <w:lang w:val="sl-SI" w:eastAsia="en-GB"/>
              </w:rPr>
              <w:t xml:space="preserve"> of </w:t>
            </w:r>
            <w:proofErr w:type="spellStart"/>
            <w:r w:rsidRPr="00275FBD">
              <w:rPr>
                <w:rFonts w:ascii="Calibri" w:hAnsi="Calibri"/>
                <w:b/>
                <w:bCs/>
                <w:color w:val="000000" w:themeColor="text1"/>
                <w:sz w:val="18"/>
                <w:szCs w:val="18"/>
                <w:lang w:val="sl-SI" w:eastAsia="en-GB"/>
              </w:rPr>
              <w:t>calculational</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methods</w:t>
            </w:r>
            <w:proofErr w:type="spellEnd"/>
            <w:r w:rsidRPr="00275FBD">
              <w:rPr>
                <w:rFonts w:ascii="Calibri" w:hAnsi="Calibri"/>
                <w:b/>
                <w:bCs/>
                <w:color w:val="000000" w:themeColor="text1"/>
                <w:sz w:val="18"/>
                <w:szCs w:val="18"/>
                <w:lang w:val="sl-SI" w:eastAsia="en-GB"/>
              </w:rPr>
              <w:t xml:space="preserve"> and </w:t>
            </w:r>
            <w:proofErr w:type="spellStart"/>
            <w:r w:rsidRPr="00275FBD">
              <w:rPr>
                <w:rFonts w:ascii="Calibri" w:hAnsi="Calibri"/>
                <w:b/>
                <w:bCs/>
                <w:color w:val="000000" w:themeColor="text1"/>
                <w:sz w:val="18"/>
                <w:szCs w:val="18"/>
                <w:lang w:val="sl-SI" w:eastAsia="en-GB"/>
              </w:rPr>
              <w:t>computer</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codes</w:t>
            </w:r>
            <w:proofErr w:type="spellEnd"/>
            <w:r w:rsidRPr="00275FBD">
              <w:rPr>
                <w:rFonts w:ascii="Calibri" w:hAnsi="Calibri"/>
                <w:color w:val="000000" w:themeColor="text1"/>
                <w:sz w:val="18"/>
                <w:szCs w:val="18"/>
                <w:lang w:val="sl-SI" w:eastAsia="en-GB"/>
              </w:rPr>
              <w:br/>
              <w:t xml:space="preserve">OSF element: Peer review </w:t>
            </w:r>
            <w:proofErr w:type="spellStart"/>
            <w:r w:rsidRPr="00275FBD">
              <w:rPr>
                <w:rFonts w:ascii="Calibri" w:hAnsi="Calibri"/>
                <w:color w:val="000000" w:themeColor="text1"/>
                <w:sz w:val="18"/>
                <w:szCs w:val="18"/>
                <w:lang w:val="sl-SI" w:eastAsia="en-GB"/>
              </w:rPr>
              <w:t>programs</w:t>
            </w:r>
            <w:proofErr w:type="spellEnd"/>
            <w:r w:rsidRPr="00275FBD">
              <w:rPr>
                <w:rFonts w:ascii="Calibri" w:hAnsi="Calibri"/>
                <w:color w:val="000000" w:themeColor="text1"/>
                <w:sz w:val="18"/>
                <w:szCs w:val="18"/>
                <w:lang w:val="sl-SI" w:eastAsia="en-GB"/>
              </w:rPr>
              <w:br/>
            </w:r>
            <w:proofErr w:type="spellStart"/>
            <w:r w:rsidRPr="00275FBD">
              <w:rPr>
                <w:rFonts w:ascii="Calibri" w:hAnsi="Calibri"/>
                <w:color w:val="000000" w:themeColor="text1"/>
                <w:sz w:val="18"/>
                <w:szCs w:val="18"/>
                <w:lang w:val="sl-SI" w:eastAsia="en-GB"/>
              </w:rPr>
              <w:t>This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is </w:t>
            </w:r>
            <w:proofErr w:type="spellStart"/>
            <w:r w:rsidRPr="00275FBD">
              <w:rPr>
                <w:rFonts w:ascii="Calibri" w:hAnsi="Calibri"/>
                <w:color w:val="000000" w:themeColor="text1"/>
                <w:sz w:val="18"/>
                <w:szCs w:val="18"/>
                <w:lang w:val="sl-SI" w:eastAsia="en-GB"/>
              </w:rPr>
              <w:t>related</w:t>
            </w:r>
            <w:proofErr w:type="spellEnd"/>
            <w:r w:rsidRPr="00275FBD">
              <w:rPr>
                <w:rFonts w:ascii="Calibri" w:hAnsi="Calibri"/>
                <w:color w:val="000000" w:themeColor="text1"/>
                <w:sz w:val="18"/>
                <w:szCs w:val="18"/>
                <w:lang w:val="sl-SI" w:eastAsia="en-GB"/>
              </w:rPr>
              <w:t xml:space="preserve"> to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PSR3 2.1-09: </w:t>
            </w:r>
            <w:proofErr w:type="spellStart"/>
            <w:r w:rsidRPr="00275FBD">
              <w:rPr>
                <w:rFonts w:ascii="Calibri" w:hAnsi="Calibri"/>
                <w:color w:val="000000" w:themeColor="text1"/>
                <w:sz w:val="18"/>
                <w:szCs w:val="18"/>
                <w:lang w:val="sl-SI" w:eastAsia="en-GB"/>
              </w:rPr>
              <w:t>Auditability</w:t>
            </w:r>
            <w:proofErr w:type="spellEnd"/>
            <w:r w:rsidRPr="00275FBD">
              <w:rPr>
                <w:rFonts w:ascii="Calibri" w:hAnsi="Calibri"/>
                <w:color w:val="000000" w:themeColor="text1"/>
                <w:sz w:val="18"/>
                <w:szCs w:val="18"/>
                <w:lang w:val="sl-SI" w:eastAsia="en-GB"/>
              </w:rPr>
              <w:t xml:space="preserve"> of USAR </w:t>
            </w:r>
            <w:proofErr w:type="spellStart"/>
            <w:r w:rsidRPr="00275FBD">
              <w:rPr>
                <w:rFonts w:ascii="Calibri" w:hAnsi="Calibri"/>
                <w:color w:val="000000" w:themeColor="text1"/>
                <w:sz w:val="18"/>
                <w:szCs w:val="18"/>
                <w:lang w:val="sl-SI" w:eastAsia="en-GB"/>
              </w:rPr>
              <w:t>Chapter</w:t>
            </w:r>
            <w:proofErr w:type="spellEnd"/>
            <w:r w:rsidRPr="00275FBD">
              <w:rPr>
                <w:rFonts w:ascii="Calibri" w:hAnsi="Calibri"/>
                <w:color w:val="000000" w:themeColor="text1"/>
                <w:sz w:val="18"/>
                <w:szCs w:val="18"/>
                <w:lang w:val="sl-SI" w:eastAsia="en-GB"/>
              </w:rPr>
              <w:t xml:space="preserve"> 15 </w:t>
            </w:r>
            <w:proofErr w:type="spellStart"/>
            <w:r w:rsidRPr="00275FBD">
              <w:rPr>
                <w:rFonts w:ascii="Calibri" w:hAnsi="Calibri"/>
                <w:color w:val="000000" w:themeColor="text1"/>
                <w:sz w:val="18"/>
                <w:szCs w:val="18"/>
                <w:lang w:val="sl-SI" w:eastAsia="en-GB"/>
              </w:rPr>
              <w:t>analyses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regarding</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documented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information</w:t>
            </w:r>
            <w:proofErr w:type="spellEnd"/>
            <w:r w:rsidRPr="00275FBD">
              <w:rPr>
                <w:rFonts w:ascii="Calibri" w:hAnsi="Calibri"/>
                <w:color w:val="000000" w:themeColor="text1"/>
                <w:sz w:val="18"/>
                <w:szCs w:val="18"/>
                <w:lang w:val="sl-SI" w:eastAsia="en-GB"/>
              </w:rPr>
              <w:t xml:space="preserve"> availability for </w:t>
            </w:r>
            <w:proofErr w:type="spellStart"/>
            <w:r w:rsidRPr="00275FBD">
              <w:rPr>
                <w:rFonts w:ascii="Calibri" w:hAnsi="Calibri"/>
                <w:color w:val="000000" w:themeColor="text1"/>
                <w:sz w:val="18"/>
                <w:szCs w:val="18"/>
                <w:lang w:val="sl-SI" w:eastAsia="en-GB"/>
              </w:rPr>
              <w:t>verification</w:t>
            </w:r>
            <w:proofErr w:type="spellEnd"/>
            <w:r w:rsidRPr="00275FBD">
              <w:rPr>
                <w:rFonts w:ascii="Calibri" w:hAnsi="Calibri"/>
                <w:color w:val="000000" w:themeColor="text1"/>
                <w:sz w:val="18"/>
                <w:szCs w:val="18"/>
                <w:lang w:val="sl-SI" w:eastAsia="en-GB"/>
              </w:rPr>
              <w:t xml:space="preserve"> and </w:t>
            </w:r>
            <w:proofErr w:type="spellStart"/>
            <w:r w:rsidRPr="00275FBD">
              <w:rPr>
                <w:rFonts w:ascii="Calibri" w:hAnsi="Calibri"/>
                <w:color w:val="000000" w:themeColor="text1"/>
                <w:sz w:val="18"/>
                <w:szCs w:val="18"/>
                <w:lang w:val="sl-SI" w:eastAsia="en-GB"/>
              </w:rPr>
              <w:t>validation</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computer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codes</w:t>
            </w:r>
            <w:proofErr w:type="spellEnd"/>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code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documentation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regarding</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verification</w:t>
            </w:r>
            <w:proofErr w:type="spellEnd"/>
            <w:r w:rsidRPr="00275FBD">
              <w:rPr>
                <w:rFonts w:ascii="Calibri" w:hAnsi="Calibri"/>
                <w:color w:val="000000" w:themeColor="text1"/>
                <w:sz w:val="18"/>
                <w:szCs w:val="18"/>
                <w:lang w:val="sl-SI" w:eastAsia="en-GB"/>
              </w:rPr>
              <w:t xml:space="preserve"> and </w:t>
            </w:r>
            <w:proofErr w:type="spellStart"/>
            <w:r w:rsidRPr="00275FBD">
              <w:rPr>
                <w:rFonts w:ascii="Calibri" w:hAnsi="Calibri"/>
                <w:color w:val="000000" w:themeColor="text1"/>
                <w:sz w:val="18"/>
                <w:szCs w:val="18"/>
                <w:lang w:val="sl-SI" w:eastAsia="en-GB"/>
              </w:rPr>
              <w:t>validation</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computer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codes</w:t>
            </w:r>
            <w:proofErr w:type="spellEnd"/>
            <w:r w:rsidRPr="00275FBD">
              <w:rPr>
                <w:rFonts w:ascii="Calibri" w:hAnsi="Calibri"/>
                <w:color w:val="000000" w:themeColor="text1"/>
                <w:sz w:val="18"/>
                <w:szCs w:val="18"/>
                <w:lang w:val="sl-SI" w:eastAsia="en-GB"/>
              </w:rPr>
              <w:t xml:space="preserve"> used in USAR </w:t>
            </w:r>
            <w:proofErr w:type="spellStart"/>
            <w:r w:rsidRPr="00275FBD">
              <w:rPr>
                <w:rFonts w:ascii="Calibri" w:hAnsi="Calibri"/>
                <w:color w:val="000000" w:themeColor="text1"/>
                <w:sz w:val="18"/>
                <w:szCs w:val="18"/>
                <w:lang w:val="sl-SI" w:eastAsia="en-GB"/>
              </w:rPr>
              <w:t>Chapter</w:t>
            </w:r>
            <w:proofErr w:type="spellEnd"/>
            <w:r w:rsidRPr="00275FBD">
              <w:rPr>
                <w:rFonts w:ascii="Calibri" w:hAnsi="Calibri"/>
                <w:color w:val="000000" w:themeColor="text1"/>
                <w:sz w:val="18"/>
                <w:szCs w:val="18"/>
                <w:lang w:val="sl-SI" w:eastAsia="en-GB"/>
              </w:rPr>
              <w:t xml:space="preserve"> 6 and 15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referenced</w:t>
            </w:r>
            <w:proofErr w:type="spellEnd"/>
            <w:r w:rsidRPr="00275FBD">
              <w:rPr>
                <w:rFonts w:ascii="Calibri" w:hAnsi="Calibri"/>
                <w:color w:val="000000" w:themeColor="text1"/>
                <w:sz w:val="18"/>
                <w:szCs w:val="18"/>
                <w:lang w:val="sl-SI" w:eastAsia="en-GB"/>
              </w:rPr>
              <w:t>.</w:t>
            </w:r>
          </w:p>
          <w:p w14:paraId="5CBF0C3E" w14:textId="77777777" w:rsidR="00935B67" w:rsidRPr="00275FBD" w:rsidRDefault="00935B67" w:rsidP="00935B67">
            <w:pPr>
              <w:spacing w:before="0" w:after="0"/>
              <w:jc w:val="left"/>
              <w:rPr>
                <w:rFonts w:ascii="Calibri" w:hAnsi="Calibri"/>
                <w:b/>
                <w:bCs/>
                <w:color w:val="000000" w:themeColor="text1"/>
                <w:sz w:val="18"/>
                <w:szCs w:val="18"/>
                <w:lang w:val="sl-SI" w:eastAsia="en-GB"/>
              </w:rPr>
            </w:pPr>
          </w:p>
        </w:tc>
        <w:tc>
          <w:tcPr>
            <w:tcW w:w="993" w:type="dxa"/>
          </w:tcPr>
          <w:p w14:paraId="2845A11C"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3.2.3</w:t>
            </w:r>
          </w:p>
        </w:tc>
        <w:tc>
          <w:tcPr>
            <w:tcW w:w="5244" w:type="dxa"/>
          </w:tcPr>
          <w:p w14:paraId="124268F2"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 xml:space="preserve">It is </w:t>
            </w:r>
            <w:proofErr w:type="spellStart"/>
            <w:r w:rsidRPr="00275FBD">
              <w:rPr>
                <w:rFonts w:ascii="Calibri" w:hAnsi="Calibri"/>
                <w:color w:val="000000" w:themeColor="text1"/>
                <w:sz w:val="18"/>
                <w:szCs w:val="18"/>
                <w:lang w:val="sl-SI" w:eastAsia="en-GB"/>
              </w:rPr>
              <w:t>required</w:t>
            </w:r>
            <w:proofErr w:type="spellEnd"/>
            <w:r w:rsidRPr="00275FBD">
              <w:rPr>
                <w:rFonts w:ascii="Calibri" w:hAnsi="Calibri"/>
                <w:color w:val="000000" w:themeColor="text1"/>
                <w:sz w:val="18"/>
                <w:szCs w:val="18"/>
                <w:lang w:val="sl-SI" w:eastAsia="en-GB"/>
              </w:rPr>
              <w:t xml:space="preserve"> by the </w:t>
            </w:r>
            <w:proofErr w:type="spellStart"/>
            <w:r w:rsidRPr="00275FBD">
              <w:rPr>
                <w:rFonts w:ascii="Calibri" w:hAnsi="Calibri"/>
                <w:color w:val="000000" w:themeColor="text1"/>
                <w:sz w:val="18"/>
                <w:szCs w:val="18"/>
                <w:lang w:val="sl-SI" w:eastAsia="en-GB"/>
              </w:rPr>
              <w:t>Rules</w:t>
            </w:r>
            <w:proofErr w:type="spellEnd"/>
            <w:r w:rsidRPr="00275FBD">
              <w:rPr>
                <w:rFonts w:ascii="Calibri" w:hAnsi="Calibri"/>
                <w:color w:val="000000" w:themeColor="text1"/>
                <w:sz w:val="18"/>
                <w:szCs w:val="18"/>
                <w:lang w:val="sl-SI" w:eastAsia="en-GB"/>
              </w:rPr>
              <w:t xml:space="preserve"> JV5 and </w:t>
            </w:r>
            <w:proofErr w:type="spellStart"/>
            <w:r w:rsidRPr="00275FBD">
              <w:rPr>
                <w:rFonts w:ascii="Calibri" w:hAnsi="Calibri"/>
                <w:color w:val="000000" w:themeColor="text1"/>
                <w:sz w:val="18"/>
                <w:szCs w:val="18"/>
                <w:lang w:val="sl-SI" w:eastAsia="en-GB"/>
              </w:rPr>
              <w:t>international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standards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e.g</w:t>
            </w:r>
            <w:proofErr w:type="spellEnd"/>
            <w:r w:rsidRPr="00275FBD">
              <w:rPr>
                <w:rFonts w:ascii="Calibri" w:hAnsi="Calibri"/>
                <w:color w:val="000000" w:themeColor="text1"/>
                <w:sz w:val="18"/>
                <w:szCs w:val="18"/>
                <w:lang w:val="sl-SI" w:eastAsia="en-GB"/>
              </w:rPr>
              <w:t xml:space="preserve">. IAEA GRS Part 4 that the </w:t>
            </w:r>
            <w:proofErr w:type="spellStart"/>
            <w:r w:rsidRPr="00275FBD">
              <w:rPr>
                <w:rFonts w:ascii="Calibri" w:hAnsi="Calibri"/>
                <w:color w:val="000000" w:themeColor="text1"/>
                <w:sz w:val="18"/>
                <w:szCs w:val="18"/>
                <w:lang w:val="sl-SI" w:eastAsia="en-GB"/>
              </w:rPr>
              <w:t>calculational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methods</w:t>
            </w:r>
            <w:proofErr w:type="spellEnd"/>
            <w:r w:rsidRPr="00275FBD">
              <w:rPr>
                <w:rFonts w:ascii="Calibri" w:hAnsi="Calibri"/>
                <w:color w:val="000000" w:themeColor="text1"/>
                <w:sz w:val="18"/>
                <w:szCs w:val="18"/>
                <w:lang w:val="sl-SI" w:eastAsia="en-GB"/>
              </w:rPr>
              <w:t xml:space="preserve"> and </w:t>
            </w:r>
            <w:proofErr w:type="spellStart"/>
            <w:r w:rsidRPr="00275FBD">
              <w:rPr>
                <w:rFonts w:ascii="Calibri" w:hAnsi="Calibri"/>
                <w:color w:val="000000" w:themeColor="text1"/>
                <w:sz w:val="18"/>
                <w:szCs w:val="18"/>
                <w:lang w:val="sl-SI" w:eastAsia="en-GB"/>
              </w:rPr>
              <w:t>computer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codes</w:t>
            </w:r>
            <w:proofErr w:type="spellEnd"/>
            <w:r w:rsidRPr="00275FBD">
              <w:rPr>
                <w:rFonts w:ascii="Calibri" w:hAnsi="Calibri"/>
                <w:color w:val="000000" w:themeColor="text1"/>
                <w:sz w:val="18"/>
                <w:szCs w:val="18"/>
                <w:lang w:val="sl-SI" w:eastAsia="en-GB"/>
              </w:rPr>
              <w:t xml:space="preserve"> used in the </w:t>
            </w:r>
            <w:proofErr w:type="spellStart"/>
            <w:r w:rsidRPr="00275FBD">
              <w:rPr>
                <w:rFonts w:ascii="Calibri" w:hAnsi="Calibri"/>
                <w:color w:val="000000" w:themeColor="text1"/>
                <w:sz w:val="18"/>
                <w:szCs w:val="18"/>
                <w:lang w:val="sl-SI" w:eastAsia="en-GB"/>
              </w:rPr>
              <w:t>safety</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analysis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shall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undergo</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verification</w:t>
            </w:r>
            <w:proofErr w:type="spellEnd"/>
            <w:r w:rsidRPr="00275FBD">
              <w:rPr>
                <w:rFonts w:ascii="Calibri" w:hAnsi="Calibri"/>
                <w:color w:val="000000" w:themeColor="text1"/>
                <w:sz w:val="18"/>
                <w:szCs w:val="18"/>
                <w:lang w:val="sl-SI" w:eastAsia="en-GB"/>
              </w:rPr>
              <w:t xml:space="preserve"> and </w:t>
            </w:r>
            <w:proofErr w:type="spellStart"/>
            <w:r w:rsidRPr="00275FBD">
              <w:rPr>
                <w:rFonts w:ascii="Calibri" w:hAnsi="Calibri"/>
                <w:color w:val="000000" w:themeColor="text1"/>
                <w:sz w:val="18"/>
                <w:szCs w:val="18"/>
                <w:lang w:val="sl-SI" w:eastAsia="en-GB"/>
              </w:rPr>
              <w:t>validation</w:t>
            </w:r>
            <w:proofErr w:type="spellEnd"/>
            <w:r w:rsidRPr="00275FBD">
              <w:rPr>
                <w:rFonts w:ascii="Calibri" w:hAnsi="Calibri"/>
                <w:color w:val="000000" w:themeColor="text1"/>
                <w:sz w:val="18"/>
                <w:szCs w:val="18"/>
                <w:lang w:val="sl-SI" w:eastAsia="en-GB"/>
              </w:rPr>
              <w:t xml:space="preserve">. It is </w:t>
            </w:r>
            <w:proofErr w:type="spellStart"/>
            <w:r w:rsidRPr="00275FBD">
              <w:rPr>
                <w:rFonts w:ascii="Calibri" w:hAnsi="Calibri"/>
                <w:color w:val="000000" w:themeColor="text1"/>
                <w:sz w:val="18"/>
                <w:szCs w:val="18"/>
                <w:lang w:val="sl-SI" w:eastAsia="en-GB"/>
              </w:rPr>
              <w:t>necessary</w:t>
            </w:r>
            <w:proofErr w:type="spellEnd"/>
            <w:r w:rsidRPr="00275FBD">
              <w:rPr>
                <w:rFonts w:ascii="Calibri" w:hAnsi="Calibri"/>
                <w:color w:val="000000" w:themeColor="text1"/>
                <w:sz w:val="18"/>
                <w:szCs w:val="18"/>
                <w:lang w:val="sl-SI" w:eastAsia="en-GB"/>
              </w:rPr>
              <w:t xml:space="preserve"> that the </w:t>
            </w:r>
            <w:proofErr w:type="spellStart"/>
            <w:r w:rsidRPr="00275FBD">
              <w:rPr>
                <w:rFonts w:ascii="Calibri" w:hAnsi="Calibri"/>
                <w:color w:val="000000" w:themeColor="text1"/>
                <w:sz w:val="18"/>
                <w:szCs w:val="18"/>
                <w:lang w:val="sl-SI" w:eastAsia="en-GB"/>
              </w:rPr>
              <w:t>code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documentation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regarding</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verification</w:t>
            </w:r>
            <w:proofErr w:type="spellEnd"/>
            <w:r w:rsidRPr="00275FBD">
              <w:rPr>
                <w:rFonts w:ascii="Calibri" w:hAnsi="Calibri"/>
                <w:color w:val="000000" w:themeColor="text1"/>
                <w:sz w:val="18"/>
                <w:szCs w:val="18"/>
                <w:lang w:val="sl-SI" w:eastAsia="en-GB"/>
              </w:rPr>
              <w:t xml:space="preserve"> and </w:t>
            </w:r>
            <w:proofErr w:type="spellStart"/>
            <w:r w:rsidRPr="00275FBD">
              <w:rPr>
                <w:rFonts w:ascii="Calibri" w:hAnsi="Calibri"/>
                <w:color w:val="000000" w:themeColor="text1"/>
                <w:sz w:val="18"/>
                <w:szCs w:val="18"/>
                <w:lang w:val="sl-SI" w:eastAsia="en-GB"/>
              </w:rPr>
              <w:t>validation</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computer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codes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referenced</w:t>
            </w:r>
            <w:proofErr w:type="spellEnd"/>
            <w:r w:rsidRPr="00275FBD">
              <w:rPr>
                <w:rFonts w:ascii="Calibri" w:hAnsi="Calibri"/>
                <w:color w:val="000000" w:themeColor="text1"/>
                <w:sz w:val="18"/>
                <w:szCs w:val="18"/>
                <w:lang w:val="sl-SI" w:eastAsia="en-GB"/>
              </w:rPr>
              <w:t xml:space="preserve"> in the </w:t>
            </w:r>
            <w:proofErr w:type="spellStart"/>
            <w:r w:rsidRPr="00275FBD">
              <w:rPr>
                <w:rFonts w:ascii="Calibri" w:hAnsi="Calibri"/>
                <w:color w:val="000000" w:themeColor="text1"/>
                <w:sz w:val="18"/>
                <w:szCs w:val="18"/>
                <w:lang w:val="sl-SI" w:eastAsia="en-GB"/>
              </w:rPr>
              <w:t>relevant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project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documentation</w:t>
            </w:r>
            <w:proofErr w:type="spellEnd"/>
            <w:r w:rsidRPr="00275FBD">
              <w:rPr>
                <w:rFonts w:ascii="Calibri" w:hAnsi="Calibri"/>
                <w:color w:val="000000" w:themeColor="text1"/>
                <w:sz w:val="18"/>
                <w:szCs w:val="18"/>
                <w:lang w:val="sl-SI" w:eastAsia="en-GB"/>
              </w:rPr>
              <w:t>.</w:t>
            </w:r>
          </w:p>
        </w:tc>
        <w:tc>
          <w:tcPr>
            <w:tcW w:w="2694" w:type="dxa"/>
          </w:tcPr>
          <w:p w14:paraId="18C0C11E"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24FB8D5D" w14:textId="77777777" w:rsidTr="00935B67">
        <w:tc>
          <w:tcPr>
            <w:tcW w:w="1384" w:type="dxa"/>
            <w:shd w:val="clear" w:color="auto" w:fill="CC99FF"/>
          </w:tcPr>
          <w:p w14:paraId="3A6729E0"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sz w:val="18"/>
                <w:szCs w:val="18"/>
                <w:lang w:val="sl-SI" w:eastAsia="en-GB"/>
              </w:rPr>
              <w:t>PSR3 2.2-002</w:t>
            </w:r>
          </w:p>
        </w:tc>
        <w:tc>
          <w:tcPr>
            <w:tcW w:w="3827" w:type="dxa"/>
          </w:tcPr>
          <w:p w14:paraId="22BE4D38" w14:textId="77777777" w:rsidR="00935B67" w:rsidRPr="00275FBD" w:rsidRDefault="00935B67" w:rsidP="00935B67">
            <w:pPr>
              <w:jc w:val="left"/>
              <w:rPr>
                <w:rFonts w:ascii="Calibri" w:hAnsi="Calibri"/>
                <w:color w:val="000000"/>
                <w:sz w:val="18"/>
                <w:szCs w:val="18"/>
                <w:lang w:val="sl-SI" w:eastAsia="en-GB"/>
              </w:rPr>
            </w:pPr>
            <w:proofErr w:type="spellStart"/>
            <w:r w:rsidRPr="00275FBD">
              <w:rPr>
                <w:rFonts w:ascii="Calibri" w:hAnsi="Calibri"/>
                <w:color w:val="000000"/>
                <w:sz w:val="18"/>
                <w:szCs w:val="18"/>
                <w:lang w:val="sl-SI" w:eastAsia="en-GB"/>
              </w:rPr>
              <w:t>Dependencies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among</w:t>
            </w:r>
            <w:proofErr w:type="spellEnd"/>
            <w:r w:rsidRPr="00275FBD">
              <w:rPr>
                <w:rFonts w:ascii="Calibri" w:hAnsi="Calibri"/>
                <w:color w:val="000000"/>
                <w:sz w:val="18"/>
                <w:szCs w:val="18"/>
                <w:lang w:val="sl-SI" w:eastAsia="en-GB"/>
              </w:rPr>
              <w:t xml:space="preserve"> human </w:t>
            </w:r>
            <w:proofErr w:type="spellStart"/>
            <w:r w:rsidRPr="00275FBD">
              <w:rPr>
                <w:rFonts w:ascii="Calibri" w:hAnsi="Calibri"/>
                <w:color w:val="000000"/>
                <w:sz w:val="18"/>
                <w:szCs w:val="18"/>
                <w:lang w:val="sl-SI" w:eastAsia="en-GB"/>
              </w:rPr>
              <w:t>errors</w:t>
            </w:r>
            <w:proofErr w:type="spellEnd"/>
            <w:r w:rsidRPr="00275FBD">
              <w:rPr>
                <w:rFonts w:ascii="Calibri" w:hAnsi="Calibri"/>
                <w:color w:val="000000"/>
                <w:sz w:val="18"/>
                <w:szCs w:val="18"/>
                <w:lang w:val="sl-SI" w:eastAsia="en-GB"/>
              </w:rPr>
              <w:t xml:space="preserve"> in PSA; </w:t>
            </w:r>
            <w:proofErr w:type="spellStart"/>
            <w:r w:rsidRPr="00275FBD">
              <w:rPr>
                <w:rFonts w:ascii="Calibri" w:hAnsi="Calibri"/>
                <w:color w:val="000000"/>
                <w:sz w:val="18"/>
                <w:szCs w:val="18"/>
                <w:lang w:val="sl-SI" w:eastAsia="en-GB"/>
              </w:rPr>
              <w:t>Systems</w:t>
            </w:r>
            <w:proofErr w:type="spellEnd"/>
            <w:r w:rsidRPr="00275FBD">
              <w:rPr>
                <w:rFonts w:ascii="Calibri" w:hAnsi="Calibri"/>
                <w:color w:val="000000"/>
                <w:sz w:val="18"/>
                <w:szCs w:val="18"/>
                <w:lang w:val="sl-SI" w:eastAsia="en-GB"/>
              </w:rPr>
              <w:t xml:space="preserve"> / </w:t>
            </w:r>
            <w:proofErr w:type="spellStart"/>
            <w:r w:rsidRPr="00275FBD">
              <w:rPr>
                <w:rFonts w:ascii="Calibri" w:hAnsi="Calibri"/>
                <w:color w:val="000000"/>
                <w:sz w:val="18"/>
                <w:szCs w:val="18"/>
                <w:lang w:val="sl-SI" w:eastAsia="en-GB"/>
              </w:rPr>
              <w:t>functions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Cold</w:t>
            </w:r>
            <w:proofErr w:type="spellEnd"/>
            <w:r w:rsidRPr="00275FBD">
              <w:rPr>
                <w:rFonts w:ascii="Calibri" w:hAnsi="Calibri"/>
                <w:color w:val="000000"/>
                <w:sz w:val="18"/>
                <w:szCs w:val="18"/>
                <w:lang w:val="sl-SI" w:eastAsia="en-GB"/>
              </w:rPr>
              <w:t xml:space="preserve"> Shutdown </w:t>
            </w:r>
            <w:proofErr w:type="spellStart"/>
            <w:r w:rsidRPr="00275FBD">
              <w:rPr>
                <w:rFonts w:ascii="Calibri" w:hAnsi="Calibri"/>
                <w:color w:val="000000"/>
                <w:sz w:val="18"/>
                <w:szCs w:val="18"/>
                <w:lang w:val="sl-SI" w:eastAsia="en-GB"/>
              </w:rPr>
              <w:t>functions</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initiators</w:t>
            </w:r>
            <w:proofErr w:type="spellEnd"/>
            <w:r w:rsidRPr="00275FBD">
              <w:rPr>
                <w:rFonts w:ascii="Calibri" w:hAnsi="Calibri"/>
                <w:color w:val="000000"/>
                <w:sz w:val="18"/>
                <w:szCs w:val="18"/>
                <w:lang w:val="sl-SI" w:eastAsia="en-GB"/>
              </w:rPr>
              <w:t xml:space="preserve">; Risk / DOD </w:t>
            </w:r>
            <w:proofErr w:type="spellStart"/>
            <w:r w:rsidRPr="00275FBD">
              <w:rPr>
                <w:rFonts w:ascii="Calibri" w:hAnsi="Calibri"/>
                <w:color w:val="000000"/>
                <w:sz w:val="18"/>
                <w:szCs w:val="18"/>
                <w:lang w:val="sl-SI" w:eastAsia="en-GB"/>
              </w:rPr>
              <w:t>significance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discrepancy</w:t>
            </w:r>
            <w:proofErr w:type="spellEnd"/>
            <w:r w:rsidRPr="00275FBD">
              <w:rPr>
                <w:rFonts w:ascii="Calibri" w:hAnsi="Calibri"/>
                <w:color w:val="000000"/>
                <w:sz w:val="18"/>
                <w:szCs w:val="18"/>
                <w:lang w:val="sl-SI" w:eastAsia="en-GB"/>
              </w:rPr>
              <w:t xml:space="preserve"> with </w:t>
            </w:r>
            <w:proofErr w:type="spellStart"/>
            <w:r w:rsidRPr="00275FBD">
              <w:rPr>
                <w:rFonts w:ascii="Calibri" w:hAnsi="Calibri"/>
                <w:color w:val="000000"/>
                <w:sz w:val="18"/>
                <w:szCs w:val="18"/>
                <w:lang w:val="sl-SI" w:eastAsia="en-GB"/>
              </w:rPr>
              <w:t>international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standards</w:t>
            </w:r>
            <w:proofErr w:type="spellEnd"/>
            <w:r w:rsidRPr="00275FBD">
              <w:rPr>
                <w:rFonts w:ascii="Calibri" w:hAnsi="Calibri"/>
                <w:color w:val="000000"/>
                <w:sz w:val="18"/>
                <w:szCs w:val="18"/>
                <w:lang w:val="sl-SI" w:eastAsia="en-GB"/>
              </w:rPr>
              <w:t xml:space="preserve"> - TL.</w:t>
            </w:r>
          </w:p>
          <w:p w14:paraId="79A524D2" w14:textId="77777777" w:rsidR="00935B67" w:rsidRPr="00275FBD" w:rsidRDefault="00935B67" w:rsidP="00935B67">
            <w:pPr>
              <w:jc w:val="left"/>
              <w:rPr>
                <w:rFonts w:ascii="Calibri" w:hAnsi="Calibri"/>
                <w:b/>
                <w:bCs/>
                <w:color w:val="000000"/>
                <w:sz w:val="18"/>
                <w:szCs w:val="18"/>
                <w:lang w:val="sl-SI" w:eastAsia="en-GB"/>
              </w:rPr>
            </w:pPr>
            <w:proofErr w:type="spellStart"/>
            <w:r w:rsidRPr="00275FBD">
              <w:rPr>
                <w:rFonts w:ascii="Calibri" w:hAnsi="Calibri"/>
                <w:b/>
                <w:bCs/>
                <w:color w:val="000000"/>
                <w:sz w:val="18"/>
                <w:szCs w:val="18"/>
                <w:lang w:val="sl-SI" w:eastAsia="en-GB"/>
              </w:rPr>
              <w:t>Dependencies</w:t>
            </w:r>
            <w:proofErr w:type="spellEnd"/>
            <w:r w:rsidRPr="00275FBD">
              <w:rPr>
                <w:rFonts w:ascii="Calibri" w:hAnsi="Calibri"/>
                <w:b/>
                <w:bCs/>
                <w:color w:val="000000"/>
                <w:sz w:val="18"/>
                <w:szCs w:val="18"/>
                <w:lang w:val="sl-SI" w:eastAsia="en-GB"/>
              </w:rPr>
              <w:t xml:space="preserve"> </w:t>
            </w:r>
            <w:proofErr w:type="spellStart"/>
            <w:r w:rsidRPr="00275FBD">
              <w:rPr>
                <w:rFonts w:ascii="Calibri" w:hAnsi="Calibri"/>
                <w:b/>
                <w:bCs/>
                <w:color w:val="000000"/>
                <w:sz w:val="18"/>
                <w:szCs w:val="18"/>
                <w:lang w:val="sl-SI" w:eastAsia="en-GB"/>
              </w:rPr>
              <w:t>between</w:t>
            </w:r>
            <w:proofErr w:type="spellEnd"/>
            <w:r w:rsidRPr="00275FBD">
              <w:rPr>
                <w:rFonts w:ascii="Calibri" w:hAnsi="Calibri"/>
                <w:b/>
                <w:bCs/>
                <w:color w:val="000000"/>
                <w:sz w:val="18"/>
                <w:szCs w:val="18"/>
                <w:lang w:val="sl-SI" w:eastAsia="en-GB"/>
              </w:rPr>
              <w:t xml:space="preserve"> human </w:t>
            </w:r>
            <w:proofErr w:type="spellStart"/>
            <w:r w:rsidRPr="00275FBD">
              <w:rPr>
                <w:rFonts w:ascii="Calibri" w:hAnsi="Calibri"/>
                <w:b/>
                <w:bCs/>
                <w:color w:val="000000"/>
                <w:sz w:val="18"/>
                <w:szCs w:val="18"/>
                <w:lang w:val="sl-SI" w:eastAsia="en-GB"/>
              </w:rPr>
              <w:t>errors</w:t>
            </w:r>
            <w:proofErr w:type="spellEnd"/>
            <w:r w:rsidRPr="00275FBD">
              <w:rPr>
                <w:rFonts w:ascii="Calibri" w:hAnsi="Calibri"/>
                <w:b/>
                <w:bCs/>
                <w:color w:val="000000"/>
                <w:sz w:val="18"/>
                <w:szCs w:val="18"/>
                <w:lang w:val="sl-SI" w:eastAsia="en-GB"/>
              </w:rPr>
              <w:t xml:space="preserve"> for </w:t>
            </w:r>
            <w:proofErr w:type="spellStart"/>
            <w:r w:rsidRPr="00275FBD">
              <w:rPr>
                <w:rFonts w:ascii="Calibri" w:hAnsi="Calibri"/>
                <w:b/>
                <w:bCs/>
                <w:color w:val="000000"/>
                <w:sz w:val="18"/>
                <w:szCs w:val="18"/>
                <w:lang w:val="sl-SI" w:eastAsia="en-GB"/>
              </w:rPr>
              <w:t>Cold</w:t>
            </w:r>
            <w:proofErr w:type="spellEnd"/>
            <w:r w:rsidRPr="00275FBD">
              <w:rPr>
                <w:rFonts w:ascii="Calibri" w:hAnsi="Calibri"/>
                <w:b/>
                <w:bCs/>
                <w:color w:val="000000"/>
                <w:sz w:val="18"/>
                <w:szCs w:val="18"/>
                <w:lang w:val="sl-SI" w:eastAsia="en-GB"/>
              </w:rPr>
              <w:t xml:space="preserve"> Shutdown</w:t>
            </w:r>
          </w:p>
          <w:p w14:paraId="4F82976E"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Evaluation of the Shutdown PSA is </w:t>
            </w:r>
            <w:proofErr w:type="spellStart"/>
            <w:r w:rsidRPr="00275FBD">
              <w:rPr>
                <w:rFonts w:ascii="Calibri" w:hAnsi="Calibri"/>
                <w:color w:val="000000"/>
                <w:sz w:val="18"/>
                <w:szCs w:val="18"/>
                <w:lang w:val="sl-SI" w:eastAsia="en-GB"/>
              </w:rPr>
              <w:t>needed</w:t>
            </w:r>
            <w:proofErr w:type="spellEnd"/>
            <w:r w:rsidRPr="00275FBD">
              <w:rPr>
                <w:rFonts w:ascii="Calibri" w:hAnsi="Calibri"/>
                <w:color w:val="000000"/>
                <w:sz w:val="18"/>
                <w:szCs w:val="18"/>
                <w:lang w:val="sl-SI" w:eastAsia="en-GB"/>
              </w:rPr>
              <w:t xml:space="preserve"> to </w:t>
            </w:r>
            <w:proofErr w:type="spellStart"/>
            <w:r w:rsidRPr="00275FBD">
              <w:rPr>
                <w:rFonts w:ascii="Calibri" w:hAnsi="Calibri"/>
                <w:color w:val="000000"/>
                <w:sz w:val="18"/>
                <w:szCs w:val="18"/>
                <w:lang w:val="sl-SI" w:eastAsia="en-GB"/>
              </w:rPr>
              <w:t>justify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assumed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independencies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between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Type</w:t>
            </w:r>
            <w:proofErr w:type="spellEnd"/>
            <w:r w:rsidRPr="00275FBD">
              <w:rPr>
                <w:rFonts w:ascii="Calibri" w:hAnsi="Calibri"/>
                <w:color w:val="000000"/>
                <w:sz w:val="18"/>
                <w:szCs w:val="18"/>
                <w:lang w:val="sl-SI" w:eastAsia="en-GB"/>
              </w:rPr>
              <w:t xml:space="preserve"> B human </w:t>
            </w:r>
            <w:proofErr w:type="spellStart"/>
            <w:r w:rsidRPr="00275FBD">
              <w:rPr>
                <w:rFonts w:ascii="Calibri" w:hAnsi="Calibri"/>
                <w:color w:val="000000"/>
                <w:sz w:val="18"/>
                <w:szCs w:val="18"/>
                <w:lang w:val="sl-SI" w:eastAsia="en-GB"/>
              </w:rPr>
              <w:t>errors</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errors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made</w:t>
            </w:r>
            <w:proofErr w:type="spellEnd"/>
            <w:r w:rsidRPr="00275FBD">
              <w:rPr>
                <w:rFonts w:ascii="Calibri" w:hAnsi="Calibri"/>
                <w:color w:val="000000"/>
                <w:sz w:val="18"/>
                <w:szCs w:val="18"/>
                <w:lang w:val="sl-SI" w:eastAsia="en-GB"/>
              </w:rPr>
              <w:t xml:space="preserve"> in </w:t>
            </w:r>
            <w:proofErr w:type="spellStart"/>
            <w:r w:rsidRPr="00275FBD">
              <w:rPr>
                <w:rFonts w:ascii="Calibri" w:hAnsi="Calibri"/>
                <w:color w:val="000000"/>
                <w:sz w:val="18"/>
                <w:szCs w:val="18"/>
                <w:lang w:val="sl-SI" w:eastAsia="en-GB"/>
              </w:rPr>
              <w:t>responding</w:t>
            </w:r>
            <w:proofErr w:type="spellEnd"/>
            <w:r w:rsidRPr="00275FBD">
              <w:rPr>
                <w:rFonts w:ascii="Calibri" w:hAnsi="Calibri"/>
                <w:color w:val="000000"/>
                <w:sz w:val="18"/>
                <w:szCs w:val="18"/>
                <w:lang w:val="sl-SI" w:eastAsia="en-GB"/>
              </w:rPr>
              <w:t xml:space="preserve"> to </w:t>
            </w:r>
            <w:proofErr w:type="spellStart"/>
            <w:r w:rsidRPr="00275FBD">
              <w:rPr>
                <w:rFonts w:ascii="Calibri" w:hAnsi="Calibri"/>
                <w:color w:val="000000"/>
                <w:sz w:val="18"/>
                <w:szCs w:val="18"/>
                <w:lang w:val="sl-SI" w:eastAsia="en-GB"/>
              </w:rPr>
              <w:t>those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events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Type</w:t>
            </w:r>
            <w:proofErr w:type="spellEnd"/>
            <w:r w:rsidRPr="00275FBD">
              <w:rPr>
                <w:rFonts w:ascii="Calibri" w:hAnsi="Calibri"/>
                <w:color w:val="000000"/>
                <w:sz w:val="18"/>
                <w:szCs w:val="18"/>
                <w:lang w:val="sl-SI" w:eastAsia="en-GB"/>
              </w:rPr>
              <w:t xml:space="preserve"> C human </w:t>
            </w:r>
            <w:proofErr w:type="spellStart"/>
            <w:r w:rsidRPr="00275FBD">
              <w:rPr>
                <w:rFonts w:ascii="Calibri" w:hAnsi="Calibri"/>
                <w:color w:val="000000"/>
                <w:sz w:val="18"/>
                <w:szCs w:val="18"/>
                <w:lang w:val="sl-SI" w:eastAsia="en-GB"/>
              </w:rPr>
              <w:t>errors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modeled</w:t>
            </w:r>
            <w:proofErr w:type="spellEnd"/>
            <w:r w:rsidRPr="00275FBD">
              <w:rPr>
                <w:rFonts w:ascii="Calibri" w:hAnsi="Calibri"/>
                <w:color w:val="000000"/>
                <w:sz w:val="18"/>
                <w:szCs w:val="18"/>
                <w:lang w:val="sl-SI" w:eastAsia="en-GB"/>
              </w:rPr>
              <w:t xml:space="preserve"> in NEK Shutdown PSA. State-of-the-</w:t>
            </w:r>
            <w:proofErr w:type="spellStart"/>
            <w:r w:rsidRPr="00275FBD">
              <w:rPr>
                <w:rFonts w:ascii="Calibri" w:hAnsi="Calibri"/>
                <w:color w:val="000000"/>
                <w:sz w:val="18"/>
                <w:szCs w:val="18"/>
                <w:lang w:val="sl-SI" w:eastAsia="en-GB"/>
              </w:rPr>
              <w:t>art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international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standards</w:t>
            </w:r>
            <w:proofErr w:type="spellEnd"/>
            <w:r w:rsidRPr="00275FBD">
              <w:rPr>
                <w:rFonts w:ascii="Calibri" w:hAnsi="Calibri"/>
                <w:color w:val="000000"/>
                <w:sz w:val="18"/>
                <w:szCs w:val="18"/>
                <w:lang w:val="sl-SI" w:eastAsia="en-GB"/>
              </w:rPr>
              <w:t xml:space="preserve"> for PSA, </w:t>
            </w:r>
            <w:proofErr w:type="spellStart"/>
            <w:r w:rsidRPr="00275FBD">
              <w:rPr>
                <w:rFonts w:ascii="Calibri" w:hAnsi="Calibri"/>
                <w:color w:val="000000"/>
                <w:sz w:val="18"/>
                <w:szCs w:val="18"/>
                <w:lang w:val="sl-SI" w:eastAsia="en-GB"/>
              </w:rPr>
              <w:t>such</w:t>
            </w:r>
            <w:proofErr w:type="spellEnd"/>
            <w:r w:rsidRPr="00275FBD">
              <w:rPr>
                <w:rFonts w:ascii="Calibri" w:hAnsi="Calibri"/>
                <w:color w:val="000000"/>
                <w:sz w:val="18"/>
                <w:szCs w:val="18"/>
                <w:lang w:val="sl-SI" w:eastAsia="en-GB"/>
              </w:rPr>
              <w:t xml:space="preserve"> as the </w:t>
            </w:r>
            <w:proofErr w:type="spellStart"/>
            <w:r w:rsidRPr="00275FBD">
              <w:rPr>
                <w:rFonts w:ascii="Calibri" w:hAnsi="Calibri"/>
                <w:color w:val="000000"/>
                <w:sz w:val="18"/>
                <w:szCs w:val="18"/>
                <w:lang w:val="sl-SI" w:eastAsia="en-GB"/>
              </w:rPr>
              <w:t>IAEA’s</w:t>
            </w:r>
            <w:proofErr w:type="spellEnd"/>
            <w:r w:rsidRPr="00275FBD">
              <w:rPr>
                <w:rFonts w:ascii="Calibri" w:hAnsi="Calibri"/>
                <w:color w:val="000000"/>
                <w:sz w:val="18"/>
                <w:szCs w:val="18"/>
                <w:lang w:val="sl-SI" w:eastAsia="en-GB"/>
              </w:rPr>
              <w:t xml:space="preserve"> SSG-3 </w:t>
            </w:r>
            <w:proofErr w:type="spellStart"/>
            <w:r w:rsidRPr="00275FBD">
              <w:rPr>
                <w:rFonts w:ascii="Calibri" w:hAnsi="Calibri"/>
                <w:color w:val="000000"/>
                <w:sz w:val="18"/>
                <w:szCs w:val="18"/>
                <w:lang w:val="sl-SI" w:eastAsia="en-GB"/>
              </w:rPr>
              <w:t>require</w:t>
            </w:r>
            <w:proofErr w:type="spellEnd"/>
            <w:r w:rsidRPr="00275FBD">
              <w:rPr>
                <w:rFonts w:ascii="Calibri" w:hAnsi="Calibri"/>
                <w:color w:val="000000"/>
                <w:sz w:val="18"/>
                <w:szCs w:val="18"/>
                <w:lang w:val="sl-SI" w:eastAsia="en-GB"/>
              </w:rPr>
              <w:t xml:space="preserve"> that </w:t>
            </w:r>
            <w:proofErr w:type="spellStart"/>
            <w:r w:rsidRPr="00275FBD">
              <w:rPr>
                <w:rFonts w:ascii="Calibri" w:hAnsi="Calibri"/>
                <w:color w:val="000000"/>
                <w:sz w:val="18"/>
                <w:szCs w:val="18"/>
                <w:lang w:val="sl-SI" w:eastAsia="en-GB"/>
              </w:rPr>
              <w:t>dependency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evaluation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among</w:t>
            </w:r>
            <w:proofErr w:type="spellEnd"/>
            <w:r w:rsidRPr="00275FBD">
              <w:rPr>
                <w:rFonts w:ascii="Calibri" w:hAnsi="Calibri"/>
                <w:color w:val="000000"/>
                <w:sz w:val="18"/>
                <w:szCs w:val="18"/>
                <w:lang w:val="sl-SI" w:eastAsia="en-GB"/>
              </w:rPr>
              <w:t xml:space="preserve"> the human </w:t>
            </w:r>
            <w:proofErr w:type="spellStart"/>
            <w:r w:rsidRPr="00275FBD">
              <w:rPr>
                <w:rFonts w:ascii="Calibri" w:hAnsi="Calibri"/>
                <w:color w:val="000000"/>
                <w:sz w:val="18"/>
                <w:szCs w:val="18"/>
                <w:lang w:val="sl-SI" w:eastAsia="en-GB"/>
              </w:rPr>
              <w:t>errors</w:t>
            </w:r>
            <w:proofErr w:type="spellEnd"/>
            <w:r w:rsidRPr="00275FBD">
              <w:rPr>
                <w:rFonts w:ascii="Calibri" w:hAnsi="Calibri"/>
                <w:color w:val="000000"/>
                <w:sz w:val="18"/>
                <w:szCs w:val="18"/>
                <w:lang w:val="sl-SI" w:eastAsia="en-GB"/>
              </w:rPr>
              <w:t xml:space="preserve"> is performed as a part of human </w:t>
            </w:r>
            <w:proofErr w:type="spellStart"/>
            <w:r w:rsidRPr="00275FBD">
              <w:rPr>
                <w:rFonts w:ascii="Calibri" w:hAnsi="Calibri"/>
                <w:color w:val="000000"/>
                <w:sz w:val="18"/>
                <w:szCs w:val="18"/>
                <w:lang w:val="sl-SI" w:eastAsia="en-GB"/>
              </w:rPr>
              <w:t>reliability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analysis</w:t>
            </w:r>
            <w:proofErr w:type="spellEnd"/>
            <w:r w:rsidRPr="00275FBD">
              <w:rPr>
                <w:rFonts w:ascii="Calibri" w:hAnsi="Calibri"/>
                <w:color w:val="000000"/>
                <w:sz w:val="18"/>
                <w:szCs w:val="18"/>
                <w:lang w:val="sl-SI" w:eastAsia="en-GB"/>
              </w:rPr>
              <w:t>.</w:t>
            </w:r>
          </w:p>
        </w:tc>
        <w:tc>
          <w:tcPr>
            <w:tcW w:w="993" w:type="dxa"/>
          </w:tcPr>
          <w:p w14:paraId="5FF83CA3"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3.1.2</w:t>
            </w:r>
          </w:p>
        </w:tc>
        <w:tc>
          <w:tcPr>
            <w:tcW w:w="5244" w:type="dxa"/>
          </w:tcPr>
          <w:p w14:paraId="513B25B6"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The SNSA </w:t>
            </w:r>
            <w:proofErr w:type="spellStart"/>
            <w:r w:rsidRPr="00275FBD">
              <w:rPr>
                <w:rFonts w:ascii="Calibri" w:hAnsi="Calibri"/>
                <w:color w:val="000000"/>
                <w:sz w:val="18"/>
                <w:szCs w:val="18"/>
                <w:lang w:val="sl-SI" w:eastAsia="en-GB"/>
              </w:rPr>
              <w:t>agrees</w:t>
            </w:r>
            <w:proofErr w:type="spellEnd"/>
            <w:r w:rsidRPr="00275FBD">
              <w:rPr>
                <w:rFonts w:ascii="Calibri" w:hAnsi="Calibri"/>
                <w:color w:val="000000"/>
                <w:sz w:val="18"/>
                <w:szCs w:val="18"/>
                <w:lang w:val="sl-SI" w:eastAsia="en-GB"/>
              </w:rPr>
              <w:t xml:space="preserve"> with the </w:t>
            </w:r>
            <w:proofErr w:type="spellStart"/>
            <w:r w:rsidRPr="00275FBD">
              <w:rPr>
                <w:rFonts w:ascii="Calibri" w:hAnsi="Calibri"/>
                <w:color w:val="000000"/>
                <w:sz w:val="18"/>
                <w:szCs w:val="18"/>
                <w:lang w:val="sl-SI" w:eastAsia="en-GB"/>
              </w:rPr>
              <w:t>requirement</w:t>
            </w:r>
            <w:proofErr w:type="spellEnd"/>
            <w:r w:rsidRPr="00275FBD">
              <w:rPr>
                <w:rFonts w:ascii="Calibri" w:hAnsi="Calibri"/>
                <w:color w:val="000000"/>
                <w:sz w:val="18"/>
                <w:szCs w:val="18"/>
                <w:lang w:val="sl-SI" w:eastAsia="en-GB"/>
              </w:rPr>
              <w:t xml:space="preserve"> to </w:t>
            </w:r>
            <w:proofErr w:type="spellStart"/>
            <w:r w:rsidRPr="00275FBD">
              <w:rPr>
                <w:rFonts w:ascii="Calibri" w:hAnsi="Calibri"/>
                <w:color w:val="000000"/>
                <w:sz w:val="18"/>
                <w:szCs w:val="18"/>
                <w:lang w:val="sl-SI" w:eastAsia="en-GB"/>
              </w:rPr>
              <w:t>apply</w:t>
            </w:r>
            <w:proofErr w:type="spellEnd"/>
            <w:r w:rsidRPr="00275FBD">
              <w:rPr>
                <w:rFonts w:ascii="Calibri" w:hAnsi="Calibri"/>
                <w:color w:val="000000"/>
                <w:sz w:val="18"/>
                <w:szCs w:val="18"/>
                <w:lang w:val="sl-SI" w:eastAsia="en-GB"/>
              </w:rPr>
              <w:t xml:space="preserve"> the most </w:t>
            </w:r>
            <w:proofErr w:type="spellStart"/>
            <w:r w:rsidRPr="00275FBD">
              <w:rPr>
                <w:rFonts w:ascii="Calibri" w:hAnsi="Calibri"/>
                <w:color w:val="000000"/>
                <w:sz w:val="18"/>
                <w:szCs w:val="18"/>
                <w:lang w:val="sl-SI" w:eastAsia="en-GB"/>
              </w:rPr>
              <w:t>recent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standards</w:t>
            </w:r>
            <w:proofErr w:type="spellEnd"/>
            <w:r w:rsidRPr="00275FBD">
              <w:rPr>
                <w:rFonts w:ascii="Calibri" w:hAnsi="Calibri"/>
                <w:color w:val="000000"/>
                <w:sz w:val="18"/>
                <w:szCs w:val="18"/>
                <w:lang w:val="sl-SI" w:eastAsia="en-GB"/>
              </w:rPr>
              <w:t xml:space="preserve"> for </w:t>
            </w:r>
            <w:proofErr w:type="spellStart"/>
            <w:r w:rsidRPr="00275FBD">
              <w:rPr>
                <w:rFonts w:ascii="Calibri" w:hAnsi="Calibri"/>
                <w:color w:val="000000"/>
                <w:sz w:val="18"/>
                <w:szCs w:val="18"/>
                <w:lang w:val="sl-SI" w:eastAsia="en-GB"/>
              </w:rPr>
              <w:t>safety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analyses</w:t>
            </w:r>
            <w:proofErr w:type="spellEnd"/>
            <w:r w:rsidRPr="00275FBD">
              <w:rPr>
                <w:rFonts w:ascii="Calibri" w:hAnsi="Calibri"/>
                <w:color w:val="000000"/>
                <w:sz w:val="18"/>
                <w:szCs w:val="18"/>
                <w:lang w:val="sl-SI" w:eastAsia="en-GB"/>
              </w:rPr>
              <w:t>.</w:t>
            </w:r>
          </w:p>
          <w:p w14:paraId="6522918E"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It is </w:t>
            </w:r>
            <w:proofErr w:type="spellStart"/>
            <w:r w:rsidRPr="00275FBD">
              <w:rPr>
                <w:rFonts w:ascii="Calibri" w:hAnsi="Calibri"/>
                <w:color w:val="000000"/>
                <w:sz w:val="18"/>
                <w:szCs w:val="18"/>
                <w:lang w:val="sl-SI" w:eastAsia="en-GB"/>
              </w:rPr>
              <w:t>important</w:t>
            </w:r>
            <w:proofErr w:type="spellEnd"/>
            <w:r w:rsidRPr="00275FBD">
              <w:rPr>
                <w:rFonts w:ascii="Calibri" w:hAnsi="Calibri"/>
                <w:color w:val="000000"/>
                <w:sz w:val="18"/>
                <w:szCs w:val="18"/>
                <w:lang w:val="sl-SI" w:eastAsia="en-GB"/>
              </w:rPr>
              <w:t xml:space="preserve"> that the </w:t>
            </w:r>
            <w:proofErr w:type="spellStart"/>
            <w:r w:rsidRPr="00275FBD">
              <w:rPr>
                <w:rFonts w:ascii="Calibri" w:hAnsi="Calibri"/>
                <w:color w:val="000000"/>
                <w:sz w:val="18"/>
                <w:szCs w:val="18"/>
                <w:lang w:val="sl-SI" w:eastAsia="en-GB"/>
              </w:rPr>
              <w:t>evaluation</w:t>
            </w:r>
            <w:proofErr w:type="spellEnd"/>
            <w:r w:rsidRPr="00275FBD">
              <w:rPr>
                <w:rFonts w:ascii="Calibri" w:hAnsi="Calibri"/>
                <w:color w:val="000000"/>
                <w:sz w:val="18"/>
                <w:szCs w:val="18"/>
                <w:lang w:val="sl-SI" w:eastAsia="en-GB"/>
              </w:rPr>
              <w:t xml:space="preserve"> of the Shutdown PSA </w:t>
            </w:r>
            <w:proofErr w:type="spellStart"/>
            <w:r w:rsidRPr="00275FBD">
              <w:rPr>
                <w:rFonts w:ascii="Calibri" w:hAnsi="Calibri"/>
                <w:color w:val="000000"/>
                <w:sz w:val="18"/>
                <w:szCs w:val="18"/>
                <w:lang w:val="sl-SI" w:eastAsia="en-GB"/>
              </w:rPr>
              <w:t>would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justify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assumed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independencies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between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Type</w:t>
            </w:r>
            <w:proofErr w:type="spellEnd"/>
            <w:r w:rsidRPr="00275FBD">
              <w:rPr>
                <w:rFonts w:ascii="Calibri" w:hAnsi="Calibri"/>
                <w:color w:val="000000"/>
                <w:sz w:val="18"/>
                <w:szCs w:val="18"/>
                <w:lang w:val="sl-SI" w:eastAsia="en-GB"/>
              </w:rPr>
              <w:t xml:space="preserve"> B human </w:t>
            </w:r>
            <w:proofErr w:type="spellStart"/>
            <w:r w:rsidRPr="00275FBD">
              <w:rPr>
                <w:rFonts w:ascii="Calibri" w:hAnsi="Calibri"/>
                <w:color w:val="000000"/>
                <w:sz w:val="18"/>
                <w:szCs w:val="18"/>
                <w:lang w:val="sl-SI" w:eastAsia="en-GB"/>
              </w:rPr>
              <w:t>errors</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Type</w:t>
            </w:r>
            <w:proofErr w:type="spellEnd"/>
            <w:r w:rsidRPr="00275FBD">
              <w:rPr>
                <w:rFonts w:ascii="Calibri" w:hAnsi="Calibri"/>
                <w:color w:val="000000"/>
                <w:sz w:val="18"/>
                <w:szCs w:val="18"/>
                <w:lang w:val="sl-SI" w:eastAsia="en-GB"/>
              </w:rPr>
              <w:t xml:space="preserve"> C human </w:t>
            </w:r>
            <w:proofErr w:type="spellStart"/>
            <w:r w:rsidRPr="00275FBD">
              <w:rPr>
                <w:rFonts w:ascii="Calibri" w:hAnsi="Calibri"/>
                <w:color w:val="000000"/>
                <w:sz w:val="18"/>
                <w:szCs w:val="18"/>
                <w:lang w:val="sl-SI" w:eastAsia="en-GB"/>
              </w:rPr>
              <w:t>errors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modeled</w:t>
            </w:r>
            <w:proofErr w:type="spellEnd"/>
            <w:r w:rsidRPr="00275FBD">
              <w:rPr>
                <w:rFonts w:ascii="Calibri" w:hAnsi="Calibri"/>
                <w:color w:val="000000"/>
                <w:sz w:val="18"/>
                <w:szCs w:val="18"/>
                <w:lang w:val="sl-SI" w:eastAsia="en-GB"/>
              </w:rPr>
              <w:t xml:space="preserve"> in NEK Shutdown PSA as it is </w:t>
            </w:r>
            <w:proofErr w:type="spellStart"/>
            <w:r w:rsidRPr="00275FBD">
              <w:rPr>
                <w:rFonts w:ascii="Calibri" w:hAnsi="Calibri"/>
                <w:color w:val="000000"/>
                <w:sz w:val="18"/>
                <w:szCs w:val="18"/>
                <w:lang w:val="sl-SI" w:eastAsia="en-GB"/>
              </w:rPr>
              <w:t>required</w:t>
            </w:r>
            <w:proofErr w:type="spellEnd"/>
            <w:r w:rsidRPr="00275FBD">
              <w:rPr>
                <w:rFonts w:ascii="Calibri" w:hAnsi="Calibri"/>
                <w:color w:val="000000"/>
                <w:sz w:val="18"/>
                <w:szCs w:val="18"/>
                <w:lang w:val="sl-SI" w:eastAsia="en-GB"/>
              </w:rPr>
              <w:t xml:space="preserve"> in IAEA SSG-3.</w:t>
            </w:r>
          </w:p>
        </w:tc>
        <w:tc>
          <w:tcPr>
            <w:tcW w:w="2694" w:type="dxa"/>
          </w:tcPr>
          <w:p w14:paraId="7A36D7A3" w14:textId="77777777" w:rsidR="00935B67" w:rsidRPr="00275FBD" w:rsidRDefault="00935B67" w:rsidP="00935B67">
            <w:pPr>
              <w:tabs>
                <w:tab w:val="left" w:pos="1122"/>
              </w:tabs>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III</w:t>
            </w:r>
          </w:p>
        </w:tc>
      </w:tr>
      <w:tr w:rsidR="00935B67" w:rsidRPr="00275FBD" w14:paraId="4E9117CB" w14:textId="77777777" w:rsidTr="00935B67">
        <w:tc>
          <w:tcPr>
            <w:tcW w:w="1384" w:type="dxa"/>
            <w:tcBorders>
              <w:bottom w:val="single" w:sz="4" w:space="0" w:color="auto"/>
            </w:tcBorders>
            <w:shd w:val="clear" w:color="auto" w:fill="E5DFEC" w:themeFill="accent4" w:themeFillTint="33"/>
          </w:tcPr>
          <w:p w14:paraId="616AFA15"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themeColor="text1"/>
                <w:sz w:val="18"/>
                <w:szCs w:val="18"/>
                <w:lang w:val="sl-SI" w:eastAsia="en-GB"/>
              </w:rPr>
              <w:t>PSR3 2.3-001</w:t>
            </w:r>
          </w:p>
        </w:tc>
        <w:tc>
          <w:tcPr>
            <w:tcW w:w="3827" w:type="dxa"/>
            <w:tcBorders>
              <w:bottom w:val="single" w:sz="4" w:space="0" w:color="auto"/>
            </w:tcBorders>
          </w:tcPr>
          <w:p w14:paraId="6008D48A" w14:textId="77777777" w:rsidR="00935B67" w:rsidRPr="00275FBD" w:rsidRDefault="00935B67" w:rsidP="00935B67">
            <w:pPr>
              <w:spacing w:before="0" w:after="0"/>
              <w:jc w:val="left"/>
              <w:rPr>
                <w:rFonts w:ascii="Calibri" w:hAnsi="Calibri"/>
                <w:color w:val="000000"/>
                <w:sz w:val="18"/>
                <w:szCs w:val="18"/>
                <w:lang w:val="sl-SI" w:eastAsia="en-GB"/>
              </w:rPr>
            </w:pPr>
            <w:proofErr w:type="spellStart"/>
            <w:r w:rsidRPr="00275FBD">
              <w:rPr>
                <w:rFonts w:ascii="Calibri" w:hAnsi="Calibri"/>
                <w:b/>
                <w:bCs/>
                <w:color w:val="000000" w:themeColor="text1"/>
                <w:sz w:val="18"/>
                <w:szCs w:val="18"/>
                <w:lang w:val="sl-SI" w:eastAsia="en-GB"/>
              </w:rPr>
              <w:t>Comments</w:t>
            </w:r>
            <w:proofErr w:type="spellEnd"/>
            <w:r w:rsidRPr="00275FBD">
              <w:rPr>
                <w:rFonts w:ascii="Calibri" w:hAnsi="Calibri"/>
                <w:b/>
                <w:bCs/>
                <w:color w:val="000000" w:themeColor="text1"/>
                <w:sz w:val="18"/>
                <w:szCs w:val="18"/>
                <w:lang w:val="sl-SI" w:eastAsia="en-GB"/>
              </w:rPr>
              <w:t xml:space="preserve"> to the </w:t>
            </w:r>
            <w:proofErr w:type="spellStart"/>
            <w:r w:rsidRPr="00275FBD">
              <w:rPr>
                <w:rFonts w:ascii="Calibri" w:hAnsi="Calibri"/>
                <w:b/>
                <w:bCs/>
                <w:color w:val="000000" w:themeColor="text1"/>
                <w:sz w:val="18"/>
                <w:szCs w:val="18"/>
                <w:lang w:val="sl-SI" w:eastAsia="en-GB"/>
              </w:rPr>
              <w:t>licensing</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documentation</w:t>
            </w:r>
            <w:proofErr w:type="spellEnd"/>
            <w:r w:rsidRPr="00275FBD">
              <w:rPr>
                <w:rFonts w:ascii="Calibri" w:hAnsi="Calibri"/>
                <w:color w:val="000000" w:themeColor="text1"/>
                <w:sz w:val="18"/>
                <w:szCs w:val="18"/>
                <w:lang w:val="sl-SI" w:eastAsia="en-GB"/>
              </w:rPr>
              <w:br/>
              <w:t xml:space="preserve">OSF element: </w:t>
            </w:r>
            <w:proofErr w:type="spellStart"/>
            <w:r w:rsidRPr="00275FBD">
              <w:rPr>
                <w:rFonts w:ascii="Calibri" w:hAnsi="Calibri"/>
                <w:color w:val="000000" w:themeColor="text1"/>
                <w:sz w:val="18"/>
                <w:szCs w:val="18"/>
                <w:lang w:val="sl-SI" w:eastAsia="en-GB"/>
              </w:rPr>
              <w:t>Change</w:t>
            </w:r>
            <w:proofErr w:type="spellEnd"/>
            <w:r w:rsidRPr="00275FBD">
              <w:rPr>
                <w:rFonts w:ascii="Calibri" w:hAnsi="Calibri"/>
                <w:color w:val="000000" w:themeColor="text1"/>
                <w:sz w:val="18"/>
                <w:szCs w:val="18"/>
                <w:lang w:val="sl-SI" w:eastAsia="en-GB"/>
              </w:rPr>
              <w:t xml:space="preserve"> Review </w:t>
            </w:r>
            <w:proofErr w:type="spellStart"/>
            <w:r w:rsidRPr="00275FBD">
              <w:rPr>
                <w:rFonts w:ascii="Calibri" w:hAnsi="Calibri"/>
                <w:color w:val="000000" w:themeColor="text1"/>
                <w:sz w:val="18"/>
                <w:szCs w:val="18"/>
                <w:lang w:val="sl-SI" w:eastAsia="en-GB"/>
              </w:rPr>
              <w:t>Process</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r>
            <w:proofErr w:type="spellStart"/>
            <w:r w:rsidRPr="00275FBD">
              <w:rPr>
                <w:rFonts w:ascii="Calibri" w:hAnsi="Calibri"/>
                <w:color w:val="000000" w:themeColor="text1"/>
                <w:sz w:val="18"/>
                <w:szCs w:val="18"/>
                <w:lang w:val="sl-SI" w:eastAsia="en-GB"/>
              </w:rPr>
              <w:lastRenderedPageBreak/>
              <w:t>Missing</w:t>
            </w:r>
            <w:proofErr w:type="spellEnd"/>
            <w:r w:rsidRPr="00275FBD">
              <w:rPr>
                <w:rFonts w:ascii="Calibri" w:hAnsi="Calibri"/>
                <w:color w:val="000000" w:themeColor="text1"/>
                <w:sz w:val="18"/>
                <w:szCs w:val="18"/>
                <w:lang w:val="sl-SI" w:eastAsia="en-GB"/>
              </w:rPr>
              <w:t xml:space="preserve"> or </w:t>
            </w:r>
            <w:proofErr w:type="spellStart"/>
            <w:r w:rsidRPr="00275FBD">
              <w:rPr>
                <w:rFonts w:ascii="Calibri" w:hAnsi="Calibri"/>
                <w:color w:val="000000" w:themeColor="text1"/>
                <w:sz w:val="18"/>
                <w:szCs w:val="18"/>
                <w:lang w:val="sl-SI" w:eastAsia="en-GB"/>
              </w:rPr>
              <w:t>inadequate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information</w:t>
            </w:r>
            <w:proofErr w:type="spellEnd"/>
            <w:r w:rsidRPr="00275FBD">
              <w:rPr>
                <w:rFonts w:ascii="Calibri" w:hAnsi="Calibri"/>
                <w:color w:val="000000" w:themeColor="text1"/>
                <w:sz w:val="18"/>
                <w:szCs w:val="18"/>
                <w:lang w:val="sl-SI" w:eastAsia="en-GB"/>
              </w:rPr>
              <w:t xml:space="preserve"> and </w:t>
            </w:r>
            <w:proofErr w:type="spellStart"/>
            <w:r w:rsidRPr="00275FBD">
              <w:rPr>
                <w:rFonts w:ascii="Calibri" w:hAnsi="Calibri"/>
                <w:color w:val="000000" w:themeColor="text1"/>
                <w:sz w:val="18"/>
                <w:szCs w:val="18"/>
                <w:lang w:val="sl-SI" w:eastAsia="en-GB"/>
              </w:rPr>
              <w:t>references</w:t>
            </w:r>
            <w:proofErr w:type="spellEnd"/>
            <w:r w:rsidRPr="00275FBD">
              <w:rPr>
                <w:rFonts w:ascii="Calibri" w:hAnsi="Calibri"/>
                <w:color w:val="000000" w:themeColor="text1"/>
                <w:sz w:val="18"/>
                <w:szCs w:val="18"/>
                <w:lang w:val="sl-SI" w:eastAsia="en-GB"/>
              </w:rPr>
              <w:t xml:space="preserve">. USAR </w:t>
            </w:r>
            <w:proofErr w:type="spellStart"/>
            <w:r w:rsidRPr="00275FBD">
              <w:rPr>
                <w:rFonts w:ascii="Calibri" w:hAnsi="Calibri"/>
                <w:color w:val="000000" w:themeColor="text1"/>
                <w:sz w:val="18"/>
                <w:szCs w:val="18"/>
                <w:lang w:val="sl-SI" w:eastAsia="en-GB"/>
              </w:rPr>
              <w:t>changes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required</w:t>
            </w:r>
            <w:proofErr w:type="spellEnd"/>
            <w:r w:rsidRPr="00275FBD">
              <w:rPr>
                <w:rFonts w:ascii="Calibri" w:hAnsi="Calibri"/>
                <w:color w:val="000000" w:themeColor="text1"/>
                <w:sz w:val="18"/>
                <w:szCs w:val="18"/>
                <w:lang w:val="sl-SI" w:eastAsia="en-GB"/>
              </w:rPr>
              <w:t>.</w:t>
            </w:r>
          </w:p>
        </w:tc>
        <w:tc>
          <w:tcPr>
            <w:tcW w:w="993" w:type="dxa"/>
            <w:tcBorders>
              <w:bottom w:val="single" w:sz="4" w:space="0" w:color="auto"/>
            </w:tcBorders>
          </w:tcPr>
          <w:p w14:paraId="4DCE94F6"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lastRenderedPageBreak/>
              <w:t>3.3.3</w:t>
            </w:r>
          </w:p>
        </w:tc>
        <w:tc>
          <w:tcPr>
            <w:tcW w:w="5244" w:type="dxa"/>
            <w:tcBorders>
              <w:bottom w:val="single" w:sz="4" w:space="0" w:color="auto"/>
            </w:tcBorders>
          </w:tcPr>
          <w:p w14:paraId="0935919D" w14:textId="77777777" w:rsidR="00935B67" w:rsidRPr="00275FBD" w:rsidRDefault="00935B67" w:rsidP="00935B67">
            <w:pPr>
              <w:jc w:val="left"/>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 xml:space="preserve">The SNSA </w:t>
            </w:r>
            <w:proofErr w:type="spellStart"/>
            <w:r w:rsidRPr="00275FBD">
              <w:rPr>
                <w:rFonts w:ascii="Calibri" w:hAnsi="Calibri"/>
                <w:color w:val="000000" w:themeColor="text1"/>
                <w:sz w:val="18"/>
                <w:szCs w:val="18"/>
                <w:lang w:val="sl-SI" w:eastAsia="en-GB"/>
              </w:rPr>
              <w:t>supports</w:t>
            </w:r>
            <w:proofErr w:type="spellEnd"/>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action</w:t>
            </w:r>
            <w:proofErr w:type="spellEnd"/>
            <w:r w:rsidRPr="00275FBD">
              <w:rPr>
                <w:rFonts w:ascii="Calibri" w:hAnsi="Calibri"/>
                <w:color w:val="000000" w:themeColor="text1"/>
                <w:sz w:val="18"/>
                <w:szCs w:val="18"/>
                <w:lang w:val="sl-SI" w:eastAsia="en-GB"/>
              </w:rPr>
              <w:t xml:space="preserve"> that the USAR update according to PSR3 </w:t>
            </w:r>
            <w:proofErr w:type="spellStart"/>
            <w:r w:rsidRPr="00275FBD">
              <w:rPr>
                <w:rFonts w:ascii="Calibri" w:hAnsi="Calibri"/>
                <w:color w:val="000000" w:themeColor="text1"/>
                <w:sz w:val="18"/>
                <w:szCs w:val="18"/>
                <w:lang w:val="sl-SI" w:eastAsia="en-GB"/>
              </w:rPr>
              <w:t>findings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be performed.</w:t>
            </w:r>
          </w:p>
        </w:tc>
        <w:tc>
          <w:tcPr>
            <w:tcW w:w="2694" w:type="dxa"/>
            <w:tcBorders>
              <w:bottom w:val="single" w:sz="4" w:space="0" w:color="auto"/>
            </w:tcBorders>
          </w:tcPr>
          <w:p w14:paraId="671FEB41" w14:textId="77777777" w:rsidR="00935B67" w:rsidRPr="00275FBD" w:rsidRDefault="00935B67" w:rsidP="00935B67">
            <w:pPr>
              <w:jc w:val="left"/>
              <w:rPr>
                <w:rFonts w:ascii="Calibri" w:hAnsi="Calibri"/>
                <w:color w:val="000000" w:themeColor="text1"/>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III</w:t>
            </w:r>
          </w:p>
        </w:tc>
      </w:tr>
      <w:tr w:rsidR="00935B67" w:rsidRPr="00275FBD" w14:paraId="3449FAE0" w14:textId="77777777" w:rsidTr="00935B67">
        <w:tc>
          <w:tcPr>
            <w:tcW w:w="1384" w:type="dxa"/>
            <w:tcBorders>
              <w:bottom w:val="single" w:sz="4" w:space="0" w:color="auto"/>
            </w:tcBorders>
            <w:shd w:val="clear" w:color="auto" w:fill="E5DFEC" w:themeFill="accent4" w:themeFillTint="33"/>
          </w:tcPr>
          <w:p w14:paraId="2F4AB844"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sz w:val="18"/>
                <w:szCs w:val="18"/>
                <w:lang w:val="sl-SI" w:eastAsia="en-GB"/>
              </w:rPr>
              <w:t>PSR3 2.3-002</w:t>
            </w:r>
          </w:p>
        </w:tc>
        <w:tc>
          <w:tcPr>
            <w:tcW w:w="3827" w:type="dxa"/>
            <w:tcBorders>
              <w:bottom w:val="single" w:sz="4" w:space="0" w:color="auto"/>
            </w:tcBorders>
          </w:tcPr>
          <w:p w14:paraId="608BC34C" w14:textId="77777777" w:rsidR="00935B67" w:rsidRPr="00275FBD" w:rsidRDefault="00935B67" w:rsidP="00935B67">
            <w:pPr>
              <w:spacing w:before="0" w:after="0"/>
              <w:jc w:val="left"/>
              <w:rPr>
                <w:rFonts w:ascii="Calibri" w:hAnsi="Calibri"/>
                <w:sz w:val="18"/>
                <w:szCs w:val="18"/>
                <w:lang w:val="sl-SI" w:eastAsia="en-GB"/>
              </w:rPr>
            </w:pPr>
            <w:r w:rsidRPr="00275FBD">
              <w:rPr>
                <w:rFonts w:ascii="Calibri" w:hAnsi="Calibri"/>
                <w:sz w:val="18"/>
                <w:szCs w:val="18"/>
                <w:lang w:val="sl-SI" w:eastAsia="en-GB"/>
              </w:rPr>
              <w:t xml:space="preserve">Data set for </w:t>
            </w:r>
            <w:proofErr w:type="spellStart"/>
            <w:r w:rsidRPr="00275FBD">
              <w:rPr>
                <w:rFonts w:ascii="Calibri" w:hAnsi="Calibri"/>
                <w:sz w:val="18"/>
                <w:szCs w:val="18"/>
                <w:lang w:val="sl-SI" w:eastAsia="en-GB"/>
              </w:rPr>
              <w:t>flooding</w:t>
            </w:r>
            <w:proofErr w:type="spellEnd"/>
            <w:r w:rsidRPr="00275FBD">
              <w:rPr>
                <w:rFonts w:ascii="Calibri" w:hAnsi="Calibri"/>
                <w:sz w:val="18"/>
                <w:szCs w:val="18"/>
                <w:lang w:val="sl-SI" w:eastAsia="en-GB"/>
              </w:rPr>
              <w:t xml:space="preserve"> hazard; </w:t>
            </w:r>
            <w:proofErr w:type="spellStart"/>
            <w:r w:rsidRPr="00275FBD">
              <w:rPr>
                <w:rFonts w:ascii="Calibri" w:hAnsi="Calibri"/>
                <w:sz w:val="18"/>
                <w:szCs w:val="18"/>
                <w:lang w:val="sl-SI" w:eastAsia="en-GB"/>
              </w:rPr>
              <w:t>Systems</w:t>
            </w:r>
            <w:proofErr w:type="spellEnd"/>
            <w:r w:rsidRPr="00275FBD">
              <w:rPr>
                <w:rFonts w:ascii="Calibri" w:hAnsi="Calibri"/>
                <w:sz w:val="18"/>
                <w:szCs w:val="18"/>
                <w:lang w:val="sl-SI" w:eastAsia="en-GB"/>
              </w:rPr>
              <w:t xml:space="preserve"> / </w:t>
            </w:r>
            <w:proofErr w:type="spellStart"/>
            <w:r w:rsidRPr="00275FBD">
              <w:rPr>
                <w:rFonts w:ascii="Calibri" w:hAnsi="Calibri"/>
                <w:sz w:val="18"/>
                <w:szCs w:val="18"/>
                <w:lang w:val="sl-SI" w:eastAsia="en-GB"/>
              </w:rPr>
              <w:t>functions</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Flooding</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protection</w:t>
            </w:r>
            <w:proofErr w:type="spellEnd"/>
            <w:r w:rsidRPr="00275FBD">
              <w:rPr>
                <w:rFonts w:ascii="Calibri" w:hAnsi="Calibri"/>
                <w:sz w:val="18"/>
                <w:szCs w:val="18"/>
                <w:lang w:val="sl-SI" w:eastAsia="en-GB"/>
              </w:rPr>
              <w:t xml:space="preserve">; Risk / DOD </w:t>
            </w:r>
            <w:proofErr w:type="spellStart"/>
            <w:r w:rsidRPr="00275FBD">
              <w:rPr>
                <w:rFonts w:ascii="Calibri" w:hAnsi="Calibri"/>
                <w:sz w:val="18"/>
                <w:szCs w:val="18"/>
                <w:lang w:val="sl-SI" w:eastAsia="en-GB"/>
              </w:rPr>
              <w:t>significance</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discrepancy</w:t>
            </w:r>
            <w:proofErr w:type="spellEnd"/>
            <w:r w:rsidRPr="00275FBD">
              <w:rPr>
                <w:rFonts w:ascii="Calibri" w:hAnsi="Calibri"/>
                <w:sz w:val="18"/>
                <w:szCs w:val="18"/>
                <w:lang w:val="sl-SI" w:eastAsia="en-GB"/>
              </w:rPr>
              <w:t xml:space="preserve"> with </w:t>
            </w:r>
            <w:proofErr w:type="spellStart"/>
            <w:r w:rsidRPr="00275FBD">
              <w:rPr>
                <w:rFonts w:ascii="Calibri" w:hAnsi="Calibri"/>
                <w:sz w:val="18"/>
                <w:szCs w:val="18"/>
                <w:lang w:val="sl-SI" w:eastAsia="en-GB"/>
              </w:rPr>
              <w:t>international</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standards</w:t>
            </w:r>
            <w:proofErr w:type="spellEnd"/>
            <w:r w:rsidRPr="00275FBD">
              <w:rPr>
                <w:rFonts w:ascii="Calibri" w:hAnsi="Calibri"/>
                <w:sz w:val="18"/>
                <w:szCs w:val="18"/>
                <w:lang w:val="sl-SI" w:eastAsia="en-GB"/>
              </w:rPr>
              <w:t xml:space="preserve"> - TL.</w:t>
            </w:r>
          </w:p>
          <w:p w14:paraId="6CD01618" w14:textId="77777777" w:rsidR="00935B67" w:rsidRPr="00275FBD" w:rsidRDefault="00935B67" w:rsidP="00935B67">
            <w:pPr>
              <w:jc w:val="left"/>
              <w:rPr>
                <w:rFonts w:ascii="Calibri" w:hAnsi="Calibri"/>
                <w:b/>
                <w:bCs/>
                <w:sz w:val="18"/>
                <w:szCs w:val="18"/>
                <w:lang w:val="sl-SI" w:eastAsia="en-GB"/>
              </w:rPr>
            </w:pPr>
            <w:r w:rsidRPr="00275FBD">
              <w:rPr>
                <w:rFonts w:ascii="Calibri" w:hAnsi="Calibri"/>
                <w:b/>
                <w:bCs/>
                <w:sz w:val="18"/>
                <w:szCs w:val="18"/>
                <w:lang w:val="sl-SI" w:eastAsia="en-GB"/>
              </w:rPr>
              <w:t xml:space="preserve">Use </w:t>
            </w:r>
            <w:proofErr w:type="spellStart"/>
            <w:r w:rsidRPr="00275FBD">
              <w:rPr>
                <w:rFonts w:ascii="Calibri" w:hAnsi="Calibri"/>
                <w:b/>
                <w:bCs/>
                <w:sz w:val="18"/>
                <w:szCs w:val="18"/>
                <w:lang w:val="sl-SI" w:eastAsia="en-GB"/>
              </w:rPr>
              <w:t>adequately</w:t>
            </w:r>
            <w:proofErr w:type="spellEnd"/>
            <w:r w:rsidRPr="00275FBD">
              <w:rPr>
                <w:rFonts w:ascii="Calibri" w:hAnsi="Calibri"/>
                <w:b/>
                <w:bCs/>
                <w:sz w:val="18"/>
                <w:szCs w:val="18"/>
                <w:lang w:val="sl-SI" w:eastAsia="en-GB"/>
              </w:rPr>
              <w:t xml:space="preserve"> </w:t>
            </w:r>
            <w:proofErr w:type="spellStart"/>
            <w:r w:rsidRPr="00275FBD">
              <w:rPr>
                <w:rFonts w:ascii="Calibri" w:hAnsi="Calibri"/>
                <w:b/>
                <w:bCs/>
                <w:sz w:val="18"/>
                <w:szCs w:val="18"/>
                <w:lang w:val="sl-SI" w:eastAsia="en-GB"/>
              </w:rPr>
              <w:t>longer</w:t>
            </w:r>
            <w:proofErr w:type="spellEnd"/>
            <w:r w:rsidRPr="00275FBD">
              <w:rPr>
                <w:rFonts w:ascii="Calibri" w:hAnsi="Calibri"/>
                <w:b/>
                <w:bCs/>
                <w:sz w:val="18"/>
                <w:szCs w:val="18"/>
                <w:lang w:val="sl-SI" w:eastAsia="en-GB"/>
              </w:rPr>
              <w:t xml:space="preserve"> and most </w:t>
            </w:r>
            <w:proofErr w:type="spellStart"/>
            <w:r w:rsidRPr="00275FBD">
              <w:rPr>
                <w:rFonts w:ascii="Calibri" w:hAnsi="Calibri"/>
                <w:b/>
                <w:bCs/>
                <w:sz w:val="18"/>
                <w:szCs w:val="18"/>
                <w:lang w:val="sl-SI" w:eastAsia="en-GB"/>
              </w:rPr>
              <w:t>recently</w:t>
            </w:r>
            <w:proofErr w:type="spellEnd"/>
            <w:r w:rsidRPr="00275FBD">
              <w:rPr>
                <w:rFonts w:ascii="Calibri" w:hAnsi="Calibri"/>
                <w:b/>
                <w:bCs/>
                <w:sz w:val="18"/>
                <w:szCs w:val="18"/>
                <w:lang w:val="sl-SI" w:eastAsia="en-GB"/>
              </w:rPr>
              <w:t xml:space="preserve"> </w:t>
            </w:r>
            <w:proofErr w:type="spellStart"/>
            <w:r w:rsidRPr="00275FBD">
              <w:rPr>
                <w:rFonts w:ascii="Calibri" w:hAnsi="Calibri"/>
                <w:b/>
                <w:bCs/>
                <w:sz w:val="18"/>
                <w:szCs w:val="18"/>
                <w:lang w:val="sl-SI" w:eastAsia="en-GB"/>
              </w:rPr>
              <w:t>available</w:t>
            </w:r>
            <w:proofErr w:type="spellEnd"/>
            <w:r w:rsidRPr="00275FBD">
              <w:rPr>
                <w:rFonts w:ascii="Calibri" w:hAnsi="Calibri"/>
                <w:b/>
                <w:bCs/>
                <w:sz w:val="18"/>
                <w:szCs w:val="18"/>
                <w:lang w:val="sl-SI" w:eastAsia="en-GB"/>
              </w:rPr>
              <w:t xml:space="preserve"> data </w:t>
            </w:r>
            <w:proofErr w:type="spellStart"/>
            <w:r w:rsidRPr="00275FBD">
              <w:rPr>
                <w:rFonts w:ascii="Calibri" w:hAnsi="Calibri"/>
                <w:b/>
                <w:bCs/>
                <w:sz w:val="18"/>
                <w:szCs w:val="18"/>
                <w:lang w:val="sl-SI" w:eastAsia="en-GB"/>
              </w:rPr>
              <w:t>sets</w:t>
            </w:r>
            <w:proofErr w:type="spellEnd"/>
            <w:r w:rsidRPr="00275FBD">
              <w:rPr>
                <w:rFonts w:ascii="Calibri" w:hAnsi="Calibri"/>
                <w:b/>
                <w:bCs/>
                <w:sz w:val="18"/>
                <w:szCs w:val="18"/>
                <w:lang w:val="sl-SI" w:eastAsia="en-GB"/>
              </w:rPr>
              <w:t xml:space="preserve"> in the </w:t>
            </w:r>
            <w:proofErr w:type="spellStart"/>
            <w:r w:rsidRPr="00275FBD">
              <w:rPr>
                <w:rFonts w:ascii="Calibri" w:hAnsi="Calibri"/>
                <w:b/>
                <w:bCs/>
                <w:sz w:val="18"/>
                <w:szCs w:val="18"/>
                <w:lang w:val="sl-SI" w:eastAsia="en-GB"/>
              </w:rPr>
              <w:t>next</w:t>
            </w:r>
            <w:proofErr w:type="spellEnd"/>
            <w:r w:rsidRPr="00275FBD">
              <w:rPr>
                <w:rFonts w:ascii="Calibri" w:hAnsi="Calibri"/>
                <w:b/>
                <w:bCs/>
                <w:sz w:val="18"/>
                <w:szCs w:val="18"/>
                <w:lang w:val="sl-SI" w:eastAsia="en-GB"/>
              </w:rPr>
              <w:t xml:space="preserve"> </w:t>
            </w:r>
            <w:proofErr w:type="spellStart"/>
            <w:r w:rsidRPr="00275FBD">
              <w:rPr>
                <w:rFonts w:ascii="Calibri" w:hAnsi="Calibri"/>
                <w:b/>
                <w:bCs/>
                <w:sz w:val="18"/>
                <w:szCs w:val="18"/>
                <w:lang w:val="sl-SI" w:eastAsia="en-GB"/>
              </w:rPr>
              <w:t>flooding</w:t>
            </w:r>
            <w:proofErr w:type="spellEnd"/>
            <w:r w:rsidRPr="00275FBD">
              <w:rPr>
                <w:rFonts w:ascii="Calibri" w:hAnsi="Calibri"/>
                <w:b/>
                <w:bCs/>
                <w:sz w:val="18"/>
                <w:szCs w:val="18"/>
                <w:lang w:val="sl-SI" w:eastAsia="en-GB"/>
              </w:rPr>
              <w:t xml:space="preserve"> hazard </w:t>
            </w:r>
            <w:proofErr w:type="spellStart"/>
            <w:r w:rsidRPr="00275FBD">
              <w:rPr>
                <w:rFonts w:ascii="Calibri" w:hAnsi="Calibri"/>
                <w:b/>
                <w:bCs/>
                <w:sz w:val="18"/>
                <w:szCs w:val="18"/>
                <w:lang w:val="sl-SI" w:eastAsia="en-GB"/>
              </w:rPr>
              <w:t>analysis</w:t>
            </w:r>
            <w:proofErr w:type="spellEnd"/>
            <w:r w:rsidRPr="00275FBD">
              <w:rPr>
                <w:rFonts w:ascii="Calibri" w:hAnsi="Calibri"/>
                <w:b/>
                <w:bCs/>
                <w:sz w:val="18"/>
                <w:szCs w:val="18"/>
                <w:lang w:val="sl-SI" w:eastAsia="en-GB"/>
              </w:rPr>
              <w:t>.</w:t>
            </w:r>
          </w:p>
          <w:p w14:paraId="05EC8E9C" w14:textId="77777777" w:rsidR="00935B67" w:rsidRPr="00275FBD" w:rsidRDefault="00935B67" w:rsidP="00935B67">
            <w:pPr>
              <w:spacing w:before="0" w:after="0"/>
              <w:jc w:val="left"/>
              <w:rPr>
                <w:rFonts w:ascii="Calibri" w:hAnsi="Calibri"/>
                <w:sz w:val="18"/>
                <w:szCs w:val="18"/>
                <w:lang w:val="sl-SI" w:eastAsia="en-GB"/>
              </w:rPr>
            </w:pPr>
            <w:proofErr w:type="spellStart"/>
            <w:r w:rsidRPr="00275FBD">
              <w:rPr>
                <w:rFonts w:ascii="Calibri" w:hAnsi="Calibri"/>
                <w:sz w:val="18"/>
                <w:szCs w:val="18"/>
                <w:lang w:val="sl-SI" w:eastAsia="en-GB"/>
              </w:rPr>
              <w:t>Taking</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into</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account</w:t>
            </w:r>
            <w:proofErr w:type="spellEnd"/>
            <w:r w:rsidRPr="00275FBD">
              <w:rPr>
                <w:rFonts w:ascii="Calibri" w:hAnsi="Calibri"/>
                <w:sz w:val="18"/>
                <w:szCs w:val="18"/>
                <w:lang w:val="sl-SI" w:eastAsia="en-GB"/>
              </w:rPr>
              <w:t xml:space="preserve"> that the </w:t>
            </w:r>
            <w:proofErr w:type="spellStart"/>
            <w:r w:rsidRPr="00275FBD">
              <w:rPr>
                <w:rFonts w:ascii="Calibri" w:hAnsi="Calibri"/>
                <w:sz w:val="18"/>
                <w:szCs w:val="18"/>
                <w:lang w:val="sl-SI" w:eastAsia="en-GB"/>
              </w:rPr>
              <w:t>new</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plant</w:t>
            </w:r>
            <w:proofErr w:type="spellEnd"/>
            <w:r w:rsidRPr="00275FBD">
              <w:rPr>
                <w:rFonts w:ascii="Calibri" w:hAnsi="Calibri"/>
                <w:sz w:val="18"/>
                <w:szCs w:val="18"/>
                <w:lang w:val="sl-SI" w:eastAsia="en-GB"/>
              </w:rPr>
              <w:t xml:space="preserve"> DEC SSC (</w:t>
            </w:r>
            <w:proofErr w:type="spellStart"/>
            <w:r w:rsidRPr="00275FBD">
              <w:rPr>
                <w:rFonts w:ascii="Calibri" w:hAnsi="Calibri"/>
                <w:sz w:val="18"/>
                <w:szCs w:val="18"/>
                <w:lang w:val="sl-SI" w:eastAsia="en-GB"/>
              </w:rPr>
              <w:t>located</w:t>
            </w:r>
            <w:proofErr w:type="spellEnd"/>
            <w:r w:rsidRPr="00275FBD">
              <w:rPr>
                <w:rFonts w:ascii="Calibri" w:hAnsi="Calibri"/>
                <w:sz w:val="18"/>
                <w:szCs w:val="18"/>
                <w:lang w:val="sl-SI" w:eastAsia="en-GB"/>
              </w:rPr>
              <w:t xml:space="preserve"> in BB1 and BB2) are </w:t>
            </w:r>
            <w:proofErr w:type="spellStart"/>
            <w:r w:rsidRPr="00275FBD">
              <w:rPr>
                <w:rFonts w:ascii="Calibri" w:hAnsi="Calibri"/>
                <w:sz w:val="18"/>
                <w:szCs w:val="18"/>
                <w:lang w:val="sl-SI" w:eastAsia="en-GB"/>
              </w:rPr>
              <w:t>protected</w:t>
            </w:r>
            <w:proofErr w:type="spellEnd"/>
            <w:r w:rsidRPr="00275FBD">
              <w:rPr>
                <w:rFonts w:ascii="Calibri" w:hAnsi="Calibri"/>
                <w:sz w:val="18"/>
                <w:szCs w:val="18"/>
                <w:lang w:val="sl-SI" w:eastAsia="en-GB"/>
              </w:rPr>
              <w:t xml:space="preserve"> from </w:t>
            </w:r>
            <w:proofErr w:type="spellStart"/>
            <w:r w:rsidRPr="00275FBD">
              <w:rPr>
                <w:rFonts w:ascii="Calibri" w:hAnsi="Calibri"/>
                <w:sz w:val="18"/>
                <w:szCs w:val="18"/>
                <w:lang w:val="sl-SI" w:eastAsia="en-GB"/>
              </w:rPr>
              <w:t>external</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flooding</w:t>
            </w:r>
            <w:proofErr w:type="spellEnd"/>
            <w:r w:rsidRPr="00275FBD">
              <w:rPr>
                <w:rFonts w:ascii="Calibri" w:hAnsi="Calibri"/>
                <w:sz w:val="18"/>
                <w:szCs w:val="18"/>
                <w:lang w:val="sl-SI" w:eastAsia="en-GB"/>
              </w:rPr>
              <w:t xml:space="preserve"> it </w:t>
            </w:r>
            <w:proofErr w:type="spellStart"/>
            <w:r w:rsidRPr="00275FBD">
              <w:rPr>
                <w:rFonts w:ascii="Calibri" w:hAnsi="Calibri"/>
                <w:sz w:val="18"/>
                <w:szCs w:val="18"/>
                <w:lang w:val="sl-SI" w:eastAsia="en-GB"/>
              </w:rPr>
              <w:t>can</w:t>
            </w:r>
            <w:proofErr w:type="spellEnd"/>
            <w:r w:rsidRPr="00275FBD">
              <w:rPr>
                <w:rFonts w:ascii="Calibri" w:hAnsi="Calibri"/>
                <w:sz w:val="18"/>
                <w:szCs w:val="18"/>
                <w:lang w:val="sl-SI" w:eastAsia="en-GB"/>
              </w:rPr>
              <w:t xml:space="preserve"> be </w:t>
            </w:r>
            <w:proofErr w:type="spellStart"/>
            <w:r w:rsidRPr="00275FBD">
              <w:rPr>
                <w:rFonts w:ascii="Calibri" w:hAnsi="Calibri"/>
                <w:sz w:val="18"/>
                <w:szCs w:val="18"/>
                <w:lang w:val="sl-SI" w:eastAsia="en-GB"/>
              </w:rPr>
              <w:t>concluded</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LODs</w:t>
            </w:r>
            <w:proofErr w:type="spellEnd"/>
            <w:r w:rsidRPr="00275FBD">
              <w:rPr>
                <w:rFonts w:ascii="Calibri" w:hAnsi="Calibri"/>
                <w:sz w:val="18"/>
                <w:szCs w:val="18"/>
                <w:lang w:val="sl-SI" w:eastAsia="en-GB"/>
              </w:rPr>
              <w:t xml:space="preserve"> status / risk is not </w:t>
            </w:r>
            <w:proofErr w:type="spellStart"/>
            <w:r w:rsidRPr="00275FBD">
              <w:rPr>
                <w:rFonts w:ascii="Calibri" w:hAnsi="Calibri"/>
                <w:sz w:val="18"/>
                <w:szCs w:val="18"/>
                <w:lang w:val="sl-SI" w:eastAsia="en-GB"/>
              </w:rPr>
              <w:t>actually</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affected</w:t>
            </w:r>
            <w:proofErr w:type="spellEnd"/>
            <w:r w:rsidRPr="00275FBD">
              <w:rPr>
                <w:rFonts w:ascii="Calibri" w:hAnsi="Calibri"/>
                <w:sz w:val="18"/>
                <w:szCs w:val="18"/>
                <w:lang w:val="sl-SI" w:eastAsia="en-GB"/>
              </w:rPr>
              <w:t>.</w:t>
            </w:r>
          </w:p>
          <w:p w14:paraId="5F279BC3" w14:textId="77777777" w:rsidR="00935B67" w:rsidRPr="00275FBD" w:rsidRDefault="00935B67" w:rsidP="00935B67">
            <w:pPr>
              <w:jc w:val="left"/>
              <w:rPr>
                <w:rFonts w:ascii="Calibri" w:hAnsi="Calibri"/>
                <w:sz w:val="18"/>
                <w:szCs w:val="18"/>
                <w:lang w:val="sl-SI" w:eastAsia="en-GB"/>
              </w:rPr>
            </w:pPr>
            <w:r w:rsidRPr="00275FBD">
              <w:rPr>
                <w:rFonts w:ascii="Calibri" w:hAnsi="Calibri"/>
                <w:sz w:val="18"/>
                <w:szCs w:val="18"/>
                <w:lang w:val="sl-SI" w:eastAsia="en-GB"/>
              </w:rPr>
              <w:t>(</w:t>
            </w:r>
            <w:proofErr w:type="spellStart"/>
            <w:r w:rsidRPr="00275FBD">
              <w:rPr>
                <w:rFonts w:ascii="Calibri" w:hAnsi="Calibri"/>
                <w:sz w:val="18"/>
                <w:szCs w:val="18"/>
                <w:lang w:val="sl-SI" w:eastAsia="en-GB"/>
              </w:rPr>
              <w:t>Issue</w:t>
            </w:r>
            <w:proofErr w:type="spellEnd"/>
            <w:r w:rsidRPr="00275FBD">
              <w:rPr>
                <w:rFonts w:ascii="Calibri" w:hAnsi="Calibri"/>
                <w:sz w:val="18"/>
                <w:szCs w:val="18"/>
                <w:lang w:val="sl-SI" w:eastAsia="en-GB"/>
              </w:rPr>
              <w:t xml:space="preserve"> is </w:t>
            </w:r>
            <w:proofErr w:type="spellStart"/>
            <w:r w:rsidRPr="00275FBD">
              <w:rPr>
                <w:rFonts w:ascii="Calibri" w:hAnsi="Calibri"/>
                <w:sz w:val="18"/>
                <w:szCs w:val="18"/>
                <w:lang w:val="sl-SI" w:eastAsia="en-GB"/>
              </w:rPr>
              <w:t>related</w:t>
            </w:r>
            <w:proofErr w:type="spellEnd"/>
            <w:r w:rsidRPr="00275FBD">
              <w:rPr>
                <w:rFonts w:ascii="Calibri" w:hAnsi="Calibri"/>
                <w:sz w:val="18"/>
                <w:szCs w:val="18"/>
                <w:lang w:val="sl-SI" w:eastAsia="en-GB"/>
              </w:rPr>
              <w:t xml:space="preserve"> to </w:t>
            </w:r>
            <w:proofErr w:type="spellStart"/>
            <w:r w:rsidRPr="00275FBD">
              <w:rPr>
                <w:rFonts w:ascii="Calibri" w:hAnsi="Calibri"/>
                <w:sz w:val="18"/>
                <w:szCs w:val="18"/>
                <w:lang w:val="sl-SI" w:eastAsia="en-GB"/>
              </w:rPr>
              <w:t>inadequate</w:t>
            </w:r>
            <w:proofErr w:type="spellEnd"/>
            <w:r w:rsidRPr="00275FBD">
              <w:rPr>
                <w:rFonts w:ascii="Calibri" w:hAnsi="Calibri"/>
                <w:sz w:val="18"/>
                <w:szCs w:val="18"/>
                <w:lang w:val="sl-SI" w:eastAsia="en-GB"/>
              </w:rPr>
              <w:t xml:space="preserve"> data </w:t>
            </w:r>
            <w:proofErr w:type="spellStart"/>
            <w:r w:rsidRPr="00275FBD">
              <w:rPr>
                <w:rFonts w:ascii="Calibri" w:hAnsi="Calibri"/>
                <w:sz w:val="18"/>
                <w:szCs w:val="18"/>
                <w:lang w:val="sl-SI" w:eastAsia="en-GB"/>
              </w:rPr>
              <w:t>sets</w:t>
            </w:r>
            <w:proofErr w:type="spellEnd"/>
            <w:r w:rsidRPr="00275FBD">
              <w:rPr>
                <w:rFonts w:ascii="Calibri" w:hAnsi="Calibri"/>
                <w:sz w:val="18"/>
                <w:szCs w:val="18"/>
                <w:lang w:val="sl-SI" w:eastAsia="en-GB"/>
              </w:rPr>
              <w:t xml:space="preserve"> used in NEK </w:t>
            </w:r>
            <w:proofErr w:type="spellStart"/>
            <w:r w:rsidRPr="00275FBD">
              <w:rPr>
                <w:rFonts w:ascii="Calibri" w:hAnsi="Calibri"/>
                <w:sz w:val="18"/>
                <w:szCs w:val="18"/>
                <w:lang w:val="sl-SI" w:eastAsia="en-GB"/>
              </w:rPr>
              <w:t>flooding</w:t>
            </w:r>
            <w:proofErr w:type="spellEnd"/>
            <w:r w:rsidRPr="00275FBD">
              <w:rPr>
                <w:rFonts w:ascii="Calibri" w:hAnsi="Calibri"/>
                <w:sz w:val="18"/>
                <w:szCs w:val="18"/>
                <w:lang w:val="sl-SI" w:eastAsia="en-GB"/>
              </w:rPr>
              <w:t xml:space="preserve"> hazard </w:t>
            </w:r>
            <w:proofErr w:type="spellStart"/>
            <w:r w:rsidRPr="00275FBD">
              <w:rPr>
                <w:rFonts w:ascii="Calibri" w:hAnsi="Calibri"/>
                <w:sz w:val="18"/>
                <w:szCs w:val="18"/>
                <w:lang w:val="sl-SI" w:eastAsia="en-GB"/>
              </w:rPr>
              <w:t>analysis</w:t>
            </w:r>
            <w:proofErr w:type="spellEnd"/>
            <w:r w:rsidRPr="00275FBD">
              <w:rPr>
                <w:rFonts w:ascii="Calibri" w:hAnsi="Calibri"/>
                <w:sz w:val="18"/>
                <w:szCs w:val="18"/>
                <w:lang w:val="sl-SI" w:eastAsia="en-GB"/>
              </w:rPr>
              <w:t xml:space="preserve">. In the </w:t>
            </w:r>
            <w:proofErr w:type="spellStart"/>
            <w:r w:rsidRPr="00275FBD">
              <w:rPr>
                <w:rFonts w:ascii="Calibri" w:hAnsi="Calibri"/>
                <w:sz w:val="18"/>
                <w:szCs w:val="18"/>
                <w:lang w:val="sl-SI" w:eastAsia="en-GB"/>
              </w:rPr>
              <w:t>estimation</w:t>
            </w:r>
            <w:proofErr w:type="spellEnd"/>
            <w:r w:rsidRPr="00275FBD">
              <w:rPr>
                <w:rFonts w:ascii="Calibri" w:hAnsi="Calibri"/>
                <w:sz w:val="18"/>
                <w:szCs w:val="18"/>
                <w:lang w:val="sl-SI" w:eastAsia="en-GB"/>
              </w:rPr>
              <w:t xml:space="preserve"> of the 100-year </w:t>
            </w:r>
            <w:proofErr w:type="spellStart"/>
            <w:r w:rsidRPr="00275FBD">
              <w:rPr>
                <w:rFonts w:ascii="Calibri" w:hAnsi="Calibri"/>
                <w:sz w:val="18"/>
                <w:szCs w:val="18"/>
                <w:lang w:val="sl-SI" w:eastAsia="en-GB"/>
              </w:rPr>
              <w:t>snow</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cover</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thickness</w:t>
            </w:r>
            <w:proofErr w:type="spellEnd"/>
            <w:r w:rsidRPr="00275FBD">
              <w:rPr>
                <w:rFonts w:ascii="Calibri" w:hAnsi="Calibri"/>
                <w:sz w:val="18"/>
                <w:szCs w:val="18"/>
                <w:lang w:val="sl-SI" w:eastAsia="en-GB"/>
              </w:rPr>
              <w:t xml:space="preserve"> and the 100-year </w:t>
            </w:r>
            <w:proofErr w:type="spellStart"/>
            <w:r w:rsidRPr="00275FBD">
              <w:rPr>
                <w:rFonts w:ascii="Calibri" w:hAnsi="Calibri"/>
                <w:sz w:val="18"/>
                <w:szCs w:val="18"/>
                <w:lang w:val="sl-SI" w:eastAsia="en-GB"/>
              </w:rPr>
              <w:t>maximum</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daily</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temperatures</w:t>
            </w:r>
            <w:proofErr w:type="spellEnd"/>
            <w:r w:rsidRPr="00275FBD">
              <w:rPr>
                <w:rFonts w:ascii="Calibri" w:hAnsi="Calibri"/>
                <w:sz w:val="18"/>
                <w:szCs w:val="18"/>
                <w:lang w:val="sl-SI" w:eastAsia="en-GB"/>
              </w:rPr>
              <w:t xml:space="preserve"> of a </w:t>
            </w:r>
            <w:proofErr w:type="spellStart"/>
            <w:r w:rsidRPr="00275FBD">
              <w:rPr>
                <w:rFonts w:ascii="Calibri" w:hAnsi="Calibri"/>
                <w:sz w:val="18"/>
                <w:szCs w:val="18"/>
                <w:lang w:val="sl-SI" w:eastAsia="en-GB"/>
              </w:rPr>
              <w:t>month</w:t>
            </w:r>
            <w:proofErr w:type="spellEnd"/>
            <w:r w:rsidRPr="00275FBD">
              <w:rPr>
                <w:rFonts w:ascii="Calibri" w:hAnsi="Calibri"/>
                <w:sz w:val="18"/>
                <w:szCs w:val="18"/>
                <w:lang w:val="sl-SI" w:eastAsia="en-GB"/>
              </w:rPr>
              <w:t xml:space="preserve">, data </w:t>
            </w:r>
            <w:proofErr w:type="spellStart"/>
            <w:r w:rsidRPr="00275FBD">
              <w:rPr>
                <w:rFonts w:ascii="Calibri" w:hAnsi="Calibri"/>
                <w:sz w:val="18"/>
                <w:szCs w:val="18"/>
                <w:lang w:val="sl-SI" w:eastAsia="en-GB"/>
              </w:rPr>
              <w:t>periods</w:t>
            </w:r>
            <w:proofErr w:type="spellEnd"/>
            <w:r w:rsidRPr="00275FBD">
              <w:rPr>
                <w:rFonts w:ascii="Calibri" w:hAnsi="Calibri"/>
                <w:sz w:val="18"/>
                <w:szCs w:val="18"/>
                <w:lang w:val="sl-SI" w:eastAsia="en-GB"/>
              </w:rPr>
              <w:t xml:space="preserve"> of 17 </w:t>
            </w:r>
            <w:proofErr w:type="spellStart"/>
            <w:r w:rsidRPr="00275FBD">
              <w:rPr>
                <w:rFonts w:ascii="Calibri" w:hAnsi="Calibri"/>
                <w:sz w:val="18"/>
                <w:szCs w:val="18"/>
                <w:lang w:val="sl-SI" w:eastAsia="en-GB"/>
              </w:rPr>
              <w:t>years</w:t>
            </w:r>
            <w:proofErr w:type="spellEnd"/>
            <w:r w:rsidRPr="00275FBD">
              <w:rPr>
                <w:rFonts w:ascii="Calibri" w:hAnsi="Calibri"/>
                <w:sz w:val="18"/>
                <w:szCs w:val="18"/>
                <w:lang w:val="sl-SI" w:eastAsia="en-GB"/>
              </w:rPr>
              <w:t xml:space="preserve"> (1990-2006) were used </w:t>
            </w:r>
            <w:proofErr w:type="spellStart"/>
            <w:r w:rsidRPr="00275FBD">
              <w:rPr>
                <w:rFonts w:ascii="Calibri" w:hAnsi="Calibri"/>
                <w:sz w:val="18"/>
                <w:szCs w:val="18"/>
                <w:lang w:val="sl-SI" w:eastAsia="en-GB"/>
              </w:rPr>
              <w:t>although</w:t>
            </w:r>
            <w:proofErr w:type="spellEnd"/>
            <w:r w:rsidRPr="00275FBD">
              <w:rPr>
                <w:rFonts w:ascii="Calibri" w:hAnsi="Calibri"/>
                <w:sz w:val="18"/>
                <w:szCs w:val="18"/>
                <w:lang w:val="sl-SI" w:eastAsia="en-GB"/>
              </w:rPr>
              <w:t xml:space="preserve"> the minimum period of </w:t>
            </w:r>
            <w:proofErr w:type="spellStart"/>
            <w:r w:rsidRPr="00275FBD">
              <w:rPr>
                <w:rFonts w:ascii="Calibri" w:hAnsi="Calibri"/>
                <w:sz w:val="18"/>
                <w:szCs w:val="18"/>
                <w:lang w:val="sl-SI" w:eastAsia="en-GB"/>
              </w:rPr>
              <w:t>continuous</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observation</w:t>
            </w:r>
            <w:proofErr w:type="spellEnd"/>
            <w:r w:rsidRPr="00275FBD">
              <w:rPr>
                <w:rFonts w:ascii="Calibri" w:hAnsi="Calibri"/>
                <w:sz w:val="18"/>
                <w:szCs w:val="18"/>
                <w:lang w:val="sl-SI" w:eastAsia="en-GB"/>
              </w:rPr>
              <w:t xml:space="preserve"> </w:t>
            </w:r>
            <w:proofErr w:type="spellStart"/>
            <w:r w:rsidRPr="00275FBD">
              <w:rPr>
                <w:rFonts w:ascii="Calibri" w:hAnsi="Calibri"/>
                <w:sz w:val="18"/>
                <w:szCs w:val="18"/>
                <w:lang w:val="sl-SI" w:eastAsia="en-GB"/>
              </w:rPr>
              <w:t>should</w:t>
            </w:r>
            <w:proofErr w:type="spellEnd"/>
            <w:r w:rsidRPr="00275FBD">
              <w:rPr>
                <w:rFonts w:ascii="Calibri" w:hAnsi="Calibri"/>
                <w:sz w:val="18"/>
                <w:szCs w:val="18"/>
                <w:lang w:val="sl-SI" w:eastAsia="en-GB"/>
              </w:rPr>
              <w:t xml:space="preserve"> be at </w:t>
            </w:r>
            <w:proofErr w:type="spellStart"/>
            <w:r w:rsidRPr="00275FBD">
              <w:rPr>
                <w:rFonts w:ascii="Calibri" w:hAnsi="Calibri"/>
                <w:sz w:val="18"/>
                <w:szCs w:val="18"/>
                <w:lang w:val="sl-SI" w:eastAsia="en-GB"/>
              </w:rPr>
              <w:t>least</w:t>
            </w:r>
            <w:proofErr w:type="spellEnd"/>
            <w:r w:rsidRPr="00275FBD">
              <w:rPr>
                <w:rFonts w:ascii="Calibri" w:hAnsi="Calibri"/>
                <w:sz w:val="18"/>
                <w:szCs w:val="18"/>
                <w:lang w:val="sl-SI" w:eastAsia="en-GB"/>
              </w:rPr>
              <w:t xml:space="preserve"> 30 </w:t>
            </w:r>
            <w:proofErr w:type="spellStart"/>
            <w:r w:rsidRPr="00275FBD">
              <w:rPr>
                <w:rFonts w:ascii="Calibri" w:hAnsi="Calibri"/>
                <w:sz w:val="18"/>
                <w:szCs w:val="18"/>
                <w:lang w:val="sl-SI" w:eastAsia="en-GB"/>
              </w:rPr>
              <w:t>years</w:t>
            </w:r>
            <w:proofErr w:type="spellEnd"/>
            <w:r w:rsidRPr="00275FBD">
              <w:rPr>
                <w:rFonts w:ascii="Calibri" w:hAnsi="Calibri"/>
                <w:sz w:val="18"/>
                <w:szCs w:val="18"/>
                <w:lang w:val="sl-SI" w:eastAsia="en-GB"/>
              </w:rPr>
              <w:t>, according to IAEA SSG-18.)</w:t>
            </w:r>
          </w:p>
        </w:tc>
        <w:tc>
          <w:tcPr>
            <w:tcW w:w="993" w:type="dxa"/>
            <w:tcBorders>
              <w:bottom w:val="single" w:sz="4" w:space="0" w:color="auto"/>
            </w:tcBorders>
          </w:tcPr>
          <w:p w14:paraId="0D8F5E4F"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3.1.2</w:t>
            </w:r>
          </w:p>
        </w:tc>
        <w:tc>
          <w:tcPr>
            <w:tcW w:w="5244" w:type="dxa"/>
            <w:tcBorders>
              <w:bottom w:val="single" w:sz="4" w:space="0" w:color="auto"/>
            </w:tcBorders>
          </w:tcPr>
          <w:p w14:paraId="5021C7B4"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The SNSA </w:t>
            </w:r>
            <w:proofErr w:type="spellStart"/>
            <w:r w:rsidRPr="00275FBD">
              <w:rPr>
                <w:rFonts w:ascii="Calibri" w:hAnsi="Calibri"/>
                <w:color w:val="000000"/>
                <w:sz w:val="18"/>
                <w:szCs w:val="18"/>
                <w:lang w:val="sl-SI" w:eastAsia="en-GB"/>
              </w:rPr>
              <w:t>agrees</w:t>
            </w:r>
            <w:proofErr w:type="spellEnd"/>
            <w:r w:rsidRPr="00275FBD">
              <w:rPr>
                <w:rFonts w:ascii="Calibri" w:hAnsi="Calibri"/>
                <w:color w:val="000000"/>
                <w:sz w:val="18"/>
                <w:szCs w:val="18"/>
                <w:lang w:val="sl-SI" w:eastAsia="en-GB"/>
              </w:rPr>
              <w:t xml:space="preserve"> that it is </w:t>
            </w:r>
            <w:proofErr w:type="spellStart"/>
            <w:r w:rsidRPr="00275FBD">
              <w:rPr>
                <w:rFonts w:ascii="Calibri" w:hAnsi="Calibri"/>
                <w:color w:val="000000"/>
                <w:sz w:val="18"/>
                <w:szCs w:val="18"/>
                <w:lang w:val="sl-SI" w:eastAsia="en-GB"/>
              </w:rPr>
              <w:t>important</w:t>
            </w:r>
            <w:proofErr w:type="spellEnd"/>
            <w:r w:rsidRPr="00275FBD">
              <w:rPr>
                <w:rFonts w:ascii="Calibri" w:hAnsi="Calibri"/>
                <w:color w:val="000000"/>
                <w:sz w:val="18"/>
                <w:szCs w:val="18"/>
                <w:lang w:val="sl-SI" w:eastAsia="en-GB"/>
              </w:rPr>
              <w:t xml:space="preserve"> to take </w:t>
            </w:r>
            <w:proofErr w:type="spellStart"/>
            <w:r w:rsidRPr="00275FBD">
              <w:rPr>
                <w:rFonts w:ascii="Calibri" w:hAnsi="Calibri"/>
                <w:color w:val="000000"/>
                <w:sz w:val="18"/>
                <w:szCs w:val="18"/>
                <w:lang w:val="sl-SI" w:eastAsia="en-GB"/>
              </w:rPr>
              <w:t>into</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account</w:t>
            </w:r>
            <w:proofErr w:type="spellEnd"/>
            <w:r w:rsidRPr="00275FBD">
              <w:rPr>
                <w:rFonts w:ascii="Calibri" w:hAnsi="Calibri"/>
                <w:color w:val="000000"/>
                <w:sz w:val="18"/>
                <w:szCs w:val="18"/>
                <w:lang w:val="sl-SI" w:eastAsia="en-GB"/>
              </w:rPr>
              <w:t xml:space="preserve"> the </w:t>
            </w:r>
            <w:proofErr w:type="spellStart"/>
            <w:r w:rsidRPr="00275FBD">
              <w:rPr>
                <w:rFonts w:ascii="Calibri" w:hAnsi="Calibri"/>
                <w:color w:val="000000"/>
                <w:sz w:val="18"/>
                <w:szCs w:val="18"/>
                <w:lang w:val="sl-SI" w:eastAsia="en-GB"/>
              </w:rPr>
              <w:t>adequate</w:t>
            </w:r>
            <w:proofErr w:type="spellEnd"/>
            <w:r w:rsidRPr="00275FBD">
              <w:rPr>
                <w:rFonts w:ascii="Calibri" w:hAnsi="Calibri"/>
                <w:color w:val="000000"/>
                <w:sz w:val="18"/>
                <w:szCs w:val="18"/>
                <w:lang w:val="sl-SI" w:eastAsia="en-GB"/>
              </w:rPr>
              <w:t xml:space="preserve"> set of data </w:t>
            </w:r>
            <w:proofErr w:type="spellStart"/>
            <w:r w:rsidRPr="00275FBD">
              <w:rPr>
                <w:rFonts w:ascii="Calibri" w:hAnsi="Calibri"/>
                <w:color w:val="000000"/>
                <w:sz w:val="18"/>
                <w:szCs w:val="18"/>
                <w:lang w:val="sl-SI" w:eastAsia="en-GB"/>
              </w:rPr>
              <w:t>including</w:t>
            </w:r>
            <w:proofErr w:type="spellEnd"/>
            <w:r w:rsidRPr="00275FBD">
              <w:rPr>
                <w:rFonts w:ascii="Calibri" w:hAnsi="Calibri"/>
                <w:color w:val="000000"/>
                <w:sz w:val="18"/>
                <w:szCs w:val="18"/>
                <w:lang w:val="sl-SI" w:eastAsia="en-GB"/>
              </w:rPr>
              <w:t xml:space="preserve"> most </w:t>
            </w:r>
            <w:proofErr w:type="spellStart"/>
            <w:r w:rsidRPr="00275FBD">
              <w:rPr>
                <w:rFonts w:ascii="Calibri" w:hAnsi="Calibri"/>
                <w:color w:val="000000"/>
                <w:sz w:val="18"/>
                <w:szCs w:val="18"/>
                <w:lang w:val="sl-SI" w:eastAsia="en-GB"/>
              </w:rPr>
              <w:t>recently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available</w:t>
            </w:r>
            <w:proofErr w:type="spellEnd"/>
            <w:r w:rsidRPr="00275FBD">
              <w:rPr>
                <w:rFonts w:ascii="Calibri" w:hAnsi="Calibri"/>
                <w:color w:val="000000"/>
                <w:sz w:val="18"/>
                <w:szCs w:val="18"/>
                <w:lang w:val="sl-SI" w:eastAsia="en-GB"/>
              </w:rPr>
              <w:t xml:space="preserve"> data </w:t>
            </w:r>
            <w:proofErr w:type="spellStart"/>
            <w:r w:rsidRPr="00275FBD">
              <w:rPr>
                <w:rFonts w:ascii="Calibri" w:hAnsi="Calibri"/>
                <w:color w:val="000000"/>
                <w:sz w:val="18"/>
                <w:szCs w:val="18"/>
                <w:lang w:val="sl-SI" w:eastAsia="en-GB"/>
              </w:rPr>
              <w:t>sets</w:t>
            </w:r>
            <w:proofErr w:type="spellEnd"/>
            <w:r w:rsidRPr="00275FBD">
              <w:rPr>
                <w:rFonts w:ascii="Calibri" w:hAnsi="Calibri"/>
                <w:color w:val="000000"/>
                <w:sz w:val="18"/>
                <w:szCs w:val="18"/>
                <w:lang w:val="sl-SI" w:eastAsia="en-GB"/>
              </w:rPr>
              <w:t xml:space="preserve"> for </w:t>
            </w:r>
            <w:proofErr w:type="spellStart"/>
            <w:r w:rsidRPr="00275FBD">
              <w:rPr>
                <w:rFonts w:ascii="Calibri" w:hAnsi="Calibri"/>
                <w:color w:val="000000"/>
                <w:sz w:val="18"/>
                <w:szCs w:val="18"/>
                <w:lang w:val="sl-SI" w:eastAsia="en-GB"/>
              </w:rPr>
              <w:t>analysis</w:t>
            </w:r>
            <w:proofErr w:type="spellEnd"/>
            <w:r w:rsidRPr="00275FBD">
              <w:rPr>
                <w:rFonts w:ascii="Calibri" w:hAnsi="Calibri"/>
                <w:color w:val="000000"/>
                <w:sz w:val="18"/>
                <w:szCs w:val="18"/>
                <w:lang w:val="sl-SI" w:eastAsia="en-GB"/>
              </w:rPr>
              <w:t>.</w:t>
            </w:r>
          </w:p>
        </w:tc>
        <w:tc>
          <w:tcPr>
            <w:tcW w:w="2694" w:type="dxa"/>
            <w:tcBorders>
              <w:bottom w:val="single" w:sz="4" w:space="0" w:color="auto"/>
            </w:tcBorders>
          </w:tcPr>
          <w:p w14:paraId="3AF71769"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III</w:t>
            </w:r>
          </w:p>
        </w:tc>
      </w:tr>
      <w:tr w:rsidR="00935B67" w:rsidRPr="00275FBD" w14:paraId="0373DFEE" w14:textId="77777777" w:rsidTr="00935B67">
        <w:tc>
          <w:tcPr>
            <w:tcW w:w="1384" w:type="dxa"/>
            <w:tcBorders>
              <w:top w:val="single" w:sz="4" w:space="0" w:color="auto"/>
            </w:tcBorders>
            <w:shd w:val="clear" w:color="auto" w:fill="FFFFCC"/>
          </w:tcPr>
          <w:p w14:paraId="152A3427"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themeColor="text1"/>
                <w:sz w:val="18"/>
                <w:szCs w:val="18"/>
                <w:lang w:val="sl-SI" w:eastAsia="en-GB"/>
              </w:rPr>
              <w:t>PSR3 3.1-006</w:t>
            </w:r>
          </w:p>
        </w:tc>
        <w:tc>
          <w:tcPr>
            <w:tcW w:w="3827" w:type="dxa"/>
            <w:tcBorders>
              <w:top w:val="single" w:sz="4" w:space="0" w:color="auto"/>
            </w:tcBorders>
          </w:tcPr>
          <w:p w14:paraId="0F1F684E"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b/>
                <w:bCs/>
                <w:color w:val="000000" w:themeColor="text1"/>
                <w:sz w:val="18"/>
                <w:szCs w:val="18"/>
                <w:lang w:val="sl-SI" w:eastAsia="en-GB"/>
              </w:rPr>
              <w:t xml:space="preserve">Verification of Operating </w:t>
            </w:r>
            <w:proofErr w:type="spellStart"/>
            <w:r w:rsidRPr="00275FBD">
              <w:rPr>
                <w:rFonts w:ascii="Calibri" w:hAnsi="Calibri"/>
                <w:b/>
                <w:bCs/>
                <w:color w:val="000000" w:themeColor="text1"/>
                <w:sz w:val="18"/>
                <w:szCs w:val="18"/>
                <w:lang w:val="sl-SI" w:eastAsia="en-GB"/>
              </w:rPr>
              <w:t>Experience</w:t>
            </w:r>
            <w:proofErr w:type="spellEnd"/>
            <w:r w:rsidRPr="00275FBD">
              <w:rPr>
                <w:rFonts w:ascii="Calibri" w:hAnsi="Calibri"/>
                <w:b/>
                <w:bCs/>
                <w:color w:val="000000" w:themeColor="text1"/>
                <w:sz w:val="18"/>
                <w:szCs w:val="18"/>
                <w:lang w:val="sl-SI" w:eastAsia="en-GB"/>
              </w:rPr>
              <w:t xml:space="preserve"> for the </w:t>
            </w:r>
            <w:proofErr w:type="spellStart"/>
            <w:r w:rsidRPr="00275FBD">
              <w:rPr>
                <w:rFonts w:ascii="Calibri" w:hAnsi="Calibri"/>
                <w:b/>
                <w:bCs/>
                <w:color w:val="000000" w:themeColor="text1"/>
                <w:sz w:val="18"/>
                <w:szCs w:val="18"/>
                <w:lang w:val="sl-SI" w:eastAsia="en-GB"/>
              </w:rPr>
              <w:t>activity</w:t>
            </w:r>
            <w:proofErr w:type="spellEnd"/>
            <w:r w:rsidRPr="00275FBD">
              <w:rPr>
                <w:rFonts w:ascii="Calibri" w:hAnsi="Calibri"/>
                <w:color w:val="000000" w:themeColor="text1"/>
                <w:sz w:val="18"/>
                <w:szCs w:val="18"/>
                <w:lang w:val="sl-SI" w:eastAsia="en-GB"/>
              </w:rPr>
              <w:br/>
              <w:t xml:space="preserve">The </w:t>
            </w:r>
            <w:proofErr w:type="spellStart"/>
            <w:r w:rsidRPr="00275FBD">
              <w:rPr>
                <w:rFonts w:ascii="Calibri" w:hAnsi="Calibri"/>
                <w:color w:val="000000" w:themeColor="text1"/>
                <w:sz w:val="18"/>
                <w:szCs w:val="18"/>
                <w:lang w:val="sl-SI" w:eastAsia="en-GB"/>
              </w:rPr>
              <w:t>proposal</w:t>
            </w:r>
            <w:proofErr w:type="spellEnd"/>
            <w:r w:rsidRPr="00275FBD">
              <w:rPr>
                <w:rFonts w:ascii="Calibri" w:hAnsi="Calibri"/>
                <w:color w:val="000000" w:themeColor="text1"/>
                <w:sz w:val="18"/>
                <w:szCs w:val="18"/>
                <w:lang w:val="sl-SI" w:eastAsia="en-GB"/>
              </w:rPr>
              <w:t xml:space="preserve"> is to </w:t>
            </w:r>
            <w:proofErr w:type="spellStart"/>
            <w:r w:rsidRPr="00275FBD">
              <w:rPr>
                <w:rFonts w:ascii="Calibri" w:hAnsi="Calibri"/>
                <w:color w:val="000000" w:themeColor="text1"/>
                <w:sz w:val="18"/>
                <w:szCs w:val="18"/>
                <w:lang w:val="sl-SI" w:eastAsia="en-GB"/>
              </w:rPr>
              <w:t>revise</w:t>
            </w:r>
            <w:proofErr w:type="spellEnd"/>
            <w:r w:rsidRPr="00275FBD">
              <w:rPr>
                <w:rFonts w:ascii="Calibri" w:hAnsi="Calibri"/>
                <w:color w:val="000000" w:themeColor="text1"/>
                <w:sz w:val="18"/>
                <w:szCs w:val="18"/>
                <w:lang w:val="sl-SI" w:eastAsia="en-GB"/>
              </w:rPr>
              <w:t xml:space="preserve"> the procedure ADP-1.1.122.</w:t>
            </w:r>
            <w:r w:rsidRPr="00275FBD">
              <w:rPr>
                <w:rFonts w:ascii="Calibri" w:hAnsi="Calibri"/>
                <w:color w:val="000000" w:themeColor="text1"/>
                <w:sz w:val="18"/>
                <w:szCs w:val="18"/>
                <w:lang w:val="sl-SI" w:eastAsia="en-GB"/>
              </w:rPr>
              <w:br/>
              <w:t xml:space="preserve">OSF element: </w:t>
            </w:r>
            <w:proofErr w:type="spellStart"/>
            <w:r w:rsidRPr="00275FBD">
              <w:rPr>
                <w:rFonts w:ascii="Calibri" w:hAnsi="Calibri"/>
                <w:color w:val="000000" w:themeColor="text1"/>
                <w:sz w:val="18"/>
                <w:szCs w:val="18"/>
                <w:lang w:val="sl-SI" w:eastAsia="en-GB"/>
              </w:rPr>
              <w:t>Measures</w:t>
            </w:r>
            <w:proofErr w:type="spellEnd"/>
            <w:r w:rsidRPr="00275FBD">
              <w:rPr>
                <w:rFonts w:ascii="Calibri" w:hAnsi="Calibri"/>
                <w:color w:val="000000" w:themeColor="text1"/>
                <w:sz w:val="18"/>
                <w:szCs w:val="18"/>
                <w:lang w:val="sl-SI" w:eastAsia="en-GB"/>
              </w:rPr>
              <w:t xml:space="preserve"> in Place to </w:t>
            </w:r>
            <w:proofErr w:type="spellStart"/>
            <w:r w:rsidRPr="00275FBD">
              <w:rPr>
                <w:rFonts w:ascii="Calibri" w:hAnsi="Calibri"/>
                <w:color w:val="000000" w:themeColor="text1"/>
                <w:sz w:val="18"/>
                <w:szCs w:val="18"/>
                <w:lang w:val="sl-SI" w:eastAsia="en-GB"/>
              </w:rPr>
              <w:t>Ensure</w:t>
            </w:r>
            <w:proofErr w:type="spellEnd"/>
            <w:r w:rsidRPr="00275FBD">
              <w:rPr>
                <w:rFonts w:ascii="Calibri" w:hAnsi="Calibri"/>
                <w:color w:val="000000" w:themeColor="text1"/>
                <w:sz w:val="18"/>
                <w:szCs w:val="18"/>
                <w:lang w:val="sl-SI" w:eastAsia="en-GB"/>
              </w:rPr>
              <w:t xml:space="preserve"> That Events </w:t>
            </w:r>
            <w:proofErr w:type="spellStart"/>
            <w:r w:rsidRPr="00275FBD">
              <w:rPr>
                <w:rFonts w:ascii="Calibri" w:hAnsi="Calibri"/>
                <w:color w:val="000000" w:themeColor="text1"/>
                <w:sz w:val="18"/>
                <w:szCs w:val="18"/>
                <w:lang w:val="sl-SI" w:eastAsia="en-GB"/>
              </w:rPr>
              <w:t>Significant</w:t>
            </w:r>
            <w:proofErr w:type="spellEnd"/>
            <w:r w:rsidRPr="00275FBD">
              <w:rPr>
                <w:rFonts w:ascii="Calibri" w:hAnsi="Calibri"/>
                <w:color w:val="000000" w:themeColor="text1"/>
                <w:sz w:val="18"/>
                <w:szCs w:val="18"/>
                <w:lang w:val="sl-SI" w:eastAsia="en-GB"/>
              </w:rPr>
              <w:t xml:space="preserve"> or </w:t>
            </w:r>
            <w:proofErr w:type="spellStart"/>
            <w:r w:rsidRPr="00275FBD">
              <w:rPr>
                <w:rFonts w:ascii="Calibri" w:hAnsi="Calibri"/>
                <w:color w:val="000000" w:themeColor="text1"/>
                <w:sz w:val="18"/>
                <w:szCs w:val="18"/>
                <w:lang w:val="sl-SI" w:eastAsia="en-GB"/>
              </w:rPr>
              <w:t>Potentially</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Significant</w:t>
            </w:r>
            <w:proofErr w:type="spellEnd"/>
            <w:r w:rsidRPr="00275FBD">
              <w:rPr>
                <w:rFonts w:ascii="Calibri" w:hAnsi="Calibri"/>
                <w:color w:val="000000" w:themeColor="text1"/>
                <w:sz w:val="18"/>
                <w:szCs w:val="18"/>
                <w:lang w:val="sl-SI" w:eastAsia="en-GB"/>
              </w:rPr>
              <w:t xml:space="preserve"> to Safety Are </w:t>
            </w:r>
            <w:proofErr w:type="spellStart"/>
            <w:r w:rsidRPr="00275FBD">
              <w:rPr>
                <w:rFonts w:ascii="Calibri" w:hAnsi="Calibri"/>
                <w:color w:val="000000" w:themeColor="text1"/>
                <w:sz w:val="18"/>
                <w:szCs w:val="18"/>
                <w:lang w:val="sl-SI" w:eastAsia="en-GB"/>
              </w:rPr>
              <w:t>Detected</w:t>
            </w:r>
            <w:proofErr w:type="spellEnd"/>
            <w:r w:rsidRPr="00275FBD">
              <w:rPr>
                <w:rFonts w:ascii="Calibri" w:hAnsi="Calibri"/>
                <w:color w:val="000000" w:themeColor="text1"/>
                <w:sz w:val="18"/>
                <w:szCs w:val="18"/>
                <w:lang w:val="sl-SI" w:eastAsia="en-GB"/>
              </w:rPr>
              <w:t xml:space="preserve"> and </w:t>
            </w:r>
            <w:proofErr w:type="spellStart"/>
            <w:r w:rsidRPr="00275FBD">
              <w:rPr>
                <w:rFonts w:ascii="Calibri" w:hAnsi="Calibri"/>
                <w:color w:val="000000" w:themeColor="text1"/>
                <w:sz w:val="18"/>
                <w:szCs w:val="18"/>
                <w:lang w:val="sl-SI" w:eastAsia="en-GB"/>
              </w:rPr>
              <w:t>Evaluated</w:t>
            </w:r>
            <w:proofErr w:type="spellEnd"/>
            <w:r w:rsidRPr="00275FBD">
              <w:rPr>
                <w:rFonts w:ascii="Calibri" w:hAnsi="Calibri"/>
                <w:color w:val="000000" w:themeColor="text1"/>
                <w:sz w:val="18"/>
                <w:szCs w:val="18"/>
                <w:lang w:val="sl-SI" w:eastAsia="en-GB"/>
              </w:rPr>
              <w:t xml:space="preserve"> in </w:t>
            </w:r>
            <w:proofErr w:type="spellStart"/>
            <w:r w:rsidRPr="00275FBD">
              <w:rPr>
                <w:rFonts w:ascii="Calibri" w:hAnsi="Calibri"/>
                <w:color w:val="000000" w:themeColor="text1"/>
                <w:sz w:val="18"/>
                <w:szCs w:val="18"/>
                <w:lang w:val="sl-SI" w:eastAsia="en-GB"/>
              </w:rPr>
              <w:t>Depth</w:t>
            </w:r>
            <w:proofErr w:type="spellEnd"/>
          </w:p>
        </w:tc>
        <w:tc>
          <w:tcPr>
            <w:tcW w:w="993" w:type="dxa"/>
            <w:tcBorders>
              <w:top w:val="single" w:sz="4" w:space="0" w:color="auto"/>
            </w:tcBorders>
          </w:tcPr>
          <w:p w14:paraId="42F12B4A"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3.1.4</w:t>
            </w:r>
          </w:p>
        </w:tc>
        <w:tc>
          <w:tcPr>
            <w:tcW w:w="5244" w:type="dxa"/>
            <w:tcBorders>
              <w:top w:val="single" w:sz="4" w:space="0" w:color="auto"/>
            </w:tcBorders>
          </w:tcPr>
          <w:p w14:paraId="39167D24"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We </w:t>
            </w:r>
            <w:proofErr w:type="spellStart"/>
            <w:r w:rsidRPr="00275FBD">
              <w:rPr>
                <w:rFonts w:ascii="Calibri" w:hAnsi="Calibri"/>
                <w:color w:val="000000"/>
                <w:sz w:val="18"/>
                <w:szCs w:val="18"/>
                <w:lang w:val="sl-SI" w:eastAsia="en-GB"/>
              </w:rPr>
              <w:t>agree</w:t>
            </w:r>
            <w:proofErr w:type="spellEnd"/>
            <w:r w:rsidRPr="00275FBD">
              <w:rPr>
                <w:rFonts w:ascii="Calibri" w:hAnsi="Calibri"/>
                <w:color w:val="000000"/>
                <w:sz w:val="18"/>
                <w:szCs w:val="18"/>
                <w:lang w:val="sl-SI" w:eastAsia="en-GB"/>
              </w:rPr>
              <w:t xml:space="preserve"> that procedure ADP-1.1.122 “Izdaja, priprava in planiranje delovnega naloga” </w:t>
            </w:r>
            <w:proofErr w:type="spellStart"/>
            <w:r w:rsidRPr="00275FBD">
              <w:rPr>
                <w:rFonts w:ascii="Calibri" w:hAnsi="Calibri"/>
                <w:color w:val="000000"/>
                <w:sz w:val="18"/>
                <w:szCs w:val="18"/>
                <w:lang w:val="sl-SI" w:eastAsia="en-GB"/>
              </w:rPr>
              <w:t>needs</w:t>
            </w:r>
            <w:proofErr w:type="spellEnd"/>
            <w:r w:rsidRPr="00275FBD">
              <w:rPr>
                <w:rFonts w:ascii="Calibri" w:hAnsi="Calibri"/>
                <w:color w:val="000000"/>
                <w:sz w:val="18"/>
                <w:szCs w:val="18"/>
                <w:lang w:val="sl-SI" w:eastAsia="en-GB"/>
              </w:rPr>
              <w:t xml:space="preserve"> to be </w:t>
            </w:r>
            <w:proofErr w:type="spellStart"/>
            <w:r w:rsidRPr="00275FBD">
              <w:rPr>
                <w:rFonts w:ascii="Calibri" w:hAnsi="Calibri"/>
                <w:color w:val="000000"/>
                <w:sz w:val="18"/>
                <w:szCs w:val="18"/>
                <w:lang w:val="sl-SI" w:eastAsia="en-GB"/>
              </w:rPr>
              <w:t>revised</w:t>
            </w:r>
            <w:proofErr w:type="spellEnd"/>
            <w:r w:rsidRPr="00275FBD">
              <w:rPr>
                <w:rFonts w:ascii="Calibri" w:hAnsi="Calibri"/>
                <w:color w:val="000000"/>
                <w:sz w:val="18"/>
                <w:szCs w:val="18"/>
                <w:lang w:val="sl-SI" w:eastAsia="en-GB"/>
              </w:rPr>
              <w:t>:</w:t>
            </w:r>
          </w:p>
          <w:p w14:paraId="2ECB9DF4"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It is </w:t>
            </w:r>
            <w:proofErr w:type="spellStart"/>
            <w:r w:rsidRPr="00275FBD">
              <w:rPr>
                <w:rFonts w:ascii="Calibri" w:hAnsi="Calibri"/>
                <w:color w:val="000000"/>
                <w:sz w:val="18"/>
                <w:szCs w:val="18"/>
                <w:lang w:val="sl-SI" w:eastAsia="en-GB"/>
              </w:rPr>
              <w:t>very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important</w:t>
            </w:r>
            <w:proofErr w:type="spellEnd"/>
            <w:r w:rsidRPr="00275FBD">
              <w:rPr>
                <w:rFonts w:ascii="Calibri" w:hAnsi="Calibri"/>
                <w:color w:val="000000"/>
                <w:sz w:val="18"/>
                <w:szCs w:val="18"/>
                <w:lang w:val="sl-SI" w:eastAsia="en-GB"/>
              </w:rPr>
              <w:t xml:space="preserve"> that </w:t>
            </w:r>
            <w:proofErr w:type="spellStart"/>
            <w:r w:rsidRPr="00275FBD">
              <w:rPr>
                <w:rFonts w:ascii="Calibri" w:hAnsi="Calibri"/>
                <w:color w:val="000000"/>
                <w:sz w:val="18"/>
                <w:szCs w:val="18"/>
                <w:lang w:val="sl-SI" w:eastAsia="en-GB"/>
              </w:rPr>
              <w:t>internal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CAPs</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external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operational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experience</w:t>
            </w:r>
            <w:proofErr w:type="spellEnd"/>
            <w:r w:rsidRPr="00275FBD">
              <w:rPr>
                <w:rFonts w:ascii="Calibri" w:hAnsi="Calibri"/>
                <w:color w:val="000000"/>
                <w:sz w:val="18"/>
                <w:szCs w:val="18"/>
                <w:lang w:val="sl-SI" w:eastAsia="en-GB"/>
              </w:rPr>
              <w:t xml:space="preserve"> (WANO) are </w:t>
            </w:r>
            <w:proofErr w:type="spellStart"/>
            <w:r w:rsidRPr="00275FBD">
              <w:rPr>
                <w:rFonts w:ascii="Calibri" w:hAnsi="Calibri"/>
                <w:color w:val="000000"/>
                <w:sz w:val="18"/>
                <w:szCs w:val="18"/>
                <w:lang w:val="sl-SI" w:eastAsia="en-GB"/>
              </w:rPr>
              <w:t>also</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included</w:t>
            </w:r>
            <w:proofErr w:type="spellEnd"/>
            <w:r w:rsidRPr="00275FBD">
              <w:rPr>
                <w:rFonts w:ascii="Calibri" w:hAnsi="Calibri"/>
                <w:color w:val="000000"/>
                <w:sz w:val="18"/>
                <w:szCs w:val="18"/>
                <w:lang w:val="sl-SI" w:eastAsia="en-GB"/>
              </w:rPr>
              <w:t xml:space="preserve"> in the </w:t>
            </w:r>
            <w:proofErr w:type="spellStart"/>
            <w:r w:rsidRPr="00275FBD">
              <w:rPr>
                <w:rFonts w:ascii="Calibri" w:hAnsi="Calibri"/>
                <w:color w:val="000000"/>
                <w:sz w:val="18"/>
                <w:szCs w:val="18"/>
                <w:lang w:val="sl-SI" w:eastAsia="en-GB"/>
              </w:rPr>
              <w:t>work</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orders</w:t>
            </w:r>
            <w:proofErr w:type="spellEnd"/>
            <w:r w:rsidRPr="00275FBD">
              <w:rPr>
                <w:rFonts w:ascii="Calibri" w:hAnsi="Calibri"/>
                <w:color w:val="000000"/>
                <w:sz w:val="18"/>
                <w:szCs w:val="18"/>
                <w:lang w:val="sl-SI" w:eastAsia="en-GB"/>
              </w:rPr>
              <w:t>.</w:t>
            </w:r>
          </w:p>
        </w:tc>
        <w:tc>
          <w:tcPr>
            <w:tcW w:w="2694" w:type="dxa"/>
            <w:tcBorders>
              <w:top w:val="single" w:sz="4" w:space="0" w:color="auto"/>
            </w:tcBorders>
          </w:tcPr>
          <w:p w14:paraId="5477653E"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3169FD68" w14:textId="77777777" w:rsidTr="00935B67">
        <w:tc>
          <w:tcPr>
            <w:tcW w:w="1384" w:type="dxa"/>
            <w:shd w:val="clear" w:color="auto" w:fill="FFFFCC"/>
          </w:tcPr>
          <w:p w14:paraId="0F62703A"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3.1-012</w:t>
            </w:r>
          </w:p>
        </w:tc>
        <w:tc>
          <w:tcPr>
            <w:tcW w:w="3827" w:type="dxa"/>
          </w:tcPr>
          <w:p w14:paraId="4E780E7A" w14:textId="77777777" w:rsidR="00935B67" w:rsidRPr="00275FBD" w:rsidRDefault="00935B67" w:rsidP="00935B67">
            <w:pPr>
              <w:jc w:val="left"/>
              <w:rPr>
                <w:rFonts w:ascii="Calibri" w:hAnsi="Calibri"/>
                <w:b/>
                <w:bCs/>
                <w:color w:val="000000" w:themeColor="text1"/>
                <w:sz w:val="18"/>
                <w:szCs w:val="18"/>
                <w:lang w:val="sl-SI" w:eastAsia="en-GB"/>
              </w:rPr>
            </w:pPr>
            <w:proofErr w:type="spellStart"/>
            <w:r w:rsidRPr="00275FBD">
              <w:rPr>
                <w:rFonts w:ascii="Calibri" w:hAnsi="Calibri"/>
                <w:b/>
                <w:bCs/>
                <w:color w:val="000000" w:themeColor="text1"/>
                <w:sz w:val="18"/>
                <w:szCs w:val="18"/>
                <w:lang w:val="sl-SI" w:eastAsia="en-GB"/>
              </w:rPr>
              <w:t>Number</w:t>
            </w:r>
            <w:proofErr w:type="spellEnd"/>
            <w:r w:rsidRPr="00275FBD">
              <w:rPr>
                <w:rFonts w:ascii="Calibri" w:hAnsi="Calibri"/>
                <w:b/>
                <w:bCs/>
                <w:color w:val="000000" w:themeColor="text1"/>
                <w:sz w:val="18"/>
                <w:szCs w:val="18"/>
                <w:lang w:val="sl-SI" w:eastAsia="en-GB"/>
              </w:rPr>
              <w:t xml:space="preserve"> of </w:t>
            </w:r>
            <w:proofErr w:type="spellStart"/>
            <w:r w:rsidRPr="00275FBD">
              <w:rPr>
                <w:rFonts w:ascii="Calibri" w:hAnsi="Calibri"/>
                <w:b/>
                <w:bCs/>
                <w:color w:val="000000" w:themeColor="text1"/>
                <w:sz w:val="18"/>
                <w:szCs w:val="18"/>
                <w:lang w:val="sl-SI" w:eastAsia="en-GB"/>
              </w:rPr>
              <w:t>unplanned</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personnel</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internal</w:t>
            </w:r>
            <w:proofErr w:type="spellEnd"/>
            <w:r w:rsidRPr="00275FBD">
              <w:rPr>
                <w:rFonts w:ascii="Calibri" w:hAnsi="Calibri"/>
                <w:b/>
                <w:bCs/>
                <w:color w:val="000000" w:themeColor="text1"/>
                <w:sz w:val="18"/>
                <w:szCs w:val="18"/>
                <w:lang w:val="sl-SI" w:eastAsia="en-GB"/>
              </w:rPr>
              <w:t xml:space="preserve"> / </w:t>
            </w:r>
            <w:proofErr w:type="spellStart"/>
            <w:r w:rsidRPr="00275FBD">
              <w:rPr>
                <w:rFonts w:ascii="Calibri" w:hAnsi="Calibri"/>
                <w:b/>
                <w:bCs/>
                <w:color w:val="000000" w:themeColor="text1"/>
                <w:sz w:val="18"/>
                <w:szCs w:val="18"/>
                <w:lang w:val="sl-SI" w:eastAsia="en-GB"/>
              </w:rPr>
              <w:t>external</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exposure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There</w:t>
            </w:r>
            <w:proofErr w:type="spellEnd"/>
            <w:r w:rsidRPr="00275FBD">
              <w:rPr>
                <w:rFonts w:ascii="Calibri" w:hAnsi="Calibri"/>
                <w:color w:val="000000" w:themeColor="text1"/>
                <w:sz w:val="18"/>
                <w:szCs w:val="18"/>
                <w:lang w:val="sl-SI" w:eastAsia="en-GB"/>
              </w:rPr>
              <w:t xml:space="preserve"> is a </w:t>
            </w:r>
            <w:proofErr w:type="spellStart"/>
            <w:r w:rsidRPr="00275FBD">
              <w:rPr>
                <w:rFonts w:ascii="Calibri" w:hAnsi="Calibri"/>
                <w:color w:val="000000" w:themeColor="text1"/>
                <w:sz w:val="18"/>
                <w:szCs w:val="18"/>
                <w:lang w:val="sl-SI" w:eastAsia="en-GB"/>
              </w:rPr>
              <w:t>need</w:t>
            </w:r>
            <w:proofErr w:type="spellEnd"/>
            <w:r w:rsidRPr="00275FBD">
              <w:rPr>
                <w:rFonts w:ascii="Calibri" w:hAnsi="Calibri"/>
                <w:color w:val="000000" w:themeColor="text1"/>
                <w:sz w:val="18"/>
                <w:szCs w:val="18"/>
                <w:lang w:val="sl-SI" w:eastAsia="en-GB"/>
              </w:rPr>
              <w:t xml:space="preserve"> to </w:t>
            </w:r>
            <w:proofErr w:type="spellStart"/>
            <w:r w:rsidRPr="00275FBD">
              <w:rPr>
                <w:rFonts w:ascii="Calibri" w:hAnsi="Calibri"/>
                <w:color w:val="000000" w:themeColor="text1"/>
                <w:sz w:val="18"/>
                <w:szCs w:val="18"/>
                <w:lang w:val="sl-SI" w:eastAsia="en-GB"/>
              </w:rPr>
              <w:t>reconsider</w:t>
            </w:r>
            <w:proofErr w:type="spellEnd"/>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usefulness</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this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performance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indicator</w:t>
            </w:r>
            <w:proofErr w:type="spellEnd"/>
            <w:r w:rsidRPr="00275FBD">
              <w:rPr>
                <w:rFonts w:ascii="Calibri" w:hAnsi="Calibri"/>
                <w:color w:val="000000" w:themeColor="text1"/>
                <w:sz w:val="18"/>
                <w:szCs w:val="18"/>
                <w:lang w:val="sl-SI" w:eastAsia="en-GB"/>
              </w:rPr>
              <w:t xml:space="preserve"> and to make </w:t>
            </w:r>
            <w:proofErr w:type="spellStart"/>
            <w:r w:rsidRPr="00275FBD">
              <w:rPr>
                <w:rFonts w:ascii="Calibri" w:hAnsi="Calibri"/>
                <w:color w:val="000000" w:themeColor="text1"/>
                <w:sz w:val="18"/>
                <w:szCs w:val="18"/>
                <w:lang w:val="sl-SI" w:eastAsia="en-GB"/>
              </w:rPr>
              <w:t>appropriate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corrections</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 xml:space="preserve">OSF element: Risk to Any </w:t>
            </w:r>
            <w:proofErr w:type="spellStart"/>
            <w:r w:rsidRPr="00275FBD">
              <w:rPr>
                <w:rFonts w:ascii="Calibri" w:hAnsi="Calibri"/>
                <w:color w:val="000000" w:themeColor="text1"/>
                <w:sz w:val="18"/>
                <w:szCs w:val="18"/>
                <w:lang w:val="sl-SI" w:eastAsia="en-GB"/>
              </w:rPr>
              <w:t>Worker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Attributable</w:t>
            </w:r>
            <w:proofErr w:type="spellEnd"/>
            <w:r w:rsidRPr="00275FBD">
              <w:rPr>
                <w:rFonts w:ascii="Calibri" w:hAnsi="Calibri"/>
                <w:color w:val="000000" w:themeColor="text1"/>
                <w:sz w:val="18"/>
                <w:szCs w:val="18"/>
                <w:lang w:val="sl-SI" w:eastAsia="en-GB"/>
              </w:rPr>
              <w:t xml:space="preserve"> to </w:t>
            </w:r>
            <w:proofErr w:type="spellStart"/>
            <w:r w:rsidRPr="00275FBD">
              <w:rPr>
                <w:rFonts w:ascii="Calibri" w:hAnsi="Calibri"/>
                <w:color w:val="000000" w:themeColor="text1"/>
                <w:sz w:val="18"/>
                <w:szCs w:val="18"/>
                <w:lang w:val="sl-SI" w:eastAsia="en-GB"/>
              </w:rPr>
              <w:t>Doses</w:t>
            </w:r>
            <w:proofErr w:type="spellEnd"/>
            <w:r w:rsidRPr="00275FBD">
              <w:rPr>
                <w:rFonts w:ascii="Calibri" w:hAnsi="Calibri"/>
                <w:color w:val="000000" w:themeColor="text1"/>
                <w:sz w:val="18"/>
                <w:szCs w:val="18"/>
                <w:lang w:val="sl-SI" w:eastAsia="en-GB"/>
              </w:rPr>
              <w:t xml:space="preserve"> of Radiation </w:t>
            </w:r>
            <w:proofErr w:type="spellStart"/>
            <w:r w:rsidRPr="00275FBD">
              <w:rPr>
                <w:rFonts w:ascii="Calibri" w:hAnsi="Calibri"/>
                <w:color w:val="000000" w:themeColor="text1"/>
                <w:sz w:val="18"/>
                <w:szCs w:val="18"/>
                <w:lang w:val="sl-SI" w:eastAsia="en-GB"/>
              </w:rPr>
              <w:t>Received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shown</w:t>
            </w:r>
            <w:proofErr w:type="spellEnd"/>
            <w:r w:rsidRPr="00275FBD">
              <w:rPr>
                <w:rFonts w:ascii="Calibri" w:hAnsi="Calibri"/>
                <w:color w:val="000000" w:themeColor="text1"/>
                <w:sz w:val="18"/>
                <w:szCs w:val="18"/>
                <w:lang w:val="sl-SI" w:eastAsia="en-GB"/>
              </w:rPr>
              <w:t xml:space="preserve"> to be ALARA.</w:t>
            </w:r>
            <w:r w:rsidRPr="00275FBD">
              <w:rPr>
                <w:rFonts w:ascii="Calibri" w:hAnsi="Calibri"/>
                <w:color w:val="000000" w:themeColor="text1"/>
                <w:sz w:val="18"/>
                <w:szCs w:val="18"/>
                <w:lang w:val="sl-SI" w:eastAsia="en-GB"/>
              </w:rPr>
              <w:br/>
            </w:r>
            <w:proofErr w:type="spellStart"/>
            <w:r w:rsidRPr="00275FBD">
              <w:rPr>
                <w:rFonts w:ascii="Calibri" w:hAnsi="Calibri"/>
                <w:color w:val="000000" w:themeColor="text1"/>
                <w:sz w:val="18"/>
                <w:szCs w:val="18"/>
                <w:lang w:val="sl-SI" w:eastAsia="en-GB"/>
              </w:rPr>
              <w:lastRenderedPageBreak/>
              <w:t>Issue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description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points</w:t>
            </w:r>
            <w:proofErr w:type="spellEnd"/>
            <w:r w:rsidRPr="00275FBD">
              <w:rPr>
                <w:rFonts w:ascii="Calibri" w:hAnsi="Calibri"/>
                <w:color w:val="000000" w:themeColor="text1"/>
                <w:sz w:val="18"/>
                <w:szCs w:val="18"/>
                <w:lang w:val="sl-SI" w:eastAsia="en-GB"/>
              </w:rPr>
              <w:t xml:space="preserve"> out that it </w:t>
            </w:r>
            <w:proofErr w:type="spellStart"/>
            <w:r w:rsidRPr="00275FBD">
              <w:rPr>
                <w:rFonts w:ascii="Calibri" w:hAnsi="Calibri"/>
                <w:color w:val="000000" w:themeColor="text1"/>
                <w:sz w:val="18"/>
                <w:szCs w:val="18"/>
                <w:lang w:val="sl-SI" w:eastAsia="en-GB"/>
              </w:rPr>
              <w:t>seems</w:t>
            </w:r>
            <w:proofErr w:type="spellEnd"/>
            <w:r w:rsidRPr="00275FBD">
              <w:rPr>
                <w:rFonts w:ascii="Calibri" w:hAnsi="Calibri"/>
                <w:color w:val="000000" w:themeColor="text1"/>
                <w:sz w:val="18"/>
                <w:szCs w:val="18"/>
                <w:lang w:val="sl-SI" w:eastAsia="en-GB"/>
              </w:rPr>
              <w:t xml:space="preserve"> that data on </w:t>
            </w:r>
            <w:proofErr w:type="spellStart"/>
            <w:r w:rsidRPr="00275FBD">
              <w:rPr>
                <w:rFonts w:ascii="Calibri" w:hAnsi="Calibri"/>
                <w:color w:val="000000" w:themeColor="text1"/>
                <w:sz w:val="18"/>
                <w:szCs w:val="18"/>
                <w:lang w:val="sl-SI" w:eastAsia="en-GB"/>
              </w:rPr>
              <w:t>this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performance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indicator</w:t>
            </w:r>
            <w:proofErr w:type="spellEnd"/>
            <w:r w:rsidRPr="00275FBD">
              <w:rPr>
                <w:rFonts w:ascii="Calibri" w:hAnsi="Calibri"/>
                <w:color w:val="000000" w:themeColor="text1"/>
                <w:sz w:val="18"/>
                <w:szCs w:val="18"/>
                <w:lang w:val="sl-SI" w:eastAsia="en-GB"/>
              </w:rPr>
              <w:t xml:space="preserve"> are not in </w:t>
            </w:r>
            <w:proofErr w:type="spellStart"/>
            <w:r w:rsidRPr="00275FBD">
              <w:rPr>
                <w:rFonts w:ascii="Calibri" w:hAnsi="Calibri"/>
                <w:color w:val="000000" w:themeColor="text1"/>
                <w:sz w:val="18"/>
                <w:szCs w:val="18"/>
                <w:lang w:val="sl-SI" w:eastAsia="en-GB"/>
              </w:rPr>
              <w:t>accordance</w:t>
            </w:r>
            <w:proofErr w:type="spellEnd"/>
            <w:r w:rsidRPr="00275FBD">
              <w:rPr>
                <w:rFonts w:ascii="Calibri" w:hAnsi="Calibri"/>
                <w:color w:val="000000" w:themeColor="text1"/>
                <w:sz w:val="18"/>
                <w:szCs w:val="18"/>
                <w:lang w:val="sl-SI" w:eastAsia="en-GB"/>
              </w:rPr>
              <w:t xml:space="preserve"> with data on </w:t>
            </w:r>
            <w:proofErr w:type="spellStart"/>
            <w:r w:rsidRPr="00275FBD">
              <w:rPr>
                <w:rFonts w:ascii="Calibri" w:hAnsi="Calibri"/>
                <w:color w:val="000000" w:themeColor="text1"/>
                <w:sz w:val="18"/>
                <w:szCs w:val="18"/>
                <w:lang w:val="sl-SI" w:eastAsia="en-GB"/>
              </w:rPr>
              <w:t>other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indicators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such</w:t>
            </w:r>
            <w:proofErr w:type="spellEnd"/>
            <w:r w:rsidRPr="00275FBD">
              <w:rPr>
                <w:rFonts w:ascii="Calibri" w:hAnsi="Calibri"/>
                <w:color w:val="000000" w:themeColor="text1"/>
                <w:sz w:val="18"/>
                <w:szCs w:val="18"/>
                <w:lang w:val="sl-SI" w:eastAsia="en-GB"/>
              </w:rPr>
              <w:t xml:space="preserve"> as </w:t>
            </w:r>
            <w:proofErr w:type="spellStart"/>
            <w:r w:rsidRPr="00275FBD">
              <w:rPr>
                <w:rFonts w:ascii="Calibri" w:hAnsi="Calibri"/>
                <w:color w:val="000000" w:themeColor="text1"/>
                <w:sz w:val="18"/>
                <w:szCs w:val="18"/>
                <w:lang w:val="sl-SI" w:eastAsia="en-GB"/>
              </w:rPr>
              <w:t>Number</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unplanned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personnel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contaminations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Number</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unplanned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personnel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internal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contamination</w:t>
            </w:r>
            <w:proofErr w:type="spellEnd"/>
            <w:r w:rsidRPr="00275FBD">
              <w:rPr>
                <w:rFonts w:ascii="Calibri" w:hAnsi="Calibri"/>
                <w:color w:val="000000" w:themeColor="text1"/>
                <w:sz w:val="18"/>
                <w:szCs w:val="18"/>
                <w:lang w:val="sl-SI" w:eastAsia="en-GB"/>
              </w:rPr>
              <w:t xml:space="preserve"> and </w:t>
            </w:r>
            <w:proofErr w:type="spellStart"/>
            <w:r w:rsidRPr="00275FBD">
              <w:rPr>
                <w:rFonts w:ascii="Calibri" w:hAnsi="Calibri"/>
                <w:color w:val="000000" w:themeColor="text1"/>
                <w:sz w:val="18"/>
                <w:szCs w:val="18"/>
                <w:lang w:val="sl-SI" w:eastAsia="en-GB"/>
              </w:rPr>
              <w:t>Number</w:t>
            </w:r>
            <w:proofErr w:type="spellEnd"/>
            <w:r w:rsidRPr="00275FBD">
              <w:rPr>
                <w:rFonts w:ascii="Calibri" w:hAnsi="Calibri"/>
                <w:color w:val="000000" w:themeColor="text1"/>
                <w:sz w:val="18"/>
                <w:szCs w:val="18"/>
                <w:lang w:val="sl-SI" w:eastAsia="en-GB"/>
              </w:rPr>
              <w:t xml:space="preserve"> of personal </w:t>
            </w:r>
            <w:proofErr w:type="spellStart"/>
            <w:r w:rsidRPr="00275FBD">
              <w:rPr>
                <w:rFonts w:ascii="Calibri" w:hAnsi="Calibri"/>
                <w:color w:val="000000" w:themeColor="text1"/>
                <w:sz w:val="18"/>
                <w:szCs w:val="18"/>
                <w:lang w:val="sl-SI" w:eastAsia="en-GB"/>
              </w:rPr>
              <w:t>decontaminations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Therefore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rank</w:t>
            </w:r>
            <w:proofErr w:type="spellEnd"/>
            <w:r w:rsidRPr="00275FBD">
              <w:rPr>
                <w:rFonts w:ascii="Calibri" w:hAnsi="Calibri"/>
                <w:color w:val="000000" w:themeColor="text1"/>
                <w:sz w:val="18"/>
                <w:szCs w:val="18"/>
                <w:lang w:val="sl-SI" w:eastAsia="en-GB"/>
              </w:rPr>
              <w:t xml:space="preserve"> (S.N) </w:t>
            </w:r>
            <w:proofErr w:type="spellStart"/>
            <w:r w:rsidRPr="00275FBD">
              <w:rPr>
                <w:rFonts w:ascii="Calibri" w:hAnsi="Calibri"/>
                <w:color w:val="000000" w:themeColor="text1"/>
                <w:sz w:val="18"/>
                <w:szCs w:val="18"/>
                <w:lang w:val="sl-SI" w:eastAsia="en-GB"/>
              </w:rPr>
              <w:t>raised</w:t>
            </w:r>
            <w:proofErr w:type="spellEnd"/>
            <w:r w:rsidRPr="00275FBD">
              <w:rPr>
                <w:rFonts w:ascii="Calibri" w:hAnsi="Calibri"/>
                <w:color w:val="000000" w:themeColor="text1"/>
                <w:sz w:val="18"/>
                <w:szCs w:val="18"/>
                <w:lang w:val="sl-SI" w:eastAsia="en-GB"/>
              </w:rPr>
              <w:t xml:space="preserve"> to 3.</w:t>
            </w:r>
          </w:p>
        </w:tc>
        <w:tc>
          <w:tcPr>
            <w:tcW w:w="993" w:type="dxa"/>
          </w:tcPr>
          <w:p w14:paraId="6ED03B01"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lastRenderedPageBreak/>
              <w:t>3.1.4</w:t>
            </w:r>
          </w:p>
        </w:tc>
        <w:tc>
          <w:tcPr>
            <w:tcW w:w="5244" w:type="dxa"/>
          </w:tcPr>
          <w:p w14:paraId="457489A7"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It </w:t>
            </w:r>
            <w:proofErr w:type="spellStart"/>
            <w:r w:rsidRPr="00275FBD">
              <w:rPr>
                <w:rFonts w:ascii="Calibri" w:hAnsi="Calibri"/>
                <w:color w:val="000000"/>
                <w:sz w:val="18"/>
                <w:szCs w:val="18"/>
                <w:lang w:val="sl-SI" w:eastAsia="en-GB"/>
              </w:rPr>
              <w:t>was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found</w:t>
            </w:r>
            <w:proofErr w:type="spellEnd"/>
            <w:r w:rsidRPr="00275FBD">
              <w:rPr>
                <w:rFonts w:ascii="Calibri" w:hAnsi="Calibri"/>
                <w:color w:val="000000"/>
                <w:sz w:val="18"/>
                <w:szCs w:val="18"/>
                <w:lang w:val="sl-SI" w:eastAsia="en-GB"/>
              </w:rPr>
              <w:t xml:space="preserve"> that </w:t>
            </w:r>
            <w:proofErr w:type="spellStart"/>
            <w:r w:rsidRPr="00275FBD">
              <w:rPr>
                <w:rFonts w:ascii="Calibri" w:hAnsi="Calibri"/>
                <w:color w:val="000000"/>
                <w:sz w:val="18"/>
                <w:szCs w:val="18"/>
                <w:lang w:val="sl-SI" w:eastAsia="en-GB"/>
              </w:rPr>
              <w:t>indicators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covering</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internal</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external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contamination</w:t>
            </w:r>
            <w:proofErr w:type="spellEnd"/>
            <w:r w:rsidRPr="00275FBD">
              <w:rPr>
                <w:rFonts w:ascii="Calibri" w:hAnsi="Calibri"/>
                <w:color w:val="000000"/>
                <w:sz w:val="18"/>
                <w:szCs w:val="18"/>
                <w:lang w:val="sl-SI" w:eastAsia="en-GB"/>
              </w:rPr>
              <w:t xml:space="preserve"> do not show </w:t>
            </w:r>
            <w:proofErr w:type="spellStart"/>
            <w:r w:rsidRPr="00275FBD">
              <w:rPr>
                <w:rFonts w:ascii="Calibri" w:hAnsi="Calibri"/>
                <w:color w:val="000000"/>
                <w:sz w:val="18"/>
                <w:szCs w:val="18"/>
                <w:lang w:val="sl-SI" w:eastAsia="en-GB"/>
              </w:rPr>
              <w:t>actual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values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This</w:t>
            </w:r>
            <w:proofErr w:type="spellEnd"/>
            <w:r w:rsidRPr="00275FBD">
              <w:rPr>
                <w:rFonts w:ascii="Calibri" w:hAnsi="Calibri"/>
                <w:color w:val="000000"/>
                <w:sz w:val="18"/>
                <w:szCs w:val="18"/>
                <w:lang w:val="sl-SI" w:eastAsia="en-GB"/>
              </w:rPr>
              <w:t xml:space="preserve"> is </w:t>
            </w:r>
            <w:proofErr w:type="spellStart"/>
            <w:r w:rsidRPr="00275FBD">
              <w:rPr>
                <w:rFonts w:ascii="Calibri" w:hAnsi="Calibri"/>
                <w:color w:val="000000"/>
                <w:sz w:val="18"/>
                <w:szCs w:val="18"/>
                <w:lang w:val="sl-SI" w:eastAsia="en-GB"/>
              </w:rPr>
              <w:t>especially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noticeable</w:t>
            </w:r>
            <w:proofErr w:type="spellEnd"/>
            <w:r w:rsidRPr="00275FBD">
              <w:rPr>
                <w:rFonts w:ascii="Calibri" w:hAnsi="Calibri"/>
                <w:color w:val="000000"/>
                <w:sz w:val="18"/>
                <w:szCs w:val="18"/>
                <w:lang w:val="sl-SI" w:eastAsia="en-GB"/>
              </w:rPr>
              <w:t xml:space="preserve"> in </w:t>
            </w:r>
            <w:proofErr w:type="spellStart"/>
            <w:r w:rsidRPr="00275FBD">
              <w:rPr>
                <w:rFonts w:ascii="Calibri" w:hAnsi="Calibri"/>
                <w:color w:val="000000"/>
                <w:sz w:val="18"/>
                <w:szCs w:val="18"/>
                <w:lang w:val="sl-SI" w:eastAsia="en-GB"/>
              </w:rPr>
              <w:t>outages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e.g</w:t>
            </w:r>
            <w:proofErr w:type="spellEnd"/>
            <w:r w:rsidRPr="00275FBD">
              <w:rPr>
                <w:rFonts w:ascii="Calibri" w:hAnsi="Calibri"/>
                <w:color w:val="000000"/>
                <w:sz w:val="18"/>
                <w:szCs w:val="18"/>
                <w:lang w:val="sl-SI" w:eastAsia="en-GB"/>
              </w:rPr>
              <w:t xml:space="preserve">. 2014 and 2015), </w:t>
            </w:r>
            <w:proofErr w:type="spellStart"/>
            <w:r w:rsidRPr="00275FBD">
              <w:rPr>
                <w:rFonts w:ascii="Calibri" w:hAnsi="Calibri"/>
                <w:color w:val="000000"/>
                <w:sz w:val="18"/>
                <w:szCs w:val="18"/>
                <w:lang w:val="sl-SI" w:eastAsia="en-GB"/>
              </w:rPr>
              <w:t>where</w:t>
            </w:r>
            <w:proofErr w:type="spellEnd"/>
            <w:r w:rsidRPr="00275FBD">
              <w:rPr>
                <w:rFonts w:ascii="Calibri" w:hAnsi="Calibri"/>
                <w:color w:val="000000"/>
                <w:sz w:val="18"/>
                <w:szCs w:val="18"/>
                <w:lang w:val="sl-SI" w:eastAsia="en-GB"/>
              </w:rPr>
              <w:t xml:space="preserve"> the </w:t>
            </w:r>
            <w:proofErr w:type="spellStart"/>
            <w:r w:rsidRPr="00275FBD">
              <w:rPr>
                <w:rFonts w:ascii="Calibri" w:hAnsi="Calibri"/>
                <w:color w:val="000000"/>
                <w:sz w:val="18"/>
                <w:szCs w:val="18"/>
                <w:lang w:val="sl-SI" w:eastAsia="en-GB"/>
              </w:rPr>
              <w:t>mentioned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indicators</w:t>
            </w:r>
            <w:proofErr w:type="spellEnd"/>
            <w:r w:rsidRPr="00275FBD">
              <w:rPr>
                <w:rFonts w:ascii="Calibri" w:hAnsi="Calibri"/>
                <w:color w:val="000000"/>
                <w:sz w:val="18"/>
                <w:szCs w:val="18"/>
                <w:lang w:val="sl-SI" w:eastAsia="en-GB"/>
              </w:rPr>
              <w:t xml:space="preserve"> do not show the </w:t>
            </w:r>
            <w:proofErr w:type="spellStart"/>
            <w:r w:rsidRPr="00275FBD">
              <w:rPr>
                <w:rFonts w:ascii="Calibri" w:hAnsi="Calibri"/>
                <w:color w:val="000000"/>
                <w:sz w:val="18"/>
                <w:szCs w:val="18"/>
                <w:lang w:val="sl-SI" w:eastAsia="en-GB"/>
              </w:rPr>
              <w:t>actual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values</w:t>
            </w:r>
            <w:proofErr w:type="spellEnd"/>
            <w:r w:rsidRPr="00275FBD">
              <w:rPr>
                <w:rFonts w:ascii="Calibri" w:hAnsi="Calibri"/>
                <w:color w:val="000000"/>
                <w:sz w:val="18"/>
                <w:szCs w:val="18"/>
                <w:lang w:val="sl-SI" w:eastAsia="en-GB"/>
              </w:rPr>
              <w:t xml:space="preserve"> that were </w:t>
            </w:r>
            <w:proofErr w:type="spellStart"/>
            <w:r w:rsidRPr="00275FBD">
              <w:rPr>
                <w:rFonts w:ascii="Calibri" w:hAnsi="Calibri"/>
                <w:color w:val="000000"/>
                <w:sz w:val="18"/>
                <w:szCs w:val="18"/>
                <w:lang w:val="sl-SI" w:eastAsia="en-GB"/>
              </w:rPr>
              <w:t>received</w:t>
            </w:r>
            <w:proofErr w:type="spellEnd"/>
            <w:r w:rsidRPr="00275FBD">
              <w:rPr>
                <w:rFonts w:ascii="Calibri" w:hAnsi="Calibri"/>
                <w:color w:val="000000"/>
                <w:sz w:val="18"/>
                <w:szCs w:val="18"/>
                <w:lang w:val="sl-SI" w:eastAsia="en-GB"/>
              </w:rPr>
              <w:t>.</w:t>
            </w:r>
          </w:p>
          <w:p w14:paraId="22D1A1EA"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It </w:t>
            </w:r>
            <w:proofErr w:type="spellStart"/>
            <w:r w:rsidRPr="00275FBD">
              <w:rPr>
                <w:rFonts w:ascii="Calibri" w:hAnsi="Calibri"/>
                <w:color w:val="000000"/>
                <w:sz w:val="18"/>
                <w:szCs w:val="18"/>
                <w:lang w:val="sl-SI" w:eastAsia="en-GB"/>
              </w:rPr>
              <w:t>often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happens</w:t>
            </w:r>
            <w:proofErr w:type="spellEnd"/>
            <w:r w:rsidRPr="00275FBD">
              <w:rPr>
                <w:rFonts w:ascii="Calibri" w:hAnsi="Calibri"/>
                <w:color w:val="000000"/>
                <w:sz w:val="18"/>
                <w:szCs w:val="18"/>
                <w:lang w:val="sl-SI" w:eastAsia="en-GB"/>
              </w:rPr>
              <w:t xml:space="preserve"> that the </w:t>
            </w:r>
            <w:proofErr w:type="spellStart"/>
            <w:r w:rsidRPr="00275FBD">
              <w:rPr>
                <w:rFonts w:ascii="Calibri" w:hAnsi="Calibri"/>
                <w:color w:val="000000"/>
                <w:sz w:val="18"/>
                <w:szCs w:val="18"/>
                <w:lang w:val="sl-SI" w:eastAsia="en-GB"/>
              </w:rPr>
              <w:t>intended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doses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deviate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greatly</w:t>
            </w:r>
            <w:proofErr w:type="spellEnd"/>
            <w:r w:rsidRPr="00275FBD">
              <w:rPr>
                <w:rFonts w:ascii="Calibri" w:hAnsi="Calibri"/>
                <w:color w:val="000000"/>
                <w:sz w:val="18"/>
                <w:szCs w:val="18"/>
                <w:lang w:val="sl-SI" w:eastAsia="en-GB"/>
              </w:rPr>
              <w:t xml:space="preserve"> from the </w:t>
            </w:r>
            <w:proofErr w:type="spellStart"/>
            <w:r w:rsidRPr="00275FBD">
              <w:rPr>
                <w:rFonts w:ascii="Calibri" w:hAnsi="Calibri"/>
                <w:color w:val="000000"/>
                <w:sz w:val="18"/>
                <w:szCs w:val="18"/>
                <w:lang w:val="sl-SI" w:eastAsia="en-GB"/>
              </w:rPr>
              <w:t>actual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doses</w:t>
            </w:r>
            <w:proofErr w:type="spellEnd"/>
            <w:r w:rsidRPr="00275FBD">
              <w:rPr>
                <w:rFonts w:ascii="Calibri" w:hAnsi="Calibri"/>
                <w:color w:val="000000"/>
                <w:sz w:val="18"/>
                <w:szCs w:val="18"/>
                <w:lang w:val="sl-SI" w:eastAsia="en-GB"/>
              </w:rPr>
              <w:t>.</w:t>
            </w:r>
          </w:p>
          <w:p w14:paraId="5F3D441B"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lastRenderedPageBreak/>
              <w:t xml:space="preserve">It is </w:t>
            </w:r>
            <w:proofErr w:type="spellStart"/>
            <w:r w:rsidRPr="00275FBD">
              <w:rPr>
                <w:rFonts w:ascii="Calibri" w:hAnsi="Calibri"/>
                <w:color w:val="000000"/>
                <w:sz w:val="18"/>
                <w:szCs w:val="18"/>
                <w:lang w:val="sl-SI" w:eastAsia="en-GB"/>
              </w:rPr>
              <w:t>necessary</w:t>
            </w:r>
            <w:proofErr w:type="spellEnd"/>
            <w:r w:rsidRPr="00275FBD">
              <w:rPr>
                <w:rFonts w:ascii="Calibri" w:hAnsi="Calibri"/>
                <w:color w:val="000000"/>
                <w:sz w:val="18"/>
                <w:szCs w:val="18"/>
                <w:lang w:val="sl-SI" w:eastAsia="en-GB"/>
              </w:rPr>
              <w:t xml:space="preserve"> to </w:t>
            </w:r>
            <w:proofErr w:type="spellStart"/>
            <w:r w:rsidRPr="00275FBD">
              <w:rPr>
                <w:rFonts w:ascii="Calibri" w:hAnsi="Calibri"/>
                <w:color w:val="000000"/>
                <w:sz w:val="18"/>
                <w:szCs w:val="18"/>
                <w:lang w:val="sl-SI" w:eastAsia="en-GB"/>
              </w:rPr>
              <w:t>improve</w:t>
            </w:r>
            <w:proofErr w:type="spellEnd"/>
            <w:r w:rsidRPr="00275FBD">
              <w:rPr>
                <w:rFonts w:ascii="Calibri" w:hAnsi="Calibri"/>
                <w:color w:val="000000"/>
                <w:sz w:val="18"/>
                <w:szCs w:val="18"/>
                <w:lang w:val="sl-SI" w:eastAsia="en-GB"/>
              </w:rPr>
              <w:t xml:space="preserve"> the </w:t>
            </w:r>
            <w:proofErr w:type="spellStart"/>
            <w:r w:rsidRPr="00275FBD">
              <w:rPr>
                <w:rFonts w:ascii="Calibri" w:hAnsi="Calibri"/>
                <w:color w:val="000000"/>
                <w:sz w:val="18"/>
                <w:szCs w:val="18"/>
                <w:lang w:val="sl-SI" w:eastAsia="en-GB"/>
              </w:rPr>
              <w:t>definitions</w:t>
            </w:r>
            <w:proofErr w:type="spellEnd"/>
            <w:r w:rsidRPr="00275FBD">
              <w:rPr>
                <w:rFonts w:ascii="Calibri" w:hAnsi="Calibri"/>
                <w:color w:val="000000"/>
                <w:sz w:val="18"/>
                <w:szCs w:val="18"/>
                <w:lang w:val="sl-SI" w:eastAsia="en-GB"/>
              </w:rPr>
              <w:t xml:space="preserve"> of </w:t>
            </w:r>
            <w:proofErr w:type="spellStart"/>
            <w:r w:rsidRPr="00275FBD">
              <w:rPr>
                <w:rFonts w:ascii="Calibri" w:hAnsi="Calibri"/>
                <w:color w:val="000000"/>
                <w:sz w:val="18"/>
                <w:szCs w:val="18"/>
                <w:lang w:val="sl-SI" w:eastAsia="en-GB"/>
              </w:rPr>
              <w:t>indicators</w:t>
            </w:r>
            <w:proofErr w:type="spellEnd"/>
            <w:r w:rsidRPr="00275FBD">
              <w:rPr>
                <w:rFonts w:ascii="Calibri" w:hAnsi="Calibri"/>
                <w:color w:val="000000"/>
                <w:sz w:val="18"/>
                <w:szCs w:val="18"/>
                <w:lang w:val="sl-SI" w:eastAsia="en-GB"/>
              </w:rPr>
              <w:t xml:space="preserve"> so that </w:t>
            </w:r>
            <w:proofErr w:type="spellStart"/>
            <w:r w:rsidRPr="00275FBD">
              <w:rPr>
                <w:rFonts w:ascii="Calibri" w:hAnsi="Calibri"/>
                <w:color w:val="000000"/>
                <w:sz w:val="18"/>
                <w:szCs w:val="18"/>
                <w:lang w:val="sl-SI" w:eastAsia="en-GB"/>
              </w:rPr>
              <w:t>they</w:t>
            </w:r>
            <w:proofErr w:type="spellEnd"/>
            <w:r w:rsidRPr="00275FBD">
              <w:rPr>
                <w:rFonts w:ascii="Calibri" w:hAnsi="Calibri"/>
                <w:color w:val="000000"/>
                <w:sz w:val="18"/>
                <w:szCs w:val="18"/>
                <w:lang w:val="sl-SI" w:eastAsia="en-GB"/>
              </w:rPr>
              <w:t xml:space="preserve"> show </w:t>
            </w:r>
            <w:proofErr w:type="spellStart"/>
            <w:r w:rsidRPr="00275FBD">
              <w:rPr>
                <w:rFonts w:ascii="Calibri" w:hAnsi="Calibri"/>
                <w:color w:val="000000"/>
                <w:sz w:val="18"/>
                <w:szCs w:val="18"/>
                <w:lang w:val="sl-SI" w:eastAsia="en-GB"/>
              </w:rPr>
              <w:t>actual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values</w:t>
            </w:r>
            <w:proofErr w:type="spellEnd"/>
            <w:r w:rsidRPr="00275FBD">
              <w:rPr>
                <w:rFonts w:ascii="Calibri" w:hAnsi="Calibri"/>
                <w:color w:val="000000"/>
                <w:sz w:val="18"/>
                <w:szCs w:val="18"/>
                <w:lang w:val="sl-SI" w:eastAsia="en-GB"/>
              </w:rPr>
              <w:t>.</w:t>
            </w:r>
          </w:p>
        </w:tc>
        <w:tc>
          <w:tcPr>
            <w:tcW w:w="2694" w:type="dxa"/>
          </w:tcPr>
          <w:p w14:paraId="4C6A9F31"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lastRenderedPageBreak/>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7A34BD26" w14:textId="77777777" w:rsidTr="00935B67">
        <w:tc>
          <w:tcPr>
            <w:tcW w:w="1384" w:type="dxa"/>
            <w:shd w:val="clear" w:color="auto" w:fill="FFFFCC"/>
          </w:tcPr>
          <w:p w14:paraId="4A2B5A1E"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3.1-013</w:t>
            </w:r>
          </w:p>
        </w:tc>
        <w:tc>
          <w:tcPr>
            <w:tcW w:w="3827" w:type="dxa"/>
          </w:tcPr>
          <w:p w14:paraId="7C2D1AD8" w14:textId="77777777" w:rsidR="00935B67" w:rsidRPr="00275FBD" w:rsidRDefault="00935B67" w:rsidP="00935B67">
            <w:pPr>
              <w:jc w:val="left"/>
              <w:rPr>
                <w:rFonts w:ascii="Calibri" w:hAnsi="Calibri"/>
                <w:b/>
                <w:bCs/>
                <w:color w:val="000000" w:themeColor="text1"/>
                <w:sz w:val="18"/>
                <w:szCs w:val="18"/>
                <w:lang w:val="sl-SI" w:eastAsia="en-GB"/>
              </w:rPr>
            </w:pPr>
            <w:proofErr w:type="spellStart"/>
            <w:r w:rsidRPr="00275FBD">
              <w:rPr>
                <w:rFonts w:ascii="Calibri" w:hAnsi="Calibri"/>
                <w:b/>
                <w:bCs/>
                <w:color w:val="000000" w:themeColor="text1"/>
                <w:sz w:val="18"/>
                <w:szCs w:val="18"/>
                <w:lang w:val="sl-SI" w:eastAsia="en-GB"/>
              </w:rPr>
              <w:t>Number</w:t>
            </w:r>
            <w:proofErr w:type="spellEnd"/>
            <w:r w:rsidRPr="00275FBD">
              <w:rPr>
                <w:rFonts w:ascii="Calibri" w:hAnsi="Calibri"/>
                <w:b/>
                <w:bCs/>
                <w:color w:val="000000" w:themeColor="text1"/>
                <w:sz w:val="18"/>
                <w:szCs w:val="18"/>
                <w:lang w:val="sl-SI" w:eastAsia="en-GB"/>
              </w:rPr>
              <w:t xml:space="preserve"> of </w:t>
            </w:r>
            <w:proofErr w:type="spellStart"/>
            <w:r w:rsidRPr="00275FBD">
              <w:rPr>
                <w:rFonts w:ascii="Calibri" w:hAnsi="Calibri"/>
                <w:b/>
                <w:bCs/>
                <w:color w:val="000000" w:themeColor="text1"/>
                <w:sz w:val="18"/>
                <w:szCs w:val="18"/>
                <w:lang w:val="sl-SI" w:eastAsia="en-GB"/>
              </w:rPr>
              <w:t>workers</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receiving</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doses</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above</w:t>
            </w:r>
            <w:proofErr w:type="spellEnd"/>
            <w:r w:rsidRPr="00275FBD">
              <w:rPr>
                <w:rFonts w:ascii="Calibri" w:hAnsi="Calibri"/>
                <w:b/>
                <w:bCs/>
                <w:color w:val="000000" w:themeColor="text1"/>
                <w:sz w:val="18"/>
                <w:szCs w:val="18"/>
                <w:lang w:val="sl-SI" w:eastAsia="en-GB"/>
              </w:rPr>
              <w:t xml:space="preserve"> NEK </w:t>
            </w:r>
            <w:proofErr w:type="spellStart"/>
            <w:r w:rsidRPr="00275FBD">
              <w:rPr>
                <w:rFonts w:ascii="Calibri" w:hAnsi="Calibri"/>
                <w:b/>
                <w:bCs/>
                <w:color w:val="000000" w:themeColor="text1"/>
                <w:sz w:val="18"/>
                <w:szCs w:val="18"/>
                <w:lang w:val="sl-SI" w:eastAsia="en-GB"/>
              </w:rPr>
              <w:t>criteria</w:t>
            </w:r>
            <w:proofErr w:type="spellEnd"/>
            <w:r w:rsidRPr="00275FBD">
              <w:rPr>
                <w:rFonts w:ascii="Calibri" w:hAnsi="Calibri"/>
                <w:color w:val="000000" w:themeColor="text1"/>
                <w:sz w:val="18"/>
                <w:szCs w:val="18"/>
                <w:lang w:val="sl-SI" w:eastAsia="en-GB"/>
              </w:rPr>
              <w:br/>
              <w:t xml:space="preserve">OSF element: Risk to Any </w:t>
            </w:r>
            <w:proofErr w:type="spellStart"/>
            <w:r w:rsidRPr="00275FBD">
              <w:rPr>
                <w:rFonts w:ascii="Calibri" w:hAnsi="Calibri"/>
                <w:color w:val="000000" w:themeColor="text1"/>
                <w:sz w:val="18"/>
                <w:szCs w:val="18"/>
                <w:lang w:val="sl-SI" w:eastAsia="en-GB"/>
              </w:rPr>
              <w:t>Worker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Attributable</w:t>
            </w:r>
            <w:proofErr w:type="spellEnd"/>
            <w:r w:rsidRPr="00275FBD">
              <w:rPr>
                <w:rFonts w:ascii="Calibri" w:hAnsi="Calibri"/>
                <w:color w:val="000000" w:themeColor="text1"/>
                <w:sz w:val="18"/>
                <w:szCs w:val="18"/>
                <w:lang w:val="sl-SI" w:eastAsia="en-GB"/>
              </w:rPr>
              <w:t xml:space="preserve"> to </w:t>
            </w:r>
            <w:proofErr w:type="spellStart"/>
            <w:r w:rsidRPr="00275FBD">
              <w:rPr>
                <w:rFonts w:ascii="Calibri" w:hAnsi="Calibri"/>
                <w:color w:val="000000" w:themeColor="text1"/>
                <w:sz w:val="18"/>
                <w:szCs w:val="18"/>
                <w:lang w:val="sl-SI" w:eastAsia="en-GB"/>
              </w:rPr>
              <w:t>Doses</w:t>
            </w:r>
            <w:proofErr w:type="spellEnd"/>
            <w:r w:rsidRPr="00275FBD">
              <w:rPr>
                <w:rFonts w:ascii="Calibri" w:hAnsi="Calibri"/>
                <w:color w:val="000000" w:themeColor="text1"/>
                <w:sz w:val="18"/>
                <w:szCs w:val="18"/>
                <w:lang w:val="sl-SI" w:eastAsia="en-GB"/>
              </w:rPr>
              <w:t xml:space="preserve"> of Radiation </w:t>
            </w:r>
            <w:proofErr w:type="spellStart"/>
            <w:r w:rsidRPr="00275FBD">
              <w:rPr>
                <w:rFonts w:ascii="Calibri" w:hAnsi="Calibri"/>
                <w:color w:val="000000" w:themeColor="text1"/>
                <w:sz w:val="18"/>
                <w:szCs w:val="18"/>
                <w:lang w:val="sl-SI" w:eastAsia="en-GB"/>
              </w:rPr>
              <w:t>Received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shown</w:t>
            </w:r>
            <w:proofErr w:type="spellEnd"/>
            <w:r w:rsidRPr="00275FBD">
              <w:rPr>
                <w:rFonts w:ascii="Calibri" w:hAnsi="Calibri"/>
                <w:color w:val="000000" w:themeColor="text1"/>
                <w:sz w:val="18"/>
                <w:szCs w:val="18"/>
                <w:lang w:val="sl-SI" w:eastAsia="en-GB"/>
              </w:rPr>
              <w:t xml:space="preserve"> to be ALARA.</w:t>
            </w:r>
            <w:r w:rsidRPr="00275FBD">
              <w:rPr>
                <w:rFonts w:ascii="Calibri" w:hAnsi="Calibri"/>
                <w:color w:val="000000" w:themeColor="text1"/>
                <w:sz w:val="18"/>
                <w:szCs w:val="18"/>
                <w:lang w:val="sl-SI" w:eastAsia="en-GB"/>
              </w:rPr>
              <w:br/>
              <w:t xml:space="preserve">The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is </w:t>
            </w:r>
            <w:proofErr w:type="spellStart"/>
            <w:r w:rsidRPr="00275FBD">
              <w:rPr>
                <w:rFonts w:ascii="Calibri" w:hAnsi="Calibri"/>
                <w:color w:val="000000" w:themeColor="text1"/>
                <w:sz w:val="18"/>
                <w:szCs w:val="18"/>
                <w:lang w:val="sl-SI" w:eastAsia="en-GB"/>
              </w:rPr>
              <w:t>related</w:t>
            </w:r>
            <w:proofErr w:type="spellEnd"/>
            <w:r w:rsidRPr="00275FBD">
              <w:rPr>
                <w:rFonts w:ascii="Calibri" w:hAnsi="Calibri"/>
                <w:color w:val="000000" w:themeColor="text1"/>
                <w:sz w:val="18"/>
                <w:szCs w:val="18"/>
                <w:lang w:val="sl-SI" w:eastAsia="en-GB"/>
              </w:rPr>
              <w:t xml:space="preserve"> to the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PSR3 3.1-012. </w:t>
            </w:r>
            <w:proofErr w:type="spellStart"/>
            <w:r w:rsidRPr="00275FBD">
              <w:rPr>
                <w:rFonts w:ascii="Calibri" w:hAnsi="Calibri"/>
                <w:color w:val="000000" w:themeColor="text1"/>
                <w:sz w:val="18"/>
                <w:szCs w:val="18"/>
                <w:lang w:val="sl-SI" w:eastAsia="en-GB"/>
              </w:rPr>
              <w:t>Therefore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rank</w:t>
            </w:r>
            <w:proofErr w:type="spellEnd"/>
            <w:r w:rsidRPr="00275FBD">
              <w:rPr>
                <w:rFonts w:ascii="Calibri" w:hAnsi="Calibri"/>
                <w:color w:val="000000" w:themeColor="text1"/>
                <w:sz w:val="18"/>
                <w:szCs w:val="18"/>
                <w:lang w:val="sl-SI" w:eastAsia="en-GB"/>
              </w:rPr>
              <w:t xml:space="preserve"> (S.N.) </w:t>
            </w:r>
            <w:proofErr w:type="spellStart"/>
            <w:r w:rsidRPr="00275FBD">
              <w:rPr>
                <w:rFonts w:ascii="Calibri" w:hAnsi="Calibri"/>
                <w:color w:val="000000" w:themeColor="text1"/>
                <w:sz w:val="18"/>
                <w:szCs w:val="18"/>
                <w:lang w:val="sl-SI" w:eastAsia="en-GB"/>
              </w:rPr>
              <w:t>raised</w:t>
            </w:r>
            <w:proofErr w:type="spellEnd"/>
            <w:r w:rsidRPr="00275FBD">
              <w:rPr>
                <w:rFonts w:ascii="Calibri" w:hAnsi="Calibri"/>
                <w:color w:val="000000" w:themeColor="text1"/>
                <w:sz w:val="18"/>
                <w:szCs w:val="18"/>
                <w:lang w:val="sl-SI" w:eastAsia="en-GB"/>
              </w:rPr>
              <w:t xml:space="preserve"> to 3.</w:t>
            </w:r>
          </w:p>
        </w:tc>
        <w:tc>
          <w:tcPr>
            <w:tcW w:w="993" w:type="dxa"/>
          </w:tcPr>
          <w:p w14:paraId="696BCA86"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3.1.4</w:t>
            </w:r>
          </w:p>
        </w:tc>
        <w:tc>
          <w:tcPr>
            <w:tcW w:w="5244" w:type="dxa"/>
          </w:tcPr>
          <w:p w14:paraId="674572D5"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The </w:t>
            </w:r>
            <w:proofErr w:type="spellStart"/>
            <w:r w:rsidRPr="00275FBD">
              <w:rPr>
                <w:rFonts w:ascii="Calibri" w:hAnsi="Calibri"/>
                <w:color w:val="000000"/>
                <w:sz w:val="18"/>
                <w:szCs w:val="18"/>
                <w:lang w:val="sl-SI" w:eastAsia="en-GB"/>
              </w:rPr>
              <w:t>mentioned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indicator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shows</w:t>
            </w:r>
            <w:proofErr w:type="spellEnd"/>
            <w:r w:rsidRPr="00275FBD">
              <w:rPr>
                <w:rFonts w:ascii="Calibri" w:hAnsi="Calibri"/>
                <w:color w:val="000000"/>
                <w:sz w:val="18"/>
                <w:szCs w:val="18"/>
                <w:lang w:val="sl-SI" w:eastAsia="en-GB"/>
              </w:rPr>
              <w:t xml:space="preserve"> that </w:t>
            </w:r>
            <w:proofErr w:type="spellStart"/>
            <w:r w:rsidRPr="00275FBD">
              <w:rPr>
                <w:rFonts w:ascii="Calibri" w:hAnsi="Calibri"/>
                <w:color w:val="000000"/>
                <w:sz w:val="18"/>
                <w:szCs w:val="18"/>
                <w:lang w:val="sl-SI" w:eastAsia="en-GB"/>
              </w:rPr>
              <w:t>there</w:t>
            </w:r>
            <w:proofErr w:type="spellEnd"/>
            <w:r w:rsidRPr="00275FBD">
              <w:rPr>
                <w:rFonts w:ascii="Calibri" w:hAnsi="Calibri"/>
                <w:color w:val="000000"/>
                <w:sz w:val="18"/>
                <w:szCs w:val="18"/>
                <w:lang w:val="sl-SI" w:eastAsia="en-GB"/>
              </w:rPr>
              <w:t xml:space="preserve"> are </w:t>
            </w:r>
            <w:proofErr w:type="spellStart"/>
            <w:r w:rsidRPr="00275FBD">
              <w:rPr>
                <w:rFonts w:ascii="Calibri" w:hAnsi="Calibri"/>
                <w:color w:val="000000"/>
                <w:sz w:val="18"/>
                <w:szCs w:val="18"/>
                <w:lang w:val="sl-SI" w:eastAsia="en-GB"/>
              </w:rPr>
              <w:t>problems</w:t>
            </w:r>
            <w:proofErr w:type="spellEnd"/>
            <w:r w:rsidRPr="00275FBD">
              <w:rPr>
                <w:rFonts w:ascii="Calibri" w:hAnsi="Calibri"/>
                <w:color w:val="000000"/>
                <w:sz w:val="18"/>
                <w:szCs w:val="18"/>
                <w:lang w:val="sl-SI" w:eastAsia="en-GB"/>
              </w:rPr>
              <w:t xml:space="preserve"> with the </w:t>
            </w:r>
            <w:proofErr w:type="spellStart"/>
            <w:r w:rsidRPr="00275FBD">
              <w:rPr>
                <w:rFonts w:ascii="Calibri" w:hAnsi="Calibri"/>
                <w:color w:val="000000"/>
                <w:sz w:val="18"/>
                <w:szCs w:val="18"/>
                <w:lang w:val="sl-SI" w:eastAsia="en-GB"/>
              </w:rPr>
              <w:t>organization</w:t>
            </w:r>
            <w:proofErr w:type="spellEnd"/>
            <w:r w:rsidRPr="00275FBD">
              <w:rPr>
                <w:rFonts w:ascii="Calibri" w:hAnsi="Calibri"/>
                <w:color w:val="000000"/>
                <w:sz w:val="18"/>
                <w:szCs w:val="18"/>
                <w:lang w:val="sl-SI" w:eastAsia="en-GB"/>
              </w:rPr>
              <w:t xml:space="preserve"> of </w:t>
            </w:r>
            <w:proofErr w:type="spellStart"/>
            <w:r w:rsidRPr="00275FBD">
              <w:rPr>
                <w:rFonts w:ascii="Calibri" w:hAnsi="Calibri"/>
                <w:color w:val="000000"/>
                <w:sz w:val="18"/>
                <w:szCs w:val="18"/>
                <w:lang w:val="sl-SI" w:eastAsia="en-GB"/>
              </w:rPr>
              <w:t>activities</w:t>
            </w:r>
            <w:proofErr w:type="spellEnd"/>
            <w:r w:rsidRPr="00275FBD">
              <w:rPr>
                <w:rFonts w:ascii="Calibri" w:hAnsi="Calibri"/>
                <w:color w:val="000000"/>
                <w:sz w:val="18"/>
                <w:szCs w:val="18"/>
                <w:lang w:val="sl-SI" w:eastAsia="en-GB"/>
              </w:rPr>
              <w:t xml:space="preserve"> in the </w:t>
            </w:r>
            <w:proofErr w:type="spellStart"/>
            <w:r w:rsidRPr="00275FBD">
              <w:rPr>
                <w:rFonts w:ascii="Calibri" w:hAnsi="Calibri"/>
                <w:color w:val="000000"/>
                <w:sz w:val="18"/>
                <w:szCs w:val="18"/>
                <w:lang w:val="sl-SI" w:eastAsia="en-GB"/>
              </w:rPr>
              <w:t>radiological</w:t>
            </w:r>
            <w:proofErr w:type="spellEnd"/>
            <w:r w:rsidRPr="00275FBD">
              <w:rPr>
                <w:rFonts w:ascii="Calibri" w:hAnsi="Calibri"/>
                <w:color w:val="000000"/>
                <w:sz w:val="18"/>
                <w:szCs w:val="18"/>
                <w:lang w:val="sl-SI" w:eastAsia="en-GB"/>
              </w:rPr>
              <w:t xml:space="preserve"> part of the </w:t>
            </w:r>
            <w:proofErr w:type="spellStart"/>
            <w:r w:rsidRPr="00275FBD">
              <w:rPr>
                <w:rFonts w:ascii="Calibri" w:hAnsi="Calibri"/>
                <w:color w:val="000000"/>
                <w:sz w:val="18"/>
                <w:szCs w:val="18"/>
                <w:lang w:val="sl-SI" w:eastAsia="en-GB"/>
              </w:rPr>
              <w:t>power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plant</w:t>
            </w:r>
            <w:proofErr w:type="spellEnd"/>
            <w:r w:rsidRPr="00275FBD">
              <w:rPr>
                <w:rFonts w:ascii="Calibri" w:hAnsi="Calibri"/>
                <w:color w:val="000000"/>
                <w:sz w:val="18"/>
                <w:szCs w:val="18"/>
                <w:lang w:val="sl-SI" w:eastAsia="en-GB"/>
              </w:rPr>
              <w:t>.</w:t>
            </w:r>
          </w:p>
          <w:p w14:paraId="6E5354C1"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It </w:t>
            </w:r>
            <w:proofErr w:type="spellStart"/>
            <w:r w:rsidRPr="00275FBD">
              <w:rPr>
                <w:rFonts w:ascii="Calibri" w:hAnsi="Calibri"/>
                <w:color w:val="000000"/>
                <w:sz w:val="18"/>
                <w:szCs w:val="18"/>
                <w:lang w:val="sl-SI" w:eastAsia="en-GB"/>
              </w:rPr>
              <w:t>needs</w:t>
            </w:r>
            <w:proofErr w:type="spellEnd"/>
            <w:r w:rsidRPr="00275FBD">
              <w:rPr>
                <w:rFonts w:ascii="Calibri" w:hAnsi="Calibri"/>
                <w:color w:val="000000"/>
                <w:sz w:val="18"/>
                <w:szCs w:val="18"/>
                <w:lang w:val="sl-SI" w:eastAsia="en-GB"/>
              </w:rPr>
              <w:t xml:space="preserve"> to be </w:t>
            </w:r>
            <w:proofErr w:type="spellStart"/>
            <w:r w:rsidRPr="00275FBD">
              <w:rPr>
                <w:rFonts w:ascii="Calibri" w:hAnsi="Calibri"/>
                <w:color w:val="000000"/>
                <w:sz w:val="18"/>
                <w:szCs w:val="18"/>
                <w:lang w:val="sl-SI" w:eastAsia="en-GB"/>
              </w:rPr>
              <w:t>improved</w:t>
            </w:r>
            <w:proofErr w:type="spellEnd"/>
            <w:r w:rsidRPr="00275FBD">
              <w:rPr>
                <w:rFonts w:ascii="Calibri" w:hAnsi="Calibri"/>
                <w:color w:val="000000"/>
                <w:sz w:val="18"/>
                <w:szCs w:val="18"/>
                <w:lang w:val="sl-SI" w:eastAsia="en-GB"/>
              </w:rPr>
              <w:t>.</w:t>
            </w:r>
          </w:p>
          <w:p w14:paraId="0DE7683A"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It is </w:t>
            </w:r>
            <w:proofErr w:type="spellStart"/>
            <w:r w:rsidRPr="00275FBD">
              <w:rPr>
                <w:rFonts w:ascii="Calibri" w:hAnsi="Calibri"/>
                <w:color w:val="000000"/>
                <w:sz w:val="18"/>
                <w:szCs w:val="18"/>
                <w:lang w:val="sl-SI" w:eastAsia="en-GB"/>
              </w:rPr>
              <w:t>necessary</w:t>
            </w:r>
            <w:proofErr w:type="spellEnd"/>
            <w:r w:rsidRPr="00275FBD">
              <w:rPr>
                <w:rFonts w:ascii="Calibri" w:hAnsi="Calibri"/>
                <w:color w:val="000000"/>
                <w:sz w:val="18"/>
                <w:szCs w:val="18"/>
                <w:lang w:val="sl-SI" w:eastAsia="en-GB"/>
              </w:rPr>
              <w:t xml:space="preserve"> to </w:t>
            </w:r>
            <w:proofErr w:type="spellStart"/>
            <w:r w:rsidRPr="00275FBD">
              <w:rPr>
                <w:rFonts w:ascii="Calibri" w:hAnsi="Calibri"/>
                <w:color w:val="000000"/>
                <w:sz w:val="18"/>
                <w:szCs w:val="18"/>
                <w:lang w:val="sl-SI" w:eastAsia="en-GB"/>
              </w:rPr>
              <w:t>carry</w:t>
            </w:r>
            <w:proofErr w:type="spellEnd"/>
            <w:r w:rsidRPr="00275FBD">
              <w:rPr>
                <w:rFonts w:ascii="Calibri" w:hAnsi="Calibri"/>
                <w:color w:val="000000"/>
                <w:sz w:val="18"/>
                <w:szCs w:val="18"/>
                <w:lang w:val="sl-SI" w:eastAsia="en-GB"/>
              </w:rPr>
              <w:t xml:space="preserve"> out an </w:t>
            </w:r>
            <w:proofErr w:type="spellStart"/>
            <w:r w:rsidRPr="00275FBD">
              <w:rPr>
                <w:rFonts w:ascii="Calibri" w:hAnsi="Calibri"/>
                <w:color w:val="000000"/>
                <w:sz w:val="18"/>
                <w:szCs w:val="18"/>
                <w:lang w:val="sl-SI" w:eastAsia="en-GB"/>
              </w:rPr>
              <w:t>analysis</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appropriate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corrective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measures</w:t>
            </w:r>
            <w:proofErr w:type="spellEnd"/>
            <w:r w:rsidRPr="00275FBD">
              <w:rPr>
                <w:rFonts w:ascii="Calibri" w:hAnsi="Calibri"/>
                <w:color w:val="000000"/>
                <w:sz w:val="18"/>
                <w:szCs w:val="18"/>
                <w:lang w:val="sl-SI" w:eastAsia="en-GB"/>
              </w:rPr>
              <w:t xml:space="preserve"> in </w:t>
            </w:r>
            <w:proofErr w:type="spellStart"/>
            <w:r w:rsidRPr="00275FBD">
              <w:rPr>
                <w:rFonts w:ascii="Calibri" w:hAnsi="Calibri"/>
                <w:color w:val="000000"/>
                <w:sz w:val="18"/>
                <w:szCs w:val="18"/>
                <w:lang w:val="sl-SI" w:eastAsia="en-GB"/>
              </w:rPr>
              <w:t>order</w:t>
            </w:r>
            <w:proofErr w:type="spellEnd"/>
            <w:r w:rsidRPr="00275FBD">
              <w:rPr>
                <w:rFonts w:ascii="Calibri" w:hAnsi="Calibri"/>
                <w:color w:val="000000"/>
                <w:sz w:val="18"/>
                <w:szCs w:val="18"/>
                <w:lang w:val="sl-SI" w:eastAsia="en-GB"/>
              </w:rPr>
              <w:t xml:space="preserve"> to </w:t>
            </w:r>
            <w:proofErr w:type="spellStart"/>
            <w:r w:rsidRPr="00275FBD">
              <w:rPr>
                <w:rFonts w:ascii="Calibri" w:hAnsi="Calibri"/>
                <w:color w:val="000000"/>
                <w:sz w:val="18"/>
                <w:szCs w:val="18"/>
                <w:lang w:val="sl-SI" w:eastAsia="en-GB"/>
              </w:rPr>
              <w:t>improve</w:t>
            </w:r>
            <w:proofErr w:type="spellEnd"/>
            <w:r w:rsidRPr="00275FBD">
              <w:rPr>
                <w:rFonts w:ascii="Calibri" w:hAnsi="Calibri"/>
                <w:color w:val="000000"/>
                <w:sz w:val="18"/>
                <w:szCs w:val="18"/>
                <w:lang w:val="sl-SI" w:eastAsia="en-GB"/>
              </w:rPr>
              <w:t xml:space="preserve"> the status of the </w:t>
            </w:r>
            <w:proofErr w:type="spellStart"/>
            <w:r w:rsidRPr="00275FBD">
              <w:rPr>
                <w:rFonts w:ascii="Calibri" w:hAnsi="Calibri"/>
                <w:color w:val="000000"/>
                <w:sz w:val="18"/>
                <w:szCs w:val="18"/>
                <w:lang w:val="sl-SI" w:eastAsia="en-GB"/>
              </w:rPr>
              <w:t>indicator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Number</w:t>
            </w:r>
            <w:proofErr w:type="spellEnd"/>
            <w:r w:rsidRPr="00275FBD">
              <w:rPr>
                <w:rFonts w:ascii="Calibri" w:hAnsi="Calibri"/>
                <w:color w:val="000000"/>
                <w:sz w:val="18"/>
                <w:szCs w:val="18"/>
                <w:lang w:val="sl-SI" w:eastAsia="en-GB"/>
              </w:rPr>
              <w:t xml:space="preserve"> of </w:t>
            </w:r>
            <w:proofErr w:type="spellStart"/>
            <w:r w:rsidRPr="00275FBD">
              <w:rPr>
                <w:rFonts w:ascii="Calibri" w:hAnsi="Calibri"/>
                <w:color w:val="000000"/>
                <w:sz w:val="18"/>
                <w:szCs w:val="18"/>
                <w:lang w:val="sl-SI" w:eastAsia="en-GB"/>
              </w:rPr>
              <w:t>workers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receiving</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doses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above</w:t>
            </w:r>
            <w:proofErr w:type="spellEnd"/>
            <w:r w:rsidRPr="00275FBD">
              <w:rPr>
                <w:rFonts w:ascii="Calibri" w:hAnsi="Calibri"/>
                <w:color w:val="000000"/>
                <w:sz w:val="18"/>
                <w:szCs w:val="18"/>
                <w:lang w:val="sl-SI" w:eastAsia="en-GB"/>
              </w:rPr>
              <w:t xml:space="preserve"> NEK </w:t>
            </w:r>
            <w:proofErr w:type="spellStart"/>
            <w:r w:rsidRPr="00275FBD">
              <w:rPr>
                <w:rFonts w:ascii="Calibri" w:hAnsi="Calibri"/>
                <w:color w:val="000000"/>
                <w:sz w:val="18"/>
                <w:szCs w:val="18"/>
                <w:lang w:val="sl-SI" w:eastAsia="en-GB"/>
              </w:rPr>
              <w:t>criteria</w:t>
            </w:r>
            <w:proofErr w:type="spellEnd"/>
            <w:r w:rsidRPr="00275FBD">
              <w:rPr>
                <w:rFonts w:ascii="Calibri" w:hAnsi="Calibri"/>
                <w:color w:val="000000"/>
                <w:sz w:val="18"/>
                <w:szCs w:val="18"/>
                <w:lang w:val="sl-SI" w:eastAsia="en-GB"/>
              </w:rPr>
              <w:t>".</w:t>
            </w:r>
          </w:p>
        </w:tc>
        <w:tc>
          <w:tcPr>
            <w:tcW w:w="2694" w:type="dxa"/>
          </w:tcPr>
          <w:p w14:paraId="01963325"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48853194" w14:textId="77777777" w:rsidTr="00935B67">
        <w:tc>
          <w:tcPr>
            <w:tcW w:w="1384" w:type="dxa"/>
            <w:shd w:val="clear" w:color="auto" w:fill="FFFFCC"/>
          </w:tcPr>
          <w:p w14:paraId="5449492D"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3.1-019</w:t>
            </w:r>
          </w:p>
        </w:tc>
        <w:tc>
          <w:tcPr>
            <w:tcW w:w="3827" w:type="dxa"/>
          </w:tcPr>
          <w:p w14:paraId="1A8917A5" w14:textId="77777777" w:rsidR="00935B67" w:rsidRPr="00275FBD" w:rsidRDefault="00935B67" w:rsidP="00935B67">
            <w:pPr>
              <w:jc w:val="left"/>
              <w:rPr>
                <w:rFonts w:ascii="Calibri" w:hAnsi="Calibri"/>
                <w:b/>
                <w:bCs/>
                <w:color w:val="000000" w:themeColor="text1"/>
                <w:sz w:val="18"/>
                <w:szCs w:val="18"/>
                <w:lang w:val="sl-SI" w:eastAsia="en-GB"/>
              </w:rPr>
            </w:pPr>
            <w:proofErr w:type="spellStart"/>
            <w:r w:rsidRPr="00275FBD">
              <w:rPr>
                <w:rFonts w:ascii="Calibri" w:hAnsi="Calibri"/>
                <w:b/>
                <w:bCs/>
                <w:color w:val="000000" w:themeColor="text1"/>
                <w:sz w:val="18"/>
                <w:szCs w:val="18"/>
                <w:lang w:val="sl-SI" w:eastAsia="en-GB"/>
              </w:rPr>
              <w:t>Performance</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Indicators</w:t>
            </w:r>
            <w:proofErr w:type="spellEnd"/>
            <w:r w:rsidRPr="00275FBD">
              <w:rPr>
                <w:rFonts w:ascii="Calibri" w:hAnsi="Calibri"/>
                <w:b/>
                <w:bCs/>
                <w:color w:val="000000" w:themeColor="text1"/>
                <w:sz w:val="18"/>
                <w:szCs w:val="18"/>
                <w:lang w:val="sl-SI" w:eastAsia="en-GB"/>
              </w:rPr>
              <w:t xml:space="preserve"> - </w:t>
            </w:r>
            <w:proofErr w:type="spellStart"/>
            <w:r w:rsidRPr="00275FBD">
              <w:rPr>
                <w:rFonts w:ascii="Calibri" w:hAnsi="Calibri"/>
                <w:b/>
                <w:bCs/>
                <w:color w:val="000000" w:themeColor="text1"/>
                <w:sz w:val="18"/>
                <w:szCs w:val="18"/>
                <w:lang w:val="sl-SI" w:eastAsia="en-GB"/>
              </w:rPr>
              <w:t>Ranking</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zones</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definitions</w:t>
            </w:r>
            <w:proofErr w:type="spellEnd"/>
            <w:r w:rsidRPr="00275FBD">
              <w:rPr>
                <w:rFonts w:ascii="Calibri" w:hAnsi="Calibri"/>
                <w:color w:val="000000" w:themeColor="text1"/>
                <w:sz w:val="18"/>
                <w:szCs w:val="18"/>
                <w:lang w:val="sl-SI" w:eastAsia="en-GB"/>
              </w:rPr>
              <w:t xml:space="preserve"> and </w:t>
            </w:r>
            <w:proofErr w:type="spellStart"/>
            <w:r w:rsidRPr="00275FBD">
              <w:rPr>
                <w:rFonts w:ascii="Calibri" w:hAnsi="Calibri"/>
                <w:color w:val="000000" w:themeColor="text1"/>
                <w:sz w:val="18"/>
                <w:szCs w:val="18"/>
                <w:lang w:val="sl-SI" w:eastAsia="en-GB"/>
              </w:rPr>
              <w:t>intended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functions</w:t>
            </w:r>
            <w:proofErr w:type="spellEnd"/>
            <w:r w:rsidRPr="00275FBD">
              <w:rPr>
                <w:rFonts w:ascii="Calibri" w:hAnsi="Calibri"/>
                <w:color w:val="000000" w:themeColor="text1"/>
                <w:sz w:val="18"/>
                <w:szCs w:val="18"/>
                <w:lang w:val="sl-SI" w:eastAsia="en-GB"/>
              </w:rPr>
              <w:br/>
              <w:t xml:space="preserve">OSF element: Self-Assessment </w:t>
            </w:r>
            <w:proofErr w:type="spellStart"/>
            <w:r w:rsidRPr="00275FBD">
              <w:rPr>
                <w:rFonts w:ascii="Calibri" w:hAnsi="Calibri"/>
                <w:color w:val="000000" w:themeColor="text1"/>
                <w:sz w:val="18"/>
                <w:szCs w:val="18"/>
                <w:lang w:val="sl-SI" w:eastAsia="en-GB"/>
              </w:rPr>
              <w:t>Process</w:t>
            </w:r>
            <w:proofErr w:type="spellEnd"/>
            <w:r w:rsidRPr="00275FBD">
              <w:rPr>
                <w:rFonts w:ascii="Calibri" w:hAnsi="Calibri"/>
                <w:color w:val="000000" w:themeColor="text1"/>
                <w:sz w:val="18"/>
                <w:szCs w:val="18"/>
                <w:lang w:val="sl-SI" w:eastAsia="en-GB"/>
              </w:rPr>
              <w:br/>
            </w:r>
            <w:proofErr w:type="spellStart"/>
            <w:r w:rsidRPr="00275FBD">
              <w:rPr>
                <w:rFonts w:ascii="Calibri" w:hAnsi="Calibri"/>
                <w:color w:val="000000" w:themeColor="text1"/>
                <w:sz w:val="18"/>
                <w:szCs w:val="18"/>
                <w:lang w:val="sl-SI" w:eastAsia="en-GB"/>
              </w:rPr>
              <w:t>There</w:t>
            </w:r>
            <w:proofErr w:type="spellEnd"/>
            <w:r w:rsidRPr="00275FBD">
              <w:rPr>
                <w:rFonts w:ascii="Calibri" w:hAnsi="Calibri"/>
                <w:color w:val="000000" w:themeColor="text1"/>
                <w:sz w:val="18"/>
                <w:szCs w:val="18"/>
                <w:lang w:val="sl-SI" w:eastAsia="en-GB"/>
              </w:rPr>
              <w:t xml:space="preserve"> is a </w:t>
            </w:r>
            <w:proofErr w:type="spellStart"/>
            <w:r w:rsidRPr="00275FBD">
              <w:rPr>
                <w:rFonts w:ascii="Calibri" w:hAnsi="Calibri"/>
                <w:color w:val="000000" w:themeColor="text1"/>
                <w:sz w:val="18"/>
                <w:szCs w:val="18"/>
                <w:lang w:val="sl-SI" w:eastAsia="en-GB"/>
              </w:rPr>
              <w:t>group</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issues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related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possible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inconsistencies</w:t>
            </w:r>
            <w:proofErr w:type="spellEnd"/>
            <w:r w:rsidRPr="00275FBD">
              <w:rPr>
                <w:rFonts w:ascii="Calibri" w:hAnsi="Calibri"/>
                <w:color w:val="000000" w:themeColor="text1"/>
                <w:sz w:val="18"/>
                <w:szCs w:val="18"/>
                <w:lang w:val="sl-SI" w:eastAsia="en-GB"/>
              </w:rPr>
              <w:t xml:space="preserve"> with </w:t>
            </w:r>
            <w:proofErr w:type="spellStart"/>
            <w:r w:rsidRPr="00275FBD">
              <w:rPr>
                <w:rFonts w:ascii="Calibri" w:hAnsi="Calibri"/>
                <w:color w:val="000000" w:themeColor="text1"/>
                <w:sz w:val="18"/>
                <w:szCs w:val="18"/>
                <w:lang w:val="sl-SI" w:eastAsia="en-GB"/>
              </w:rPr>
              <w:t>performance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indicators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Although</w:t>
            </w:r>
            <w:proofErr w:type="spellEnd"/>
            <w:r w:rsidRPr="00275FBD">
              <w:rPr>
                <w:rFonts w:ascii="Calibri" w:hAnsi="Calibri"/>
                <w:color w:val="000000" w:themeColor="text1"/>
                <w:sz w:val="18"/>
                <w:szCs w:val="18"/>
                <w:lang w:val="sl-SI" w:eastAsia="en-GB"/>
              </w:rPr>
              <w:t xml:space="preserve"> some of </w:t>
            </w:r>
            <w:proofErr w:type="spellStart"/>
            <w:r w:rsidRPr="00275FBD">
              <w:rPr>
                <w:rFonts w:ascii="Calibri" w:hAnsi="Calibri"/>
                <w:color w:val="000000" w:themeColor="text1"/>
                <w:sz w:val="18"/>
                <w:szCs w:val="18"/>
                <w:lang w:val="sl-SI" w:eastAsia="en-GB"/>
              </w:rPr>
              <w:t>them</w:t>
            </w:r>
            <w:proofErr w:type="spellEnd"/>
            <w:r w:rsidRPr="00275FBD">
              <w:rPr>
                <w:rFonts w:ascii="Calibri" w:hAnsi="Calibri"/>
                <w:color w:val="000000" w:themeColor="text1"/>
                <w:sz w:val="18"/>
                <w:szCs w:val="18"/>
                <w:lang w:val="sl-SI" w:eastAsia="en-GB"/>
              </w:rPr>
              <w:t xml:space="preserve"> are </w:t>
            </w:r>
            <w:proofErr w:type="spellStart"/>
            <w:r w:rsidRPr="00275FBD">
              <w:rPr>
                <w:rFonts w:ascii="Calibri" w:hAnsi="Calibri"/>
                <w:color w:val="000000" w:themeColor="text1"/>
                <w:sz w:val="18"/>
                <w:szCs w:val="18"/>
                <w:lang w:val="sl-SI" w:eastAsia="en-GB"/>
              </w:rPr>
              <w:t>considered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minor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each</w:t>
            </w:r>
            <w:proofErr w:type="spellEnd"/>
            <w:r w:rsidRPr="00275FBD">
              <w:rPr>
                <w:rFonts w:ascii="Calibri" w:hAnsi="Calibri"/>
                <w:color w:val="000000" w:themeColor="text1"/>
                <w:sz w:val="18"/>
                <w:szCs w:val="18"/>
                <w:lang w:val="sl-SI" w:eastAsia="en-GB"/>
              </w:rPr>
              <w:t xml:space="preserve"> is, for </w:t>
            </w:r>
            <w:proofErr w:type="spellStart"/>
            <w:r w:rsidRPr="00275FBD">
              <w:rPr>
                <w:rFonts w:ascii="Calibri" w:hAnsi="Calibri"/>
                <w:color w:val="000000" w:themeColor="text1"/>
                <w:sz w:val="18"/>
                <w:szCs w:val="18"/>
                <w:lang w:val="sl-SI" w:eastAsia="en-GB"/>
              </w:rPr>
              <w:t>consistency</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ranked</w:t>
            </w:r>
            <w:proofErr w:type="spellEnd"/>
            <w:r w:rsidRPr="00275FBD">
              <w:rPr>
                <w:rFonts w:ascii="Calibri" w:hAnsi="Calibri"/>
                <w:color w:val="000000" w:themeColor="text1"/>
                <w:sz w:val="18"/>
                <w:szCs w:val="18"/>
                <w:lang w:val="sl-SI" w:eastAsia="en-GB"/>
              </w:rPr>
              <w:t xml:space="preserve"> with S.N. = 3.</w:t>
            </w:r>
          </w:p>
        </w:tc>
        <w:tc>
          <w:tcPr>
            <w:tcW w:w="993" w:type="dxa"/>
          </w:tcPr>
          <w:p w14:paraId="185CD5AF"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3.1.3</w:t>
            </w:r>
          </w:p>
        </w:tc>
        <w:tc>
          <w:tcPr>
            <w:tcW w:w="5244" w:type="dxa"/>
          </w:tcPr>
          <w:p w14:paraId="3C7E4BA7"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It is </w:t>
            </w:r>
            <w:proofErr w:type="spellStart"/>
            <w:r w:rsidRPr="00275FBD">
              <w:rPr>
                <w:rFonts w:ascii="Calibri" w:hAnsi="Calibri"/>
                <w:color w:val="000000"/>
                <w:sz w:val="18"/>
                <w:szCs w:val="18"/>
                <w:lang w:val="sl-SI" w:eastAsia="en-GB"/>
              </w:rPr>
              <w:t>necessary</w:t>
            </w:r>
            <w:proofErr w:type="spellEnd"/>
            <w:r w:rsidRPr="00275FBD">
              <w:rPr>
                <w:rFonts w:ascii="Calibri" w:hAnsi="Calibri"/>
                <w:color w:val="000000"/>
                <w:sz w:val="18"/>
                <w:szCs w:val="18"/>
                <w:lang w:val="sl-SI" w:eastAsia="en-GB"/>
              </w:rPr>
              <w:t xml:space="preserve"> to </w:t>
            </w:r>
            <w:proofErr w:type="spellStart"/>
            <w:r w:rsidRPr="00275FBD">
              <w:rPr>
                <w:rFonts w:ascii="Calibri" w:hAnsi="Calibri"/>
                <w:color w:val="000000"/>
                <w:sz w:val="18"/>
                <w:szCs w:val="18"/>
                <w:lang w:val="sl-SI" w:eastAsia="en-GB"/>
              </w:rPr>
              <w:t>define</w:t>
            </w:r>
            <w:proofErr w:type="spellEnd"/>
            <w:r w:rsidRPr="00275FBD">
              <w:rPr>
                <w:rFonts w:ascii="Calibri" w:hAnsi="Calibri"/>
                <w:color w:val="000000"/>
                <w:sz w:val="18"/>
                <w:szCs w:val="18"/>
                <w:lang w:val="sl-SI" w:eastAsia="en-GB"/>
              </w:rPr>
              <w:t xml:space="preserve"> the </w:t>
            </w:r>
            <w:proofErr w:type="spellStart"/>
            <w:r w:rsidRPr="00275FBD">
              <w:rPr>
                <w:rFonts w:ascii="Calibri" w:hAnsi="Calibri"/>
                <w:color w:val="000000"/>
                <w:sz w:val="18"/>
                <w:szCs w:val="18"/>
                <w:lang w:val="sl-SI" w:eastAsia="en-GB"/>
              </w:rPr>
              <w:t>definitions</w:t>
            </w:r>
            <w:proofErr w:type="spellEnd"/>
            <w:r w:rsidRPr="00275FBD">
              <w:rPr>
                <w:rFonts w:ascii="Calibri" w:hAnsi="Calibri"/>
                <w:color w:val="000000"/>
                <w:sz w:val="18"/>
                <w:szCs w:val="18"/>
                <w:lang w:val="sl-SI" w:eastAsia="en-GB"/>
              </w:rPr>
              <w:t xml:space="preserve"> of the </w:t>
            </w:r>
            <w:proofErr w:type="spellStart"/>
            <w:r w:rsidRPr="00275FBD">
              <w:rPr>
                <w:rFonts w:ascii="Calibri" w:hAnsi="Calibri"/>
                <w:color w:val="000000"/>
                <w:sz w:val="18"/>
                <w:szCs w:val="18"/>
                <w:lang w:val="sl-SI" w:eastAsia="en-GB"/>
              </w:rPr>
              <w:t>zones</w:t>
            </w:r>
            <w:proofErr w:type="spellEnd"/>
            <w:r w:rsidRPr="00275FBD">
              <w:rPr>
                <w:rFonts w:ascii="Calibri" w:hAnsi="Calibri"/>
                <w:color w:val="000000"/>
                <w:sz w:val="18"/>
                <w:szCs w:val="18"/>
                <w:lang w:val="sl-SI" w:eastAsia="en-GB"/>
              </w:rPr>
              <w:t xml:space="preserve"> more </w:t>
            </w:r>
            <w:proofErr w:type="spellStart"/>
            <w:r w:rsidRPr="00275FBD">
              <w:rPr>
                <w:rFonts w:ascii="Calibri" w:hAnsi="Calibri"/>
                <w:color w:val="000000"/>
                <w:sz w:val="18"/>
                <w:szCs w:val="18"/>
                <w:lang w:val="sl-SI" w:eastAsia="en-GB"/>
              </w:rPr>
              <w:t>clearly</w:t>
            </w:r>
            <w:proofErr w:type="spellEnd"/>
            <w:r w:rsidRPr="00275FBD">
              <w:rPr>
                <w:rFonts w:ascii="Calibri" w:hAnsi="Calibri"/>
                <w:color w:val="000000"/>
                <w:sz w:val="18"/>
                <w:szCs w:val="18"/>
                <w:lang w:val="sl-SI" w:eastAsia="en-GB"/>
              </w:rPr>
              <w:t xml:space="preserve"> in </w:t>
            </w:r>
            <w:proofErr w:type="spellStart"/>
            <w:r w:rsidRPr="00275FBD">
              <w:rPr>
                <w:rFonts w:ascii="Calibri" w:hAnsi="Calibri"/>
                <w:color w:val="000000"/>
                <w:sz w:val="18"/>
                <w:szCs w:val="18"/>
                <w:lang w:val="sl-SI" w:eastAsia="en-GB"/>
              </w:rPr>
              <w:t>order</w:t>
            </w:r>
            <w:proofErr w:type="spellEnd"/>
            <w:r w:rsidRPr="00275FBD">
              <w:rPr>
                <w:rFonts w:ascii="Calibri" w:hAnsi="Calibri"/>
                <w:color w:val="000000"/>
                <w:sz w:val="18"/>
                <w:szCs w:val="18"/>
                <w:lang w:val="sl-SI" w:eastAsia="en-GB"/>
              </w:rPr>
              <w:t xml:space="preserve"> to make the </w:t>
            </w:r>
            <w:proofErr w:type="spellStart"/>
            <w:r w:rsidRPr="00275FBD">
              <w:rPr>
                <w:rFonts w:ascii="Calibri" w:hAnsi="Calibri"/>
                <w:color w:val="000000"/>
                <w:sz w:val="18"/>
                <w:szCs w:val="18"/>
                <w:lang w:val="sl-SI" w:eastAsia="en-GB"/>
              </w:rPr>
              <w:t>performance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indicators</w:t>
            </w:r>
            <w:proofErr w:type="spellEnd"/>
            <w:r w:rsidRPr="00275FBD">
              <w:rPr>
                <w:rFonts w:ascii="Calibri" w:hAnsi="Calibri"/>
                <w:color w:val="000000"/>
                <w:sz w:val="18"/>
                <w:szCs w:val="18"/>
                <w:lang w:val="sl-SI" w:eastAsia="en-GB"/>
              </w:rPr>
              <w:t xml:space="preserve"> more </w:t>
            </w:r>
            <w:proofErr w:type="spellStart"/>
            <w:r w:rsidRPr="00275FBD">
              <w:rPr>
                <w:rFonts w:ascii="Calibri" w:hAnsi="Calibri"/>
                <w:color w:val="000000"/>
                <w:sz w:val="18"/>
                <w:szCs w:val="18"/>
                <w:lang w:val="sl-SI" w:eastAsia="en-GB"/>
              </w:rPr>
              <w:t>effective</w:t>
            </w:r>
            <w:proofErr w:type="spellEnd"/>
            <w:r w:rsidRPr="00275FBD">
              <w:rPr>
                <w:rFonts w:ascii="Calibri" w:hAnsi="Calibri"/>
                <w:color w:val="000000"/>
                <w:sz w:val="18"/>
                <w:szCs w:val="18"/>
                <w:lang w:val="sl-SI" w:eastAsia="en-GB"/>
              </w:rPr>
              <w:t>.</w:t>
            </w:r>
          </w:p>
        </w:tc>
        <w:tc>
          <w:tcPr>
            <w:tcW w:w="2694" w:type="dxa"/>
          </w:tcPr>
          <w:p w14:paraId="54291E88"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36F4E549" w14:textId="77777777" w:rsidTr="00935B67">
        <w:tc>
          <w:tcPr>
            <w:tcW w:w="1384" w:type="dxa"/>
            <w:shd w:val="clear" w:color="auto" w:fill="FFFFCC"/>
          </w:tcPr>
          <w:p w14:paraId="38CBE35E"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3.1-020</w:t>
            </w:r>
          </w:p>
        </w:tc>
        <w:tc>
          <w:tcPr>
            <w:tcW w:w="3827" w:type="dxa"/>
          </w:tcPr>
          <w:p w14:paraId="00DE5682" w14:textId="77777777" w:rsidR="00935B67" w:rsidRPr="00275FBD" w:rsidRDefault="00935B67" w:rsidP="00935B67">
            <w:pPr>
              <w:jc w:val="left"/>
              <w:rPr>
                <w:rFonts w:ascii="Calibri" w:hAnsi="Calibri"/>
                <w:b/>
                <w:bCs/>
                <w:color w:val="000000" w:themeColor="text1"/>
                <w:sz w:val="18"/>
                <w:szCs w:val="18"/>
                <w:lang w:val="sl-SI" w:eastAsia="en-GB"/>
              </w:rPr>
            </w:pPr>
            <w:proofErr w:type="spellStart"/>
            <w:r w:rsidRPr="00275FBD">
              <w:rPr>
                <w:rFonts w:ascii="Calibri" w:hAnsi="Calibri"/>
                <w:b/>
                <w:bCs/>
                <w:color w:val="000000" w:themeColor="text1"/>
                <w:sz w:val="18"/>
                <w:szCs w:val="18"/>
                <w:lang w:val="sl-SI" w:eastAsia="en-GB"/>
              </w:rPr>
              <w:t>Performance</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Indicators</w:t>
            </w:r>
            <w:proofErr w:type="spellEnd"/>
            <w:r w:rsidRPr="00275FBD">
              <w:rPr>
                <w:rFonts w:ascii="Calibri" w:hAnsi="Calibri"/>
                <w:b/>
                <w:bCs/>
                <w:color w:val="000000" w:themeColor="text1"/>
                <w:sz w:val="18"/>
                <w:szCs w:val="18"/>
                <w:lang w:val="sl-SI" w:eastAsia="en-GB"/>
              </w:rPr>
              <w:t xml:space="preserve"> - </w:t>
            </w:r>
            <w:proofErr w:type="spellStart"/>
            <w:r w:rsidRPr="00275FBD">
              <w:rPr>
                <w:rFonts w:ascii="Calibri" w:hAnsi="Calibri"/>
                <w:b/>
                <w:bCs/>
                <w:color w:val="000000" w:themeColor="text1"/>
                <w:sz w:val="18"/>
                <w:szCs w:val="18"/>
                <w:lang w:val="sl-SI" w:eastAsia="en-GB"/>
              </w:rPr>
              <w:t>Ranking</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zones</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boundaries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Ranking</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zones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boundaries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be defined more </w:t>
            </w:r>
            <w:proofErr w:type="spellStart"/>
            <w:r w:rsidRPr="00275FBD">
              <w:rPr>
                <w:rFonts w:ascii="Calibri" w:hAnsi="Calibri"/>
                <w:color w:val="000000" w:themeColor="text1"/>
                <w:sz w:val="18"/>
                <w:szCs w:val="18"/>
                <w:lang w:val="sl-SI" w:eastAsia="en-GB"/>
              </w:rPr>
              <w:t>strictly</w:t>
            </w:r>
            <w:proofErr w:type="spellEnd"/>
            <w:r w:rsidRPr="00275FBD">
              <w:rPr>
                <w:rFonts w:ascii="Calibri" w:hAnsi="Calibri"/>
                <w:color w:val="000000" w:themeColor="text1"/>
                <w:sz w:val="18"/>
                <w:szCs w:val="18"/>
                <w:lang w:val="sl-SI" w:eastAsia="en-GB"/>
              </w:rPr>
              <w:t xml:space="preserve"> and </w:t>
            </w:r>
            <w:proofErr w:type="spellStart"/>
            <w:r w:rsidRPr="00275FBD">
              <w:rPr>
                <w:rFonts w:ascii="Calibri" w:hAnsi="Calibri"/>
                <w:color w:val="000000" w:themeColor="text1"/>
                <w:sz w:val="18"/>
                <w:szCs w:val="18"/>
                <w:lang w:val="sl-SI" w:eastAsia="en-GB"/>
              </w:rPr>
              <w:t>clearly</w:t>
            </w:r>
            <w:proofErr w:type="spellEnd"/>
            <w:r w:rsidRPr="00275FBD">
              <w:rPr>
                <w:rFonts w:ascii="Calibri" w:hAnsi="Calibri"/>
                <w:color w:val="000000" w:themeColor="text1"/>
                <w:sz w:val="18"/>
                <w:szCs w:val="18"/>
                <w:lang w:val="sl-SI" w:eastAsia="en-GB"/>
              </w:rPr>
              <w:t xml:space="preserve"> in </w:t>
            </w:r>
            <w:proofErr w:type="spellStart"/>
            <w:r w:rsidRPr="00275FBD">
              <w:rPr>
                <w:rFonts w:ascii="Calibri" w:hAnsi="Calibri"/>
                <w:color w:val="000000" w:themeColor="text1"/>
                <w:sz w:val="18"/>
                <w:szCs w:val="18"/>
                <w:lang w:val="sl-SI" w:eastAsia="en-GB"/>
              </w:rPr>
              <w:t>relation</w:t>
            </w:r>
            <w:proofErr w:type="spellEnd"/>
            <w:r w:rsidRPr="00275FBD">
              <w:rPr>
                <w:rFonts w:ascii="Calibri" w:hAnsi="Calibri"/>
                <w:color w:val="000000" w:themeColor="text1"/>
                <w:sz w:val="18"/>
                <w:szCs w:val="18"/>
                <w:lang w:val="sl-SI" w:eastAsia="en-GB"/>
              </w:rPr>
              <w:t xml:space="preserve"> to </w:t>
            </w:r>
            <w:proofErr w:type="spellStart"/>
            <w:r w:rsidRPr="00275FBD">
              <w:rPr>
                <w:rFonts w:ascii="Calibri" w:hAnsi="Calibri"/>
                <w:color w:val="000000" w:themeColor="text1"/>
                <w:sz w:val="18"/>
                <w:szCs w:val="18"/>
                <w:lang w:val="sl-SI" w:eastAsia="en-GB"/>
              </w:rPr>
              <w:t>zones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limits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inclusion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within</w:t>
            </w:r>
            <w:proofErr w:type="spellEnd"/>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particular</w:t>
            </w:r>
            <w:proofErr w:type="spellEnd"/>
            <w:r w:rsidRPr="00275FBD">
              <w:rPr>
                <w:rFonts w:ascii="Calibri" w:hAnsi="Calibri"/>
                <w:color w:val="000000" w:themeColor="text1"/>
                <w:sz w:val="18"/>
                <w:szCs w:val="18"/>
                <w:lang w:val="sl-SI" w:eastAsia="en-GB"/>
              </w:rPr>
              <w:t xml:space="preserve"> zone </w:t>
            </w:r>
            <w:r w:rsidRPr="00275FBD">
              <w:rPr>
                <w:rFonts w:ascii="Calibri" w:hAnsi="Calibri"/>
                <w:color w:val="000000" w:themeColor="text1"/>
                <w:sz w:val="18"/>
                <w:szCs w:val="18"/>
                <w:lang w:val="sl-SI" w:eastAsia="en-GB"/>
              </w:rPr>
              <w:br/>
              <w:t xml:space="preserve">OSF element: Self-Assessment </w:t>
            </w:r>
            <w:proofErr w:type="spellStart"/>
            <w:r w:rsidRPr="00275FBD">
              <w:rPr>
                <w:rFonts w:ascii="Calibri" w:hAnsi="Calibri"/>
                <w:color w:val="000000" w:themeColor="text1"/>
                <w:sz w:val="18"/>
                <w:szCs w:val="18"/>
                <w:lang w:val="sl-SI" w:eastAsia="en-GB"/>
              </w:rPr>
              <w:t>Process</w:t>
            </w:r>
            <w:proofErr w:type="spellEnd"/>
            <w:r w:rsidRPr="00275FBD">
              <w:rPr>
                <w:rFonts w:ascii="Calibri" w:hAnsi="Calibri"/>
                <w:color w:val="000000" w:themeColor="text1"/>
                <w:sz w:val="18"/>
                <w:szCs w:val="18"/>
                <w:lang w:val="sl-SI" w:eastAsia="en-GB"/>
              </w:rPr>
              <w:br/>
            </w:r>
            <w:proofErr w:type="spellStart"/>
            <w:r w:rsidRPr="00275FBD">
              <w:rPr>
                <w:rFonts w:ascii="Calibri" w:hAnsi="Calibri"/>
                <w:color w:val="000000" w:themeColor="text1"/>
                <w:sz w:val="18"/>
                <w:szCs w:val="18"/>
                <w:lang w:val="sl-SI" w:eastAsia="en-GB"/>
              </w:rPr>
              <w:t>There</w:t>
            </w:r>
            <w:proofErr w:type="spellEnd"/>
            <w:r w:rsidRPr="00275FBD">
              <w:rPr>
                <w:rFonts w:ascii="Calibri" w:hAnsi="Calibri"/>
                <w:color w:val="000000" w:themeColor="text1"/>
                <w:sz w:val="18"/>
                <w:szCs w:val="18"/>
                <w:lang w:val="sl-SI" w:eastAsia="en-GB"/>
              </w:rPr>
              <w:t xml:space="preserve"> is a </w:t>
            </w:r>
            <w:proofErr w:type="spellStart"/>
            <w:r w:rsidRPr="00275FBD">
              <w:rPr>
                <w:rFonts w:ascii="Calibri" w:hAnsi="Calibri"/>
                <w:color w:val="000000" w:themeColor="text1"/>
                <w:sz w:val="18"/>
                <w:szCs w:val="18"/>
                <w:lang w:val="sl-SI" w:eastAsia="en-GB"/>
              </w:rPr>
              <w:t>group</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issues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related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possible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inconsistencies</w:t>
            </w:r>
            <w:proofErr w:type="spellEnd"/>
            <w:r w:rsidRPr="00275FBD">
              <w:rPr>
                <w:rFonts w:ascii="Calibri" w:hAnsi="Calibri"/>
                <w:color w:val="000000" w:themeColor="text1"/>
                <w:sz w:val="18"/>
                <w:szCs w:val="18"/>
                <w:lang w:val="sl-SI" w:eastAsia="en-GB"/>
              </w:rPr>
              <w:t xml:space="preserve"> with </w:t>
            </w:r>
            <w:proofErr w:type="spellStart"/>
            <w:r w:rsidRPr="00275FBD">
              <w:rPr>
                <w:rFonts w:ascii="Calibri" w:hAnsi="Calibri"/>
                <w:color w:val="000000" w:themeColor="text1"/>
                <w:sz w:val="18"/>
                <w:szCs w:val="18"/>
                <w:lang w:val="sl-SI" w:eastAsia="en-GB"/>
              </w:rPr>
              <w:t>performance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indicators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Although</w:t>
            </w:r>
            <w:proofErr w:type="spellEnd"/>
            <w:r w:rsidRPr="00275FBD">
              <w:rPr>
                <w:rFonts w:ascii="Calibri" w:hAnsi="Calibri"/>
                <w:color w:val="000000" w:themeColor="text1"/>
                <w:sz w:val="18"/>
                <w:szCs w:val="18"/>
                <w:lang w:val="sl-SI" w:eastAsia="en-GB"/>
              </w:rPr>
              <w:t xml:space="preserve"> some of </w:t>
            </w:r>
            <w:proofErr w:type="spellStart"/>
            <w:r w:rsidRPr="00275FBD">
              <w:rPr>
                <w:rFonts w:ascii="Calibri" w:hAnsi="Calibri"/>
                <w:color w:val="000000" w:themeColor="text1"/>
                <w:sz w:val="18"/>
                <w:szCs w:val="18"/>
                <w:lang w:val="sl-SI" w:eastAsia="en-GB"/>
              </w:rPr>
              <w:t>them</w:t>
            </w:r>
            <w:proofErr w:type="spellEnd"/>
            <w:r w:rsidRPr="00275FBD">
              <w:rPr>
                <w:rFonts w:ascii="Calibri" w:hAnsi="Calibri"/>
                <w:color w:val="000000" w:themeColor="text1"/>
                <w:sz w:val="18"/>
                <w:szCs w:val="18"/>
                <w:lang w:val="sl-SI" w:eastAsia="en-GB"/>
              </w:rPr>
              <w:t xml:space="preserve"> are </w:t>
            </w:r>
            <w:proofErr w:type="spellStart"/>
            <w:r w:rsidRPr="00275FBD">
              <w:rPr>
                <w:rFonts w:ascii="Calibri" w:hAnsi="Calibri"/>
                <w:color w:val="000000" w:themeColor="text1"/>
                <w:sz w:val="18"/>
                <w:szCs w:val="18"/>
                <w:lang w:val="sl-SI" w:eastAsia="en-GB"/>
              </w:rPr>
              <w:t>considered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minor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each</w:t>
            </w:r>
            <w:proofErr w:type="spellEnd"/>
            <w:r w:rsidRPr="00275FBD">
              <w:rPr>
                <w:rFonts w:ascii="Calibri" w:hAnsi="Calibri"/>
                <w:color w:val="000000" w:themeColor="text1"/>
                <w:sz w:val="18"/>
                <w:szCs w:val="18"/>
                <w:lang w:val="sl-SI" w:eastAsia="en-GB"/>
              </w:rPr>
              <w:t xml:space="preserve"> is, for </w:t>
            </w:r>
            <w:proofErr w:type="spellStart"/>
            <w:r w:rsidRPr="00275FBD">
              <w:rPr>
                <w:rFonts w:ascii="Calibri" w:hAnsi="Calibri"/>
                <w:color w:val="000000" w:themeColor="text1"/>
                <w:sz w:val="18"/>
                <w:szCs w:val="18"/>
                <w:lang w:val="sl-SI" w:eastAsia="en-GB"/>
              </w:rPr>
              <w:t>consistency</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ranked</w:t>
            </w:r>
            <w:proofErr w:type="spellEnd"/>
            <w:r w:rsidRPr="00275FBD">
              <w:rPr>
                <w:rFonts w:ascii="Calibri" w:hAnsi="Calibri"/>
                <w:color w:val="000000" w:themeColor="text1"/>
                <w:sz w:val="18"/>
                <w:szCs w:val="18"/>
                <w:lang w:val="sl-SI" w:eastAsia="en-GB"/>
              </w:rPr>
              <w:t xml:space="preserve"> with S.N. = 3.</w:t>
            </w:r>
          </w:p>
        </w:tc>
        <w:tc>
          <w:tcPr>
            <w:tcW w:w="993" w:type="dxa"/>
          </w:tcPr>
          <w:p w14:paraId="6CA96608"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3.1.3</w:t>
            </w:r>
          </w:p>
        </w:tc>
        <w:tc>
          <w:tcPr>
            <w:tcW w:w="5244" w:type="dxa"/>
          </w:tcPr>
          <w:p w14:paraId="39BC3293"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It is </w:t>
            </w:r>
            <w:proofErr w:type="spellStart"/>
            <w:r w:rsidRPr="00275FBD">
              <w:rPr>
                <w:rFonts w:ascii="Calibri" w:hAnsi="Calibri"/>
                <w:color w:val="000000"/>
                <w:sz w:val="18"/>
                <w:szCs w:val="18"/>
                <w:lang w:val="sl-SI" w:eastAsia="en-GB"/>
              </w:rPr>
              <w:t>necessary</w:t>
            </w:r>
            <w:proofErr w:type="spellEnd"/>
            <w:r w:rsidRPr="00275FBD">
              <w:rPr>
                <w:rFonts w:ascii="Calibri" w:hAnsi="Calibri"/>
                <w:color w:val="000000"/>
                <w:sz w:val="18"/>
                <w:szCs w:val="18"/>
                <w:lang w:val="sl-SI" w:eastAsia="en-GB"/>
              </w:rPr>
              <w:t xml:space="preserve"> to more </w:t>
            </w:r>
            <w:proofErr w:type="spellStart"/>
            <w:r w:rsidRPr="00275FBD">
              <w:rPr>
                <w:rFonts w:ascii="Calibri" w:hAnsi="Calibri"/>
                <w:color w:val="000000"/>
                <w:sz w:val="18"/>
                <w:szCs w:val="18"/>
                <w:lang w:val="sl-SI" w:eastAsia="en-GB"/>
              </w:rPr>
              <w:t>clearly</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strictly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define</w:t>
            </w:r>
            <w:proofErr w:type="spellEnd"/>
            <w:r w:rsidRPr="00275FBD">
              <w:rPr>
                <w:rFonts w:ascii="Calibri" w:hAnsi="Calibri"/>
                <w:color w:val="000000"/>
                <w:sz w:val="18"/>
                <w:szCs w:val="18"/>
                <w:lang w:val="sl-SI" w:eastAsia="en-GB"/>
              </w:rPr>
              <w:t xml:space="preserve"> the </w:t>
            </w:r>
            <w:proofErr w:type="spellStart"/>
            <w:r w:rsidRPr="00275FBD">
              <w:rPr>
                <w:rFonts w:ascii="Calibri" w:hAnsi="Calibri"/>
                <w:color w:val="000000"/>
                <w:sz w:val="18"/>
                <w:szCs w:val="18"/>
                <w:lang w:val="sl-SI" w:eastAsia="en-GB"/>
              </w:rPr>
              <w:t>ranking</w:t>
            </w:r>
            <w:proofErr w:type="spellEnd"/>
            <w:r w:rsidRPr="00275FBD">
              <w:rPr>
                <w:rFonts w:ascii="Calibri" w:hAnsi="Calibri"/>
                <w:color w:val="000000"/>
                <w:sz w:val="18"/>
                <w:szCs w:val="18"/>
                <w:lang w:val="sl-SI" w:eastAsia="en-GB"/>
              </w:rPr>
              <w:t xml:space="preserve"> of the </w:t>
            </w:r>
            <w:proofErr w:type="spellStart"/>
            <w:r w:rsidRPr="00275FBD">
              <w:rPr>
                <w:rFonts w:ascii="Calibri" w:hAnsi="Calibri"/>
                <w:color w:val="000000"/>
                <w:sz w:val="18"/>
                <w:szCs w:val="18"/>
                <w:lang w:val="sl-SI" w:eastAsia="en-GB"/>
              </w:rPr>
              <w:t>zones</w:t>
            </w:r>
            <w:proofErr w:type="spellEnd"/>
            <w:r w:rsidRPr="00275FBD">
              <w:rPr>
                <w:rFonts w:ascii="Calibri" w:hAnsi="Calibri"/>
                <w:color w:val="000000"/>
                <w:sz w:val="18"/>
                <w:szCs w:val="18"/>
                <w:lang w:val="sl-SI" w:eastAsia="en-GB"/>
              </w:rPr>
              <w:t xml:space="preserve"> in </w:t>
            </w:r>
            <w:proofErr w:type="spellStart"/>
            <w:r w:rsidRPr="00275FBD">
              <w:rPr>
                <w:rFonts w:ascii="Calibri" w:hAnsi="Calibri"/>
                <w:color w:val="000000"/>
                <w:sz w:val="18"/>
                <w:szCs w:val="18"/>
                <w:lang w:val="sl-SI" w:eastAsia="en-GB"/>
              </w:rPr>
              <w:t>order</w:t>
            </w:r>
            <w:proofErr w:type="spellEnd"/>
            <w:r w:rsidRPr="00275FBD">
              <w:rPr>
                <w:rFonts w:ascii="Calibri" w:hAnsi="Calibri"/>
                <w:color w:val="000000"/>
                <w:sz w:val="18"/>
                <w:szCs w:val="18"/>
                <w:lang w:val="sl-SI" w:eastAsia="en-GB"/>
              </w:rPr>
              <w:t xml:space="preserve"> to make the </w:t>
            </w:r>
            <w:proofErr w:type="spellStart"/>
            <w:r w:rsidRPr="00275FBD">
              <w:rPr>
                <w:rFonts w:ascii="Calibri" w:hAnsi="Calibri"/>
                <w:color w:val="000000"/>
                <w:sz w:val="18"/>
                <w:szCs w:val="18"/>
                <w:lang w:val="sl-SI" w:eastAsia="en-GB"/>
              </w:rPr>
              <w:t>performance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indicators</w:t>
            </w:r>
            <w:proofErr w:type="spellEnd"/>
            <w:r w:rsidRPr="00275FBD">
              <w:rPr>
                <w:rFonts w:ascii="Calibri" w:hAnsi="Calibri"/>
                <w:color w:val="000000"/>
                <w:sz w:val="18"/>
                <w:szCs w:val="18"/>
                <w:lang w:val="sl-SI" w:eastAsia="en-GB"/>
              </w:rPr>
              <w:t xml:space="preserve"> more </w:t>
            </w:r>
            <w:proofErr w:type="spellStart"/>
            <w:r w:rsidRPr="00275FBD">
              <w:rPr>
                <w:rFonts w:ascii="Calibri" w:hAnsi="Calibri"/>
                <w:color w:val="000000"/>
                <w:sz w:val="18"/>
                <w:szCs w:val="18"/>
                <w:lang w:val="sl-SI" w:eastAsia="en-GB"/>
              </w:rPr>
              <w:t>effective</w:t>
            </w:r>
            <w:proofErr w:type="spellEnd"/>
            <w:r w:rsidRPr="00275FBD">
              <w:rPr>
                <w:rFonts w:ascii="Calibri" w:hAnsi="Calibri"/>
                <w:color w:val="000000"/>
                <w:sz w:val="18"/>
                <w:szCs w:val="18"/>
                <w:lang w:val="sl-SI" w:eastAsia="en-GB"/>
              </w:rPr>
              <w:t>.</w:t>
            </w:r>
          </w:p>
        </w:tc>
        <w:tc>
          <w:tcPr>
            <w:tcW w:w="2694" w:type="dxa"/>
          </w:tcPr>
          <w:p w14:paraId="03ED0567"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22BB54DF" w14:textId="77777777" w:rsidTr="00935B67">
        <w:tc>
          <w:tcPr>
            <w:tcW w:w="1384" w:type="dxa"/>
            <w:shd w:val="clear" w:color="auto" w:fill="FFFFCC"/>
          </w:tcPr>
          <w:p w14:paraId="6C0CE314"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3.1-021</w:t>
            </w:r>
          </w:p>
        </w:tc>
        <w:tc>
          <w:tcPr>
            <w:tcW w:w="3827" w:type="dxa"/>
          </w:tcPr>
          <w:p w14:paraId="457073FF" w14:textId="77777777" w:rsidR="00935B67" w:rsidRPr="00275FBD" w:rsidRDefault="00935B67" w:rsidP="00935B67">
            <w:pPr>
              <w:jc w:val="left"/>
              <w:rPr>
                <w:rFonts w:ascii="Calibri" w:hAnsi="Calibri"/>
                <w:b/>
                <w:bCs/>
                <w:color w:val="000000" w:themeColor="text1"/>
                <w:sz w:val="18"/>
                <w:szCs w:val="18"/>
                <w:lang w:val="sl-SI" w:eastAsia="en-GB"/>
              </w:rPr>
            </w:pPr>
            <w:proofErr w:type="spellStart"/>
            <w:r w:rsidRPr="00275FBD">
              <w:rPr>
                <w:rFonts w:ascii="Calibri" w:hAnsi="Calibri"/>
                <w:b/>
                <w:bCs/>
                <w:color w:val="000000" w:themeColor="text1"/>
                <w:sz w:val="18"/>
                <w:szCs w:val="18"/>
                <w:lang w:val="sl-SI" w:eastAsia="en-GB"/>
              </w:rPr>
              <w:t>Performance</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Indicators</w:t>
            </w:r>
            <w:proofErr w:type="spellEnd"/>
            <w:r w:rsidRPr="00275FBD">
              <w:rPr>
                <w:rFonts w:ascii="Calibri" w:hAnsi="Calibri"/>
                <w:b/>
                <w:bCs/>
                <w:color w:val="000000" w:themeColor="text1"/>
                <w:sz w:val="18"/>
                <w:szCs w:val="18"/>
                <w:lang w:val="sl-SI" w:eastAsia="en-GB"/>
              </w:rPr>
              <w:t xml:space="preserve"> - Short-term (</w:t>
            </w:r>
            <w:proofErr w:type="spellStart"/>
            <w:r w:rsidRPr="00275FBD">
              <w:rPr>
                <w:rFonts w:ascii="Calibri" w:hAnsi="Calibri"/>
                <w:b/>
                <w:bCs/>
                <w:color w:val="000000" w:themeColor="text1"/>
                <w:sz w:val="18"/>
                <w:szCs w:val="18"/>
                <w:lang w:val="sl-SI" w:eastAsia="en-GB"/>
              </w:rPr>
              <w:t>Annual</w:t>
            </w:r>
            <w:proofErr w:type="spellEnd"/>
            <w:r w:rsidRPr="00275FBD">
              <w:rPr>
                <w:rFonts w:ascii="Calibri" w:hAnsi="Calibri"/>
                <w:b/>
                <w:bCs/>
                <w:color w:val="000000" w:themeColor="text1"/>
                <w:sz w:val="18"/>
                <w:szCs w:val="18"/>
                <w:lang w:val="sl-SI" w:eastAsia="en-GB"/>
              </w:rPr>
              <w:t xml:space="preserve">) and </w:t>
            </w:r>
            <w:proofErr w:type="spellStart"/>
            <w:r w:rsidRPr="00275FBD">
              <w:rPr>
                <w:rFonts w:ascii="Calibri" w:hAnsi="Calibri"/>
                <w:b/>
                <w:bCs/>
                <w:color w:val="000000" w:themeColor="text1"/>
                <w:sz w:val="18"/>
                <w:szCs w:val="18"/>
                <w:lang w:val="sl-SI" w:eastAsia="en-GB"/>
              </w:rPr>
              <w:t>long</w:t>
            </w:r>
            <w:proofErr w:type="spellEnd"/>
            <w:r w:rsidRPr="00275FBD">
              <w:rPr>
                <w:rFonts w:ascii="Calibri" w:hAnsi="Calibri"/>
                <w:b/>
                <w:bCs/>
                <w:color w:val="000000" w:themeColor="text1"/>
                <w:sz w:val="18"/>
                <w:szCs w:val="18"/>
                <w:lang w:val="sl-SI" w:eastAsia="en-GB"/>
              </w:rPr>
              <w:t xml:space="preserve">-term (Strategic) </w:t>
            </w:r>
            <w:proofErr w:type="spellStart"/>
            <w:r w:rsidRPr="00275FBD">
              <w:rPr>
                <w:rFonts w:ascii="Calibri" w:hAnsi="Calibri"/>
                <w:b/>
                <w:bCs/>
                <w:color w:val="000000" w:themeColor="text1"/>
                <w:sz w:val="18"/>
                <w:szCs w:val="18"/>
                <w:lang w:val="sl-SI" w:eastAsia="en-GB"/>
              </w:rPr>
              <w:t>goals</w:t>
            </w:r>
            <w:proofErr w:type="spellEnd"/>
            <w:r w:rsidRPr="00275FBD">
              <w:rPr>
                <w:rFonts w:ascii="Calibri" w:hAnsi="Calibri"/>
                <w:color w:val="000000" w:themeColor="text1"/>
                <w:sz w:val="18"/>
                <w:szCs w:val="18"/>
                <w:lang w:val="sl-SI" w:eastAsia="en-GB"/>
              </w:rPr>
              <w:t xml:space="preserve">: MD-21 program </w:t>
            </w:r>
            <w:proofErr w:type="spellStart"/>
            <w:r w:rsidRPr="00275FBD">
              <w:rPr>
                <w:rFonts w:ascii="Calibri" w:hAnsi="Calibri"/>
                <w:color w:val="000000" w:themeColor="text1"/>
                <w:sz w:val="18"/>
                <w:szCs w:val="18"/>
                <w:lang w:val="sl-SI" w:eastAsia="en-GB"/>
              </w:rPr>
              <w:lastRenderedPageBreak/>
              <w:t>should</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revised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accordingly</w:t>
            </w:r>
            <w:proofErr w:type="spellEnd"/>
            <w:r w:rsidRPr="00275FBD">
              <w:rPr>
                <w:rFonts w:ascii="Calibri" w:hAnsi="Calibri"/>
                <w:color w:val="000000" w:themeColor="text1"/>
                <w:sz w:val="18"/>
                <w:szCs w:val="18"/>
                <w:lang w:val="sl-SI" w:eastAsia="en-GB"/>
              </w:rPr>
              <w:t xml:space="preserve">. PI </w:t>
            </w:r>
            <w:proofErr w:type="spellStart"/>
            <w:r w:rsidRPr="00275FBD">
              <w:rPr>
                <w:rFonts w:ascii="Calibri" w:hAnsi="Calibri"/>
                <w:color w:val="000000" w:themeColor="text1"/>
                <w:sz w:val="18"/>
                <w:szCs w:val="18"/>
                <w:lang w:val="sl-SI" w:eastAsia="en-GB"/>
              </w:rPr>
              <w:t>worksheets</w:t>
            </w:r>
            <w:proofErr w:type="spellEnd"/>
            <w:r w:rsidRPr="00275FBD">
              <w:rPr>
                <w:rFonts w:ascii="Calibri" w:hAnsi="Calibri"/>
                <w:color w:val="000000" w:themeColor="text1"/>
                <w:sz w:val="18"/>
                <w:szCs w:val="18"/>
                <w:lang w:val="sl-SI" w:eastAsia="en-GB"/>
              </w:rPr>
              <w:t xml:space="preserve"> for </w:t>
            </w:r>
            <w:proofErr w:type="spellStart"/>
            <w:r w:rsidRPr="00275FBD">
              <w:rPr>
                <w:rFonts w:ascii="Calibri" w:hAnsi="Calibri"/>
                <w:color w:val="000000" w:themeColor="text1"/>
                <w:sz w:val="18"/>
                <w:szCs w:val="18"/>
                <w:lang w:val="sl-SI" w:eastAsia="en-GB"/>
              </w:rPr>
              <w:t>entire</w:t>
            </w:r>
            <w:proofErr w:type="spellEnd"/>
            <w:r w:rsidRPr="00275FBD">
              <w:rPr>
                <w:rFonts w:ascii="Calibri" w:hAnsi="Calibri"/>
                <w:color w:val="000000" w:themeColor="text1"/>
                <w:sz w:val="18"/>
                <w:szCs w:val="18"/>
                <w:lang w:val="sl-SI" w:eastAsia="en-GB"/>
              </w:rPr>
              <w:t xml:space="preserve"> set of the </w:t>
            </w:r>
            <w:proofErr w:type="spellStart"/>
            <w:r w:rsidRPr="00275FBD">
              <w:rPr>
                <w:rFonts w:ascii="Calibri" w:hAnsi="Calibri"/>
                <w:color w:val="000000" w:themeColor="text1"/>
                <w:sz w:val="18"/>
                <w:szCs w:val="18"/>
                <w:lang w:val="sl-SI" w:eastAsia="en-GB"/>
              </w:rPr>
              <w:t>Specific</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PIs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revised</w:t>
            </w:r>
            <w:proofErr w:type="spellEnd"/>
            <w:r w:rsidRPr="00275FBD">
              <w:rPr>
                <w:rFonts w:ascii="Calibri" w:hAnsi="Calibri"/>
                <w:color w:val="000000" w:themeColor="text1"/>
                <w:sz w:val="18"/>
                <w:szCs w:val="18"/>
                <w:lang w:val="sl-SI" w:eastAsia="en-GB"/>
              </w:rPr>
              <w:t xml:space="preserve"> to </w:t>
            </w:r>
            <w:proofErr w:type="spellStart"/>
            <w:r w:rsidRPr="00275FBD">
              <w:rPr>
                <w:rFonts w:ascii="Calibri" w:hAnsi="Calibri"/>
                <w:color w:val="000000" w:themeColor="text1"/>
                <w:sz w:val="18"/>
                <w:szCs w:val="18"/>
                <w:lang w:val="sl-SI" w:eastAsia="en-GB"/>
              </w:rPr>
              <w:t>assure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compliance</w:t>
            </w:r>
            <w:proofErr w:type="spellEnd"/>
            <w:r w:rsidRPr="00275FBD">
              <w:rPr>
                <w:rFonts w:ascii="Calibri" w:hAnsi="Calibri"/>
                <w:color w:val="000000" w:themeColor="text1"/>
                <w:sz w:val="18"/>
                <w:szCs w:val="18"/>
                <w:lang w:val="sl-SI" w:eastAsia="en-GB"/>
              </w:rPr>
              <w:t xml:space="preserve"> with MD- 21 </w:t>
            </w:r>
            <w:proofErr w:type="spellStart"/>
            <w:r w:rsidRPr="00275FBD">
              <w:rPr>
                <w:rFonts w:ascii="Calibri" w:hAnsi="Calibri"/>
                <w:color w:val="000000" w:themeColor="text1"/>
                <w:sz w:val="18"/>
                <w:szCs w:val="18"/>
                <w:lang w:val="sl-SI" w:eastAsia="en-GB"/>
              </w:rPr>
              <w:t>changes</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 xml:space="preserve">OSF element: Self-Assessment </w:t>
            </w:r>
            <w:proofErr w:type="spellStart"/>
            <w:r w:rsidRPr="00275FBD">
              <w:rPr>
                <w:rFonts w:ascii="Calibri" w:hAnsi="Calibri"/>
                <w:color w:val="000000" w:themeColor="text1"/>
                <w:sz w:val="18"/>
                <w:szCs w:val="18"/>
                <w:lang w:val="sl-SI" w:eastAsia="en-GB"/>
              </w:rPr>
              <w:t>Process</w:t>
            </w:r>
            <w:proofErr w:type="spellEnd"/>
            <w:r w:rsidRPr="00275FBD">
              <w:rPr>
                <w:rFonts w:ascii="Calibri" w:hAnsi="Calibri"/>
                <w:color w:val="000000" w:themeColor="text1"/>
                <w:sz w:val="18"/>
                <w:szCs w:val="18"/>
                <w:lang w:val="sl-SI" w:eastAsia="en-GB"/>
              </w:rPr>
              <w:br/>
            </w:r>
            <w:proofErr w:type="spellStart"/>
            <w:r w:rsidRPr="00275FBD">
              <w:rPr>
                <w:rFonts w:ascii="Calibri" w:hAnsi="Calibri"/>
                <w:color w:val="000000" w:themeColor="text1"/>
                <w:sz w:val="18"/>
                <w:szCs w:val="18"/>
                <w:lang w:val="sl-SI" w:eastAsia="en-GB"/>
              </w:rPr>
              <w:t>There</w:t>
            </w:r>
            <w:proofErr w:type="spellEnd"/>
            <w:r w:rsidRPr="00275FBD">
              <w:rPr>
                <w:rFonts w:ascii="Calibri" w:hAnsi="Calibri"/>
                <w:color w:val="000000" w:themeColor="text1"/>
                <w:sz w:val="18"/>
                <w:szCs w:val="18"/>
                <w:lang w:val="sl-SI" w:eastAsia="en-GB"/>
              </w:rPr>
              <w:t xml:space="preserve"> is a </w:t>
            </w:r>
            <w:proofErr w:type="spellStart"/>
            <w:r w:rsidRPr="00275FBD">
              <w:rPr>
                <w:rFonts w:ascii="Calibri" w:hAnsi="Calibri"/>
                <w:color w:val="000000" w:themeColor="text1"/>
                <w:sz w:val="18"/>
                <w:szCs w:val="18"/>
                <w:lang w:val="sl-SI" w:eastAsia="en-GB"/>
              </w:rPr>
              <w:t>group</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issues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related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possible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inconsistencies</w:t>
            </w:r>
            <w:proofErr w:type="spellEnd"/>
            <w:r w:rsidRPr="00275FBD">
              <w:rPr>
                <w:rFonts w:ascii="Calibri" w:hAnsi="Calibri"/>
                <w:color w:val="000000" w:themeColor="text1"/>
                <w:sz w:val="18"/>
                <w:szCs w:val="18"/>
                <w:lang w:val="sl-SI" w:eastAsia="en-GB"/>
              </w:rPr>
              <w:t xml:space="preserve"> with </w:t>
            </w:r>
            <w:proofErr w:type="spellStart"/>
            <w:r w:rsidRPr="00275FBD">
              <w:rPr>
                <w:rFonts w:ascii="Calibri" w:hAnsi="Calibri"/>
                <w:color w:val="000000" w:themeColor="text1"/>
                <w:sz w:val="18"/>
                <w:szCs w:val="18"/>
                <w:lang w:val="sl-SI" w:eastAsia="en-GB"/>
              </w:rPr>
              <w:t>performance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indicators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Although</w:t>
            </w:r>
            <w:proofErr w:type="spellEnd"/>
            <w:r w:rsidRPr="00275FBD">
              <w:rPr>
                <w:rFonts w:ascii="Calibri" w:hAnsi="Calibri"/>
                <w:color w:val="000000" w:themeColor="text1"/>
                <w:sz w:val="18"/>
                <w:szCs w:val="18"/>
                <w:lang w:val="sl-SI" w:eastAsia="en-GB"/>
              </w:rPr>
              <w:t xml:space="preserve"> some of </w:t>
            </w:r>
            <w:proofErr w:type="spellStart"/>
            <w:r w:rsidRPr="00275FBD">
              <w:rPr>
                <w:rFonts w:ascii="Calibri" w:hAnsi="Calibri"/>
                <w:color w:val="000000" w:themeColor="text1"/>
                <w:sz w:val="18"/>
                <w:szCs w:val="18"/>
                <w:lang w:val="sl-SI" w:eastAsia="en-GB"/>
              </w:rPr>
              <w:t>them</w:t>
            </w:r>
            <w:proofErr w:type="spellEnd"/>
            <w:r w:rsidRPr="00275FBD">
              <w:rPr>
                <w:rFonts w:ascii="Calibri" w:hAnsi="Calibri"/>
                <w:color w:val="000000" w:themeColor="text1"/>
                <w:sz w:val="18"/>
                <w:szCs w:val="18"/>
                <w:lang w:val="sl-SI" w:eastAsia="en-GB"/>
              </w:rPr>
              <w:t xml:space="preserve"> are </w:t>
            </w:r>
            <w:proofErr w:type="spellStart"/>
            <w:r w:rsidRPr="00275FBD">
              <w:rPr>
                <w:rFonts w:ascii="Calibri" w:hAnsi="Calibri"/>
                <w:color w:val="000000" w:themeColor="text1"/>
                <w:sz w:val="18"/>
                <w:szCs w:val="18"/>
                <w:lang w:val="sl-SI" w:eastAsia="en-GB"/>
              </w:rPr>
              <w:t>considered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minor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each</w:t>
            </w:r>
            <w:proofErr w:type="spellEnd"/>
            <w:r w:rsidRPr="00275FBD">
              <w:rPr>
                <w:rFonts w:ascii="Calibri" w:hAnsi="Calibri"/>
                <w:color w:val="000000" w:themeColor="text1"/>
                <w:sz w:val="18"/>
                <w:szCs w:val="18"/>
                <w:lang w:val="sl-SI" w:eastAsia="en-GB"/>
              </w:rPr>
              <w:t xml:space="preserve"> is, for </w:t>
            </w:r>
            <w:proofErr w:type="spellStart"/>
            <w:r w:rsidRPr="00275FBD">
              <w:rPr>
                <w:rFonts w:ascii="Calibri" w:hAnsi="Calibri"/>
                <w:color w:val="000000" w:themeColor="text1"/>
                <w:sz w:val="18"/>
                <w:szCs w:val="18"/>
                <w:lang w:val="sl-SI" w:eastAsia="en-GB"/>
              </w:rPr>
              <w:t>consistency</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ranked</w:t>
            </w:r>
            <w:proofErr w:type="spellEnd"/>
            <w:r w:rsidRPr="00275FBD">
              <w:rPr>
                <w:rFonts w:ascii="Calibri" w:hAnsi="Calibri"/>
                <w:color w:val="000000" w:themeColor="text1"/>
                <w:sz w:val="18"/>
                <w:szCs w:val="18"/>
                <w:lang w:val="sl-SI" w:eastAsia="en-GB"/>
              </w:rPr>
              <w:t xml:space="preserve"> with S.N. = 3.</w:t>
            </w:r>
          </w:p>
        </w:tc>
        <w:tc>
          <w:tcPr>
            <w:tcW w:w="993" w:type="dxa"/>
          </w:tcPr>
          <w:p w14:paraId="061ECF8A"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lastRenderedPageBreak/>
              <w:t>3.1.3</w:t>
            </w:r>
          </w:p>
        </w:tc>
        <w:tc>
          <w:tcPr>
            <w:tcW w:w="5244" w:type="dxa"/>
          </w:tcPr>
          <w:p w14:paraId="670C82B3"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It is </w:t>
            </w:r>
            <w:proofErr w:type="spellStart"/>
            <w:r w:rsidRPr="00275FBD">
              <w:rPr>
                <w:rFonts w:ascii="Calibri" w:hAnsi="Calibri"/>
                <w:color w:val="000000"/>
                <w:sz w:val="18"/>
                <w:szCs w:val="18"/>
                <w:lang w:val="sl-SI" w:eastAsia="en-GB"/>
              </w:rPr>
              <w:t>necessary</w:t>
            </w:r>
            <w:proofErr w:type="spellEnd"/>
            <w:r w:rsidRPr="00275FBD">
              <w:rPr>
                <w:rFonts w:ascii="Calibri" w:hAnsi="Calibri"/>
                <w:color w:val="000000"/>
                <w:sz w:val="18"/>
                <w:szCs w:val="18"/>
                <w:lang w:val="sl-SI" w:eastAsia="en-GB"/>
              </w:rPr>
              <w:t xml:space="preserve"> to </w:t>
            </w:r>
            <w:proofErr w:type="spellStart"/>
            <w:r w:rsidRPr="00275FBD">
              <w:rPr>
                <w:rFonts w:ascii="Calibri" w:hAnsi="Calibri"/>
                <w:color w:val="000000"/>
                <w:sz w:val="18"/>
                <w:szCs w:val="18"/>
                <w:lang w:val="sl-SI" w:eastAsia="en-GB"/>
              </w:rPr>
              <w:t>define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what</w:t>
            </w:r>
            <w:proofErr w:type="spellEnd"/>
            <w:r w:rsidRPr="00275FBD">
              <w:rPr>
                <w:rFonts w:ascii="Calibri" w:hAnsi="Calibri"/>
                <w:color w:val="000000"/>
                <w:sz w:val="18"/>
                <w:szCs w:val="18"/>
                <w:lang w:val="sl-SI" w:eastAsia="en-GB"/>
              </w:rPr>
              <w:t xml:space="preserve"> a "Long-time period" is.</w:t>
            </w:r>
          </w:p>
          <w:p w14:paraId="65FEF540"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lastRenderedPageBreak/>
              <w:t xml:space="preserve">The </w:t>
            </w:r>
            <w:proofErr w:type="spellStart"/>
            <w:r w:rsidRPr="00275FBD">
              <w:rPr>
                <w:rFonts w:ascii="Calibri" w:hAnsi="Calibri"/>
                <w:color w:val="000000"/>
                <w:sz w:val="18"/>
                <w:szCs w:val="18"/>
                <w:lang w:val="sl-SI" w:eastAsia="en-GB"/>
              </w:rPr>
              <w:t>terms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Annual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Goal</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Annual</w:t>
            </w:r>
            <w:proofErr w:type="spellEnd"/>
            <w:r w:rsidRPr="00275FBD">
              <w:rPr>
                <w:rFonts w:ascii="Calibri" w:hAnsi="Calibri"/>
                <w:color w:val="000000"/>
                <w:sz w:val="18"/>
                <w:szCs w:val="18"/>
                <w:lang w:val="sl-SI" w:eastAsia="en-GB"/>
              </w:rPr>
              <w:t xml:space="preserve"> Plan </w:t>
            </w:r>
            <w:proofErr w:type="spellStart"/>
            <w:r w:rsidRPr="00275FBD">
              <w:rPr>
                <w:rFonts w:ascii="Calibri" w:hAnsi="Calibri"/>
                <w:color w:val="000000"/>
                <w:sz w:val="18"/>
                <w:szCs w:val="18"/>
                <w:lang w:val="sl-SI" w:eastAsia="en-GB"/>
              </w:rPr>
              <w:t>should</w:t>
            </w:r>
            <w:proofErr w:type="spellEnd"/>
            <w:r w:rsidRPr="00275FBD">
              <w:rPr>
                <w:rFonts w:ascii="Calibri" w:hAnsi="Calibri"/>
                <w:color w:val="000000"/>
                <w:sz w:val="18"/>
                <w:szCs w:val="18"/>
                <w:lang w:val="sl-SI" w:eastAsia="en-GB"/>
              </w:rPr>
              <w:t xml:space="preserve"> be used more </w:t>
            </w:r>
            <w:proofErr w:type="spellStart"/>
            <w:r w:rsidRPr="00275FBD">
              <w:rPr>
                <w:rFonts w:ascii="Calibri" w:hAnsi="Calibri"/>
                <w:color w:val="000000"/>
                <w:sz w:val="18"/>
                <w:szCs w:val="18"/>
                <w:lang w:val="sl-SI" w:eastAsia="en-GB"/>
              </w:rPr>
              <w:t>consistently</w:t>
            </w:r>
            <w:proofErr w:type="spellEnd"/>
            <w:r w:rsidRPr="00275FBD">
              <w:rPr>
                <w:rFonts w:ascii="Calibri" w:hAnsi="Calibri"/>
                <w:color w:val="000000"/>
                <w:sz w:val="18"/>
                <w:szCs w:val="18"/>
                <w:lang w:val="sl-SI" w:eastAsia="en-GB"/>
              </w:rPr>
              <w:t>.</w:t>
            </w:r>
          </w:p>
          <w:p w14:paraId="01138B7E"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The MD-21 program </w:t>
            </w:r>
            <w:proofErr w:type="spellStart"/>
            <w:r w:rsidRPr="00275FBD">
              <w:rPr>
                <w:rFonts w:ascii="Calibri" w:hAnsi="Calibri"/>
                <w:color w:val="000000"/>
                <w:sz w:val="18"/>
                <w:szCs w:val="18"/>
                <w:lang w:val="sl-SI" w:eastAsia="en-GB"/>
              </w:rPr>
              <w:t>also</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needs</w:t>
            </w:r>
            <w:proofErr w:type="spellEnd"/>
            <w:r w:rsidRPr="00275FBD">
              <w:rPr>
                <w:rFonts w:ascii="Calibri" w:hAnsi="Calibri"/>
                <w:color w:val="000000"/>
                <w:sz w:val="18"/>
                <w:szCs w:val="18"/>
                <w:lang w:val="sl-SI" w:eastAsia="en-GB"/>
              </w:rPr>
              <w:t xml:space="preserve"> to be </w:t>
            </w:r>
            <w:proofErr w:type="spellStart"/>
            <w:r w:rsidRPr="00275FBD">
              <w:rPr>
                <w:rFonts w:ascii="Calibri" w:hAnsi="Calibri"/>
                <w:color w:val="000000"/>
                <w:sz w:val="18"/>
                <w:szCs w:val="18"/>
                <w:lang w:val="sl-SI" w:eastAsia="en-GB"/>
              </w:rPr>
              <w:t>revised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accordingly</w:t>
            </w:r>
            <w:proofErr w:type="spellEnd"/>
            <w:r w:rsidRPr="00275FBD">
              <w:rPr>
                <w:rFonts w:ascii="Calibri" w:hAnsi="Calibri"/>
                <w:color w:val="000000"/>
                <w:sz w:val="18"/>
                <w:szCs w:val="18"/>
                <w:lang w:val="sl-SI" w:eastAsia="en-GB"/>
              </w:rPr>
              <w:t>.</w:t>
            </w:r>
          </w:p>
        </w:tc>
        <w:tc>
          <w:tcPr>
            <w:tcW w:w="2694" w:type="dxa"/>
          </w:tcPr>
          <w:p w14:paraId="65DB222F"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lastRenderedPageBreak/>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7EAA3709" w14:textId="77777777" w:rsidTr="00935B67">
        <w:tc>
          <w:tcPr>
            <w:tcW w:w="1384" w:type="dxa"/>
            <w:shd w:val="clear" w:color="auto" w:fill="FFFFCC"/>
          </w:tcPr>
          <w:p w14:paraId="07B3AE41"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3.1-022</w:t>
            </w:r>
          </w:p>
        </w:tc>
        <w:tc>
          <w:tcPr>
            <w:tcW w:w="3827" w:type="dxa"/>
          </w:tcPr>
          <w:p w14:paraId="1330B2C8" w14:textId="77777777" w:rsidR="00935B67" w:rsidRPr="00275FBD" w:rsidRDefault="00935B67" w:rsidP="00935B67">
            <w:pPr>
              <w:jc w:val="left"/>
              <w:rPr>
                <w:rFonts w:ascii="Calibri" w:hAnsi="Calibri"/>
                <w:b/>
                <w:bCs/>
                <w:color w:val="000000" w:themeColor="text1"/>
                <w:sz w:val="18"/>
                <w:szCs w:val="18"/>
                <w:lang w:val="sl-SI" w:eastAsia="en-GB"/>
              </w:rPr>
            </w:pPr>
            <w:proofErr w:type="spellStart"/>
            <w:r w:rsidRPr="00275FBD">
              <w:rPr>
                <w:rFonts w:ascii="Calibri" w:hAnsi="Calibri"/>
                <w:b/>
                <w:bCs/>
                <w:color w:val="000000" w:themeColor="text1"/>
                <w:sz w:val="18"/>
                <w:szCs w:val="18"/>
                <w:lang w:val="sl-SI" w:eastAsia="en-GB"/>
              </w:rPr>
              <w:t>Performance</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Indicators</w:t>
            </w:r>
            <w:proofErr w:type="spellEnd"/>
            <w:r w:rsidRPr="00275FBD">
              <w:rPr>
                <w:rFonts w:ascii="Calibri" w:hAnsi="Calibri"/>
                <w:b/>
                <w:bCs/>
                <w:color w:val="000000" w:themeColor="text1"/>
                <w:sz w:val="18"/>
                <w:szCs w:val="18"/>
                <w:lang w:val="sl-SI" w:eastAsia="en-GB"/>
              </w:rPr>
              <w:t xml:space="preserve"> - </w:t>
            </w:r>
            <w:proofErr w:type="spellStart"/>
            <w:r w:rsidRPr="00275FBD">
              <w:rPr>
                <w:rFonts w:ascii="Calibri" w:hAnsi="Calibri"/>
                <w:b/>
                <w:bCs/>
                <w:color w:val="000000" w:themeColor="text1"/>
                <w:sz w:val="18"/>
                <w:szCs w:val="18"/>
                <w:lang w:val="sl-SI" w:eastAsia="en-GB"/>
              </w:rPr>
              <w:t>Performance</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measures</w:t>
            </w:r>
            <w:proofErr w:type="spellEnd"/>
            <w:r w:rsidRPr="00275FBD">
              <w:rPr>
                <w:rFonts w:ascii="Calibri" w:hAnsi="Calibri"/>
                <w:color w:val="000000" w:themeColor="text1"/>
                <w:sz w:val="18"/>
                <w:szCs w:val="18"/>
                <w:lang w:val="sl-SI" w:eastAsia="en-GB"/>
              </w:rPr>
              <w:t xml:space="preserve">: New Technical Implementing Procedure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developed</w:t>
            </w:r>
            <w:proofErr w:type="spellEnd"/>
            <w:r w:rsidRPr="00275FBD">
              <w:rPr>
                <w:rFonts w:ascii="Calibri" w:hAnsi="Calibri"/>
                <w:color w:val="000000" w:themeColor="text1"/>
                <w:sz w:val="18"/>
                <w:szCs w:val="18"/>
                <w:lang w:val="sl-SI" w:eastAsia="en-GB"/>
              </w:rPr>
              <w:t xml:space="preserve"> to </w:t>
            </w:r>
            <w:proofErr w:type="spellStart"/>
            <w:r w:rsidRPr="00275FBD">
              <w:rPr>
                <w:rFonts w:ascii="Calibri" w:hAnsi="Calibri"/>
                <w:color w:val="000000" w:themeColor="text1"/>
                <w:sz w:val="18"/>
                <w:szCs w:val="18"/>
                <w:lang w:val="sl-SI" w:eastAsia="en-GB"/>
              </w:rPr>
              <w:t>cover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identified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gap</w:t>
            </w:r>
            <w:proofErr w:type="spellEnd"/>
            <w:r w:rsidRPr="00275FBD">
              <w:rPr>
                <w:rFonts w:ascii="Calibri" w:hAnsi="Calibri"/>
                <w:color w:val="000000" w:themeColor="text1"/>
                <w:sz w:val="18"/>
                <w:szCs w:val="18"/>
                <w:lang w:val="sl-SI" w:eastAsia="en-GB"/>
              </w:rPr>
              <w:t xml:space="preserve"> in implementation of MD-21 program.</w:t>
            </w:r>
            <w:r w:rsidRPr="00275FBD">
              <w:rPr>
                <w:rFonts w:ascii="Calibri" w:hAnsi="Calibri"/>
                <w:color w:val="000000" w:themeColor="text1"/>
                <w:sz w:val="18"/>
                <w:szCs w:val="18"/>
                <w:lang w:val="sl-SI" w:eastAsia="en-GB"/>
              </w:rPr>
              <w:br/>
              <w:t xml:space="preserve">OSF element: Self-Assessment </w:t>
            </w:r>
            <w:proofErr w:type="spellStart"/>
            <w:r w:rsidRPr="00275FBD">
              <w:rPr>
                <w:rFonts w:ascii="Calibri" w:hAnsi="Calibri"/>
                <w:color w:val="000000" w:themeColor="text1"/>
                <w:sz w:val="18"/>
                <w:szCs w:val="18"/>
                <w:lang w:val="sl-SI" w:eastAsia="en-GB"/>
              </w:rPr>
              <w:t>Process</w:t>
            </w:r>
            <w:proofErr w:type="spellEnd"/>
            <w:r w:rsidRPr="00275FBD">
              <w:rPr>
                <w:rFonts w:ascii="Calibri" w:hAnsi="Calibri"/>
                <w:color w:val="000000" w:themeColor="text1"/>
                <w:sz w:val="18"/>
                <w:szCs w:val="18"/>
                <w:lang w:val="sl-SI" w:eastAsia="en-GB"/>
              </w:rPr>
              <w:br/>
            </w:r>
            <w:proofErr w:type="spellStart"/>
            <w:r w:rsidRPr="00275FBD">
              <w:rPr>
                <w:rFonts w:ascii="Calibri" w:hAnsi="Calibri"/>
                <w:color w:val="000000" w:themeColor="text1"/>
                <w:sz w:val="18"/>
                <w:szCs w:val="18"/>
                <w:lang w:val="sl-SI" w:eastAsia="en-GB"/>
              </w:rPr>
              <w:t>There</w:t>
            </w:r>
            <w:proofErr w:type="spellEnd"/>
            <w:r w:rsidRPr="00275FBD">
              <w:rPr>
                <w:rFonts w:ascii="Calibri" w:hAnsi="Calibri"/>
                <w:color w:val="000000" w:themeColor="text1"/>
                <w:sz w:val="18"/>
                <w:szCs w:val="18"/>
                <w:lang w:val="sl-SI" w:eastAsia="en-GB"/>
              </w:rPr>
              <w:t xml:space="preserve"> is a </w:t>
            </w:r>
            <w:proofErr w:type="spellStart"/>
            <w:r w:rsidRPr="00275FBD">
              <w:rPr>
                <w:rFonts w:ascii="Calibri" w:hAnsi="Calibri"/>
                <w:color w:val="000000" w:themeColor="text1"/>
                <w:sz w:val="18"/>
                <w:szCs w:val="18"/>
                <w:lang w:val="sl-SI" w:eastAsia="en-GB"/>
              </w:rPr>
              <w:t>group</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issues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related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possible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inconsistencies</w:t>
            </w:r>
            <w:proofErr w:type="spellEnd"/>
            <w:r w:rsidRPr="00275FBD">
              <w:rPr>
                <w:rFonts w:ascii="Calibri" w:hAnsi="Calibri"/>
                <w:color w:val="000000" w:themeColor="text1"/>
                <w:sz w:val="18"/>
                <w:szCs w:val="18"/>
                <w:lang w:val="sl-SI" w:eastAsia="en-GB"/>
              </w:rPr>
              <w:t xml:space="preserve"> with </w:t>
            </w:r>
            <w:proofErr w:type="spellStart"/>
            <w:r w:rsidRPr="00275FBD">
              <w:rPr>
                <w:rFonts w:ascii="Calibri" w:hAnsi="Calibri"/>
                <w:color w:val="000000" w:themeColor="text1"/>
                <w:sz w:val="18"/>
                <w:szCs w:val="18"/>
                <w:lang w:val="sl-SI" w:eastAsia="en-GB"/>
              </w:rPr>
              <w:t>performance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indicators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Although</w:t>
            </w:r>
            <w:proofErr w:type="spellEnd"/>
            <w:r w:rsidRPr="00275FBD">
              <w:rPr>
                <w:rFonts w:ascii="Calibri" w:hAnsi="Calibri"/>
                <w:color w:val="000000" w:themeColor="text1"/>
                <w:sz w:val="18"/>
                <w:szCs w:val="18"/>
                <w:lang w:val="sl-SI" w:eastAsia="en-GB"/>
              </w:rPr>
              <w:t xml:space="preserve"> some of </w:t>
            </w:r>
            <w:proofErr w:type="spellStart"/>
            <w:r w:rsidRPr="00275FBD">
              <w:rPr>
                <w:rFonts w:ascii="Calibri" w:hAnsi="Calibri"/>
                <w:color w:val="000000" w:themeColor="text1"/>
                <w:sz w:val="18"/>
                <w:szCs w:val="18"/>
                <w:lang w:val="sl-SI" w:eastAsia="en-GB"/>
              </w:rPr>
              <w:t>them</w:t>
            </w:r>
            <w:proofErr w:type="spellEnd"/>
            <w:r w:rsidRPr="00275FBD">
              <w:rPr>
                <w:rFonts w:ascii="Calibri" w:hAnsi="Calibri"/>
                <w:color w:val="000000" w:themeColor="text1"/>
                <w:sz w:val="18"/>
                <w:szCs w:val="18"/>
                <w:lang w:val="sl-SI" w:eastAsia="en-GB"/>
              </w:rPr>
              <w:t xml:space="preserve"> are </w:t>
            </w:r>
            <w:proofErr w:type="spellStart"/>
            <w:r w:rsidRPr="00275FBD">
              <w:rPr>
                <w:rFonts w:ascii="Calibri" w:hAnsi="Calibri"/>
                <w:color w:val="000000" w:themeColor="text1"/>
                <w:sz w:val="18"/>
                <w:szCs w:val="18"/>
                <w:lang w:val="sl-SI" w:eastAsia="en-GB"/>
              </w:rPr>
              <w:t>considered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minor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each</w:t>
            </w:r>
            <w:proofErr w:type="spellEnd"/>
            <w:r w:rsidRPr="00275FBD">
              <w:rPr>
                <w:rFonts w:ascii="Calibri" w:hAnsi="Calibri"/>
                <w:color w:val="000000" w:themeColor="text1"/>
                <w:sz w:val="18"/>
                <w:szCs w:val="18"/>
                <w:lang w:val="sl-SI" w:eastAsia="en-GB"/>
              </w:rPr>
              <w:t xml:space="preserve"> is, for </w:t>
            </w:r>
            <w:proofErr w:type="spellStart"/>
            <w:r w:rsidRPr="00275FBD">
              <w:rPr>
                <w:rFonts w:ascii="Calibri" w:hAnsi="Calibri"/>
                <w:color w:val="000000" w:themeColor="text1"/>
                <w:sz w:val="18"/>
                <w:szCs w:val="18"/>
                <w:lang w:val="sl-SI" w:eastAsia="en-GB"/>
              </w:rPr>
              <w:t>consistency</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ranked</w:t>
            </w:r>
            <w:proofErr w:type="spellEnd"/>
            <w:r w:rsidRPr="00275FBD">
              <w:rPr>
                <w:rFonts w:ascii="Calibri" w:hAnsi="Calibri"/>
                <w:color w:val="000000" w:themeColor="text1"/>
                <w:sz w:val="18"/>
                <w:szCs w:val="18"/>
                <w:lang w:val="sl-SI" w:eastAsia="en-GB"/>
              </w:rPr>
              <w:t xml:space="preserve"> with S.N. = 3.</w:t>
            </w:r>
          </w:p>
        </w:tc>
        <w:tc>
          <w:tcPr>
            <w:tcW w:w="993" w:type="dxa"/>
          </w:tcPr>
          <w:p w14:paraId="4E475ADA"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3.1.3</w:t>
            </w:r>
          </w:p>
        </w:tc>
        <w:tc>
          <w:tcPr>
            <w:tcW w:w="5244" w:type="dxa"/>
          </w:tcPr>
          <w:p w14:paraId="22753FE1"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I </w:t>
            </w:r>
            <w:proofErr w:type="spellStart"/>
            <w:r w:rsidRPr="00275FBD">
              <w:rPr>
                <w:rFonts w:ascii="Calibri" w:hAnsi="Calibri"/>
                <w:color w:val="000000"/>
                <w:sz w:val="18"/>
                <w:szCs w:val="18"/>
                <w:lang w:val="sl-SI" w:eastAsia="en-GB"/>
              </w:rPr>
              <w:t>agree</w:t>
            </w:r>
            <w:proofErr w:type="spellEnd"/>
            <w:r w:rsidRPr="00275FBD">
              <w:rPr>
                <w:rFonts w:ascii="Calibri" w:hAnsi="Calibri"/>
                <w:color w:val="000000"/>
                <w:sz w:val="18"/>
                <w:szCs w:val="18"/>
                <w:lang w:val="sl-SI" w:eastAsia="en-GB"/>
              </w:rPr>
              <w:t xml:space="preserve"> that "</w:t>
            </w:r>
            <w:proofErr w:type="spellStart"/>
            <w:r w:rsidRPr="00275FBD">
              <w:rPr>
                <w:rFonts w:ascii="Calibri" w:hAnsi="Calibri"/>
                <w:color w:val="000000"/>
                <w:sz w:val="18"/>
                <w:szCs w:val="18"/>
                <w:lang w:val="sl-SI" w:eastAsia="en-GB"/>
              </w:rPr>
              <w:t>Performance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measures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must</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clearly</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strictly</w:t>
            </w:r>
            <w:proofErr w:type="spellEnd"/>
            <w:r w:rsidRPr="00275FBD">
              <w:rPr>
                <w:rFonts w:ascii="Calibri" w:hAnsi="Calibri"/>
                <w:color w:val="000000"/>
                <w:sz w:val="18"/>
                <w:szCs w:val="18"/>
                <w:lang w:val="sl-SI" w:eastAsia="en-GB"/>
              </w:rPr>
              <w:t xml:space="preserve"> defined (use of </w:t>
            </w:r>
            <w:proofErr w:type="spellStart"/>
            <w:r w:rsidRPr="00275FBD">
              <w:rPr>
                <w:rFonts w:ascii="Calibri" w:hAnsi="Calibri"/>
                <w:color w:val="000000"/>
                <w:sz w:val="18"/>
                <w:szCs w:val="18"/>
                <w:lang w:val="sl-SI" w:eastAsia="en-GB"/>
              </w:rPr>
              <w:t>calculation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methods</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formulas</w:t>
            </w:r>
            <w:proofErr w:type="spellEnd"/>
            <w:r w:rsidRPr="00275FBD">
              <w:rPr>
                <w:rFonts w:ascii="Calibri" w:hAnsi="Calibri"/>
                <w:color w:val="000000"/>
                <w:sz w:val="18"/>
                <w:szCs w:val="18"/>
                <w:lang w:val="sl-SI" w:eastAsia="en-GB"/>
              </w:rPr>
              <w:t>).</w:t>
            </w:r>
          </w:p>
        </w:tc>
        <w:tc>
          <w:tcPr>
            <w:tcW w:w="2694" w:type="dxa"/>
          </w:tcPr>
          <w:p w14:paraId="072056AF"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7424E53A" w14:textId="77777777" w:rsidTr="00935B67">
        <w:tc>
          <w:tcPr>
            <w:tcW w:w="1384" w:type="dxa"/>
            <w:tcBorders>
              <w:bottom w:val="single" w:sz="4" w:space="0" w:color="auto"/>
            </w:tcBorders>
            <w:shd w:val="clear" w:color="auto" w:fill="FFFFCC"/>
          </w:tcPr>
          <w:p w14:paraId="630E4EB3"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3.1-023</w:t>
            </w:r>
          </w:p>
        </w:tc>
        <w:tc>
          <w:tcPr>
            <w:tcW w:w="3827" w:type="dxa"/>
            <w:tcBorders>
              <w:bottom w:val="single" w:sz="4" w:space="0" w:color="auto"/>
            </w:tcBorders>
          </w:tcPr>
          <w:p w14:paraId="36EE2196" w14:textId="77777777" w:rsidR="00935B67" w:rsidRPr="00275FBD" w:rsidRDefault="00935B67" w:rsidP="00935B67">
            <w:pPr>
              <w:jc w:val="left"/>
              <w:rPr>
                <w:rFonts w:ascii="Calibri" w:hAnsi="Calibri"/>
                <w:b/>
                <w:bCs/>
                <w:color w:val="000000" w:themeColor="text1"/>
                <w:sz w:val="18"/>
                <w:szCs w:val="18"/>
                <w:lang w:val="sl-SI" w:eastAsia="en-GB"/>
              </w:rPr>
            </w:pPr>
            <w:proofErr w:type="spellStart"/>
            <w:r w:rsidRPr="00275FBD">
              <w:rPr>
                <w:rFonts w:ascii="Calibri" w:hAnsi="Calibri"/>
                <w:b/>
                <w:bCs/>
                <w:color w:val="000000" w:themeColor="text1"/>
                <w:sz w:val="18"/>
                <w:szCs w:val="18"/>
                <w:lang w:val="sl-SI" w:eastAsia="en-GB"/>
              </w:rPr>
              <w:t>Performance</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Indicators</w:t>
            </w:r>
            <w:proofErr w:type="spellEnd"/>
            <w:r w:rsidRPr="00275FBD">
              <w:rPr>
                <w:rFonts w:ascii="Calibri" w:hAnsi="Calibri"/>
                <w:b/>
                <w:bCs/>
                <w:color w:val="000000" w:themeColor="text1"/>
                <w:sz w:val="18"/>
                <w:szCs w:val="18"/>
                <w:lang w:val="sl-SI" w:eastAsia="en-GB"/>
              </w:rPr>
              <w:t xml:space="preserve"> - </w:t>
            </w:r>
            <w:proofErr w:type="spellStart"/>
            <w:r w:rsidRPr="00275FBD">
              <w:rPr>
                <w:rFonts w:ascii="Calibri" w:hAnsi="Calibri"/>
                <w:b/>
                <w:bCs/>
                <w:color w:val="000000" w:themeColor="text1"/>
                <w:sz w:val="18"/>
                <w:szCs w:val="18"/>
                <w:lang w:val="sl-SI" w:eastAsia="en-GB"/>
              </w:rPr>
              <w:t>Ranking</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criteria</w:t>
            </w:r>
            <w:proofErr w:type="spellEnd"/>
            <w:r w:rsidRPr="00275FBD">
              <w:rPr>
                <w:rFonts w:ascii="Calibri" w:hAnsi="Calibri"/>
                <w:color w:val="000000" w:themeColor="text1"/>
                <w:sz w:val="18"/>
                <w:szCs w:val="18"/>
                <w:lang w:val="sl-SI" w:eastAsia="en-GB"/>
              </w:rPr>
              <w:t xml:space="preserve">: New Technical Implementing Procedure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developed</w:t>
            </w:r>
            <w:proofErr w:type="spellEnd"/>
            <w:r w:rsidRPr="00275FBD">
              <w:rPr>
                <w:rFonts w:ascii="Calibri" w:hAnsi="Calibri"/>
                <w:color w:val="000000" w:themeColor="text1"/>
                <w:sz w:val="18"/>
                <w:szCs w:val="18"/>
                <w:lang w:val="sl-SI" w:eastAsia="en-GB"/>
              </w:rPr>
              <w:t xml:space="preserve"> to </w:t>
            </w:r>
            <w:proofErr w:type="spellStart"/>
            <w:r w:rsidRPr="00275FBD">
              <w:rPr>
                <w:rFonts w:ascii="Calibri" w:hAnsi="Calibri"/>
                <w:color w:val="000000" w:themeColor="text1"/>
                <w:sz w:val="18"/>
                <w:szCs w:val="18"/>
                <w:lang w:val="sl-SI" w:eastAsia="en-GB"/>
              </w:rPr>
              <w:t>cover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identified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gap</w:t>
            </w:r>
            <w:proofErr w:type="spellEnd"/>
            <w:r w:rsidRPr="00275FBD">
              <w:rPr>
                <w:rFonts w:ascii="Calibri" w:hAnsi="Calibri"/>
                <w:color w:val="000000" w:themeColor="text1"/>
                <w:sz w:val="18"/>
                <w:szCs w:val="18"/>
                <w:lang w:val="sl-SI" w:eastAsia="en-GB"/>
              </w:rPr>
              <w:t xml:space="preserve"> in implementation of MD-21 program.</w:t>
            </w:r>
            <w:r w:rsidRPr="00275FBD">
              <w:rPr>
                <w:rFonts w:ascii="Calibri" w:hAnsi="Calibri"/>
                <w:color w:val="000000" w:themeColor="text1"/>
                <w:sz w:val="18"/>
                <w:szCs w:val="18"/>
                <w:lang w:val="sl-SI" w:eastAsia="en-GB"/>
              </w:rPr>
              <w:br/>
              <w:t xml:space="preserve">OSF element: Self-Assessment </w:t>
            </w:r>
            <w:proofErr w:type="spellStart"/>
            <w:r w:rsidRPr="00275FBD">
              <w:rPr>
                <w:rFonts w:ascii="Calibri" w:hAnsi="Calibri"/>
                <w:color w:val="000000" w:themeColor="text1"/>
                <w:sz w:val="18"/>
                <w:szCs w:val="18"/>
                <w:lang w:val="sl-SI" w:eastAsia="en-GB"/>
              </w:rPr>
              <w:t>Process</w:t>
            </w:r>
            <w:proofErr w:type="spellEnd"/>
            <w:r w:rsidRPr="00275FBD">
              <w:rPr>
                <w:rFonts w:ascii="Calibri" w:hAnsi="Calibri"/>
                <w:color w:val="000000" w:themeColor="text1"/>
                <w:sz w:val="18"/>
                <w:szCs w:val="18"/>
                <w:lang w:val="sl-SI" w:eastAsia="en-GB"/>
              </w:rPr>
              <w:br/>
            </w:r>
            <w:proofErr w:type="spellStart"/>
            <w:r w:rsidRPr="00275FBD">
              <w:rPr>
                <w:rFonts w:ascii="Calibri" w:hAnsi="Calibri"/>
                <w:color w:val="000000" w:themeColor="text1"/>
                <w:sz w:val="18"/>
                <w:szCs w:val="18"/>
                <w:lang w:val="sl-SI" w:eastAsia="en-GB"/>
              </w:rPr>
              <w:t>There</w:t>
            </w:r>
            <w:proofErr w:type="spellEnd"/>
            <w:r w:rsidRPr="00275FBD">
              <w:rPr>
                <w:rFonts w:ascii="Calibri" w:hAnsi="Calibri"/>
                <w:color w:val="000000" w:themeColor="text1"/>
                <w:sz w:val="18"/>
                <w:szCs w:val="18"/>
                <w:lang w:val="sl-SI" w:eastAsia="en-GB"/>
              </w:rPr>
              <w:t xml:space="preserve"> is a </w:t>
            </w:r>
            <w:proofErr w:type="spellStart"/>
            <w:r w:rsidRPr="00275FBD">
              <w:rPr>
                <w:rFonts w:ascii="Calibri" w:hAnsi="Calibri"/>
                <w:color w:val="000000" w:themeColor="text1"/>
                <w:sz w:val="18"/>
                <w:szCs w:val="18"/>
                <w:lang w:val="sl-SI" w:eastAsia="en-GB"/>
              </w:rPr>
              <w:t>group</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issues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related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possible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inconsistencies</w:t>
            </w:r>
            <w:proofErr w:type="spellEnd"/>
            <w:r w:rsidRPr="00275FBD">
              <w:rPr>
                <w:rFonts w:ascii="Calibri" w:hAnsi="Calibri"/>
                <w:color w:val="000000" w:themeColor="text1"/>
                <w:sz w:val="18"/>
                <w:szCs w:val="18"/>
                <w:lang w:val="sl-SI" w:eastAsia="en-GB"/>
              </w:rPr>
              <w:t xml:space="preserve"> with </w:t>
            </w:r>
            <w:proofErr w:type="spellStart"/>
            <w:r w:rsidRPr="00275FBD">
              <w:rPr>
                <w:rFonts w:ascii="Calibri" w:hAnsi="Calibri"/>
                <w:color w:val="000000" w:themeColor="text1"/>
                <w:sz w:val="18"/>
                <w:szCs w:val="18"/>
                <w:lang w:val="sl-SI" w:eastAsia="en-GB"/>
              </w:rPr>
              <w:t>performance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indicators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Although</w:t>
            </w:r>
            <w:proofErr w:type="spellEnd"/>
            <w:r w:rsidRPr="00275FBD">
              <w:rPr>
                <w:rFonts w:ascii="Calibri" w:hAnsi="Calibri"/>
                <w:color w:val="000000" w:themeColor="text1"/>
                <w:sz w:val="18"/>
                <w:szCs w:val="18"/>
                <w:lang w:val="sl-SI" w:eastAsia="en-GB"/>
              </w:rPr>
              <w:t xml:space="preserve"> some of </w:t>
            </w:r>
            <w:proofErr w:type="spellStart"/>
            <w:r w:rsidRPr="00275FBD">
              <w:rPr>
                <w:rFonts w:ascii="Calibri" w:hAnsi="Calibri"/>
                <w:color w:val="000000" w:themeColor="text1"/>
                <w:sz w:val="18"/>
                <w:szCs w:val="18"/>
                <w:lang w:val="sl-SI" w:eastAsia="en-GB"/>
              </w:rPr>
              <w:t>them</w:t>
            </w:r>
            <w:proofErr w:type="spellEnd"/>
            <w:r w:rsidRPr="00275FBD">
              <w:rPr>
                <w:rFonts w:ascii="Calibri" w:hAnsi="Calibri"/>
                <w:color w:val="000000" w:themeColor="text1"/>
                <w:sz w:val="18"/>
                <w:szCs w:val="18"/>
                <w:lang w:val="sl-SI" w:eastAsia="en-GB"/>
              </w:rPr>
              <w:t xml:space="preserve"> are </w:t>
            </w:r>
            <w:proofErr w:type="spellStart"/>
            <w:r w:rsidRPr="00275FBD">
              <w:rPr>
                <w:rFonts w:ascii="Calibri" w:hAnsi="Calibri"/>
                <w:color w:val="000000" w:themeColor="text1"/>
                <w:sz w:val="18"/>
                <w:szCs w:val="18"/>
                <w:lang w:val="sl-SI" w:eastAsia="en-GB"/>
              </w:rPr>
              <w:t>considered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minor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each</w:t>
            </w:r>
            <w:proofErr w:type="spellEnd"/>
            <w:r w:rsidRPr="00275FBD">
              <w:rPr>
                <w:rFonts w:ascii="Calibri" w:hAnsi="Calibri"/>
                <w:color w:val="000000" w:themeColor="text1"/>
                <w:sz w:val="18"/>
                <w:szCs w:val="18"/>
                <w:lang w:val="sl-SI" w:eastAsia="en-GB"/>
              </w:rPr>
              <w:t xml:space="preserve"> is, for </w:t>
            </w:r>
            <w:proofErr w:type="spellStart"/>
            <w:r w:rsidRPr="00275FBD">
              <w:rPr>
                <w:rFonts w:ascii="Calibri" w:hAnsi="Calibri"/>
                <w:color w:val="000000" w:themeColor="text1"/>
                <w:sz w:val="18"/>
                <w:szCs w:val="18"/>
                <w:lang w:val="sl-SI" w:eastAsia="en-GB"/>
              </w:rPr>
              <w:t>consistency</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ranked</w:t>
            </w:r>
            <w:proofErr w:type="spellEnd"/>
            <w:r w:rsidRPr="00275FBD">
              <w:rPr>
                <w:rFonts w:ascii="Calibri" w:hAnsi="Calibri"/>
                <w:color w:val="000000" w:themeColor="text1"/>
                <w:sz w:val="18"/>
                <w:szCs w:val="18"/>
                <w:lang w:val="sl-SI" w:eastAsia="en-GB"/>
              </w:rPr>
              <w:t xml:space="preserve"> with S.N. = 3.</w:t>
            </w:r>
          </w:p>
        </w:tc>
        <w:tc>
          <w:tcPr>
            <w:tcW w:w="993" w:type="dxa"/>
            <w:tcBorders>
              <w:bottom w:val="single" w:sz="4" w:space="0" w:color="auto"/>
            </w:tcBorders>
          </w:tcPr>
          <w:p w14:paraId="688B5B4B"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3.1.3</w:t>
            </w:r>
          </w:p>
        </w:tc>
        <w:tc>
          <w:tcPr>
            <w:tcW w:w="5244" w:type="dxa"/>
            <w:tcBorders>
              <w:bottom w:val="single" w:sz="4" w:space="0" w:color="auto"/>
            </w:tcBorders>
          </w:tcPr>
          <w:p w14:paraId="453A4A5A"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I </w:t>
            </w:r>
            <w:proofErr w:type="spellStart"/>
            <w:r w:rsidRPr="00275FBD">
              <w:rPr>
                <w:rFonts w:ascii="Calibri" w:hAnsi="Calibri"/>
                <w:color w:val="000000"/>
                <w:sz w:val="18"/>
                <w:szCs w:val="18"/>
                <w:lang w:val="sl-SI" w:eastAsia="en-GB"/>
              </w:rPr>
              <w:t>strongly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agree</w:t>
            </w:r>
            <w:proofErr w:type="spellEnd"/>
            <w:r w:rsidRPr="00275FBD">
              <w:rPr>
                <w:rFonts w:ascii="Calibri" w:hAnsi="Calibri"/>
                <w:color w:val="000000"/>
                <w:sz w:val="18"/>
                <w:szCs w:val="18"/>
                <w:lang w:val="sl-SI" w:eastAsia="en-GB"/>
              </w:rPr>
              <w:t xml:space="preserve"> with the </w:t>
            </w:r>
            <w:proofErr w:type="spellStart"/>
            <w:r w:rsidRPr="00275FBD">
              <w:rPr>
                <w:rFonts w:ascii="Calibri" w:hAnsi="Calibri"/>
                <w:color w:val="000000"/>
                <w:sz w:val="18"/>
                <w:szCs w:val="18"/>
                <w:lang w:val="sl-SI" w:eastAsia="en-GB"/>
              </w:rPr>
              <w:t>recommendation</w:t>
            </w:r>
            <w:proofErr w:type="spellEnd"/>
            <w:r w:rsidRPr="00275FBD">
              <w:rPr>
                <w:rFonts w:ascii="Calibri" w:hAnsi="Calibri"/>
                <w:color w:val="000000"/>
                <w:sz w:val="18"/>
                <w:szCs w:val="18"/>
                <w:lang w:val="sl-SI" w:eastAsia="en-GB"/>
              </w:rPr>
              <w:t>.</w:t>
            </w:r>
          </w:p>
        </w:tc>
        <w:tc>
          <w:tcPr>
            <w:tcW w:w="2694" w:type="dxa"/>
            <w:tcBorders>
              <w:bottom w:val="single" w:sz="4" w:space="0" w:color="auto"/>
            </w:tcBorders>
          </w:tcPr>
          <w:p w14:paraId="68432D11"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7F07D569" w14:textId="77777777" w:rsidTr="00935B67">
        <w:tc>
          <w:tcPr>
            <w:tcW w:w="1384" w:type="dxa"/>
            <w:tcBorders>
              <w:top w:val="single" w:sz="4" w:space="0" w:color="auto"/>
            </w:tcBorders>
            <w:shd w:val="clear" w:color="auto" w:fill="F2DBDB" w:themeFill="accent2" w:themeFillTint="33"/>
          </w:tcPr>
          <w:p w14:paraId="467ACC2B"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themeColor="text1"/>
                <w:sz w:val="18"/>
                <w:szCs w:val="18"/>
                <w:lang w:val="sl-SI" w:eastAsia="en-GB"/>
              </w:rPr>
              <w:t>PSR3 4.1-001</w:t>
            </w:r>
          </w:p>
        </w:tc>
        <w:tc>
          <w:tcPr>
            <w:tcW w:w="3827" w:type="dxa"/>
            <w:tcBorders>
              <w:top w:val="single" w:sz="4" w:space="0" w:color="auto"/>
            </w:tcBorders>
          </w:tcPr>
          <w:p w14:paraId="6FF76F40" w14:textId="77777777" w:rsidR="00935B67" w:rsidRPr="00275FBD" w:rsidRDefault="00935B67" w:rsidP="00935B67">
            <w:pPr>
              <w:jc w:val="left"/>
              <w:rPr>
                <w:rFonts w:ascii="Calibri" w:hAnsi="Calibri"/>
                <w:color w:val="000000"/>
                <w:sz w:val="18"/>
                <w:szCs w:val="18"/>
                <w:lang w:val="sl-SI" w:eastAsia="en-GB"/>
              </w:rPr>
            </w:pPr>
            <w:proofErr w:type="spellStart"/>
            <w:r w:rsidRPr="00275FBD">
              <w:rPr>
                <w:rFonts w:ascii="Calibri" w:hAnsi="Calibri"/>
                <w:b/>
                <w:bCs/>
                <w:color w:val="000000" w:themeColor="text1"/>
                <w:sz w:val="18"/>
                <w:szCs w:val="18"/>
                <w:lang w:val="sl-SI" w:eastAsia="en-GB"/>
              </w:rPr>
              <w:t>Inconsistency</w:t>
            </w:r>
            <w:proofErr w:type="spellEnd"/>
            <w:r w:rsidRPr="00275FBD">
              <w:rPr>
                <w:rFonts w:ascii="Calibri" w:hAnsi="Calibri"/>
                <w:b/>
                <w:bCs/>
                <w:color w:val="000000" w:themeColor="text1"/>
                <w:sz w:val="18"/>
                <w:szCs w:val="18"/>
                <w:lang w:val="sl-SI" w:eastAsia="en-GB"/>
              </w:rPr>
              <w:t xml:space="preserve"> of </w:t>
            </w:r>
            <w:proofErr w:type="spellStart"/>
            <w:r w:rsidRPr="00275FBD">
              <w:rPr>
                <w:rFonts w:ascii="Calibri" w:hAnsi="Calibri"/>
                <w:b/>
                <w:bCs/>
                <w:color w:val="000000" w:themeColor="text1"/>
                <w:sz w:val="18"/>
                <w:szCs w:val="18"/>
                <w:lang w:val="sl-SI" w:eastAsia="en-GB"/>
              </w:rPr>
              <w:t>organization</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documentation</w:t>
            </w:r>
            <w:proofErr w:type="spellEnd"/>
            <w:r w:rsidRPr="00275FBD">
              <w:rPr>
                <w:rFonts w:ascii="Calibri" w:hAnsi="Calibri"/>
                <w:color w:val="000000" w:themeColor="text1"/>
                <w:sz w:val="18"/>
                <w:szCs w:val="18"/>
                <w:lang w:val="sl-SI" w:eastAsia="en-GB"/>
              </w:rPr>
              <w:t xml:space="preserve">. All </w:t>
            </w:r>
            <w:proofErr w:type="spellStart"/>
            <w:r w:rsidRPr="00275FBD">
              <w:rPr>
                <w:rFonts w:ascii="Calibri" w:hAnsi="Calibri"/>
                <w:color w:val="000000" w:themeColor="text1"/>
                <w:sz w:val="18"/>
                <w:szCs w:val="18"/>
                <w:lang w:val="sl-SI" w:eastAsia="en-GB"/>
              </w:rPr>
              <w:t>procedures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dedicated</w:t>
            </w:r>
            <w:proofErr w:type="spellEnd"/>
            <w:r w:rsidRPr="00275FBD">
              <w:rPr>
                <w:rFonts w:ascii="Calibri" w:hAnsi="Calibri"/>
                <w:color w:val="000000" w:themeColor="text1"/>
                <w:sz w:val="18"/>
                <w:szCs w:val="18"/>
                <w:lang w:val="sl-SI" w:eastAsia="en-GB"/>
              </w:rPr>
              <w:t xml:space="preserve"> to </w:t>
            </w:r>
            <w:proofErr w:type="spellStart"/>
            <w:r w:rsidRPr="00275FBD">
              <w:rPr>
                <w:rFonts w:ascii="Calibri" w:hAnsi="Calibri"/>
                <w:color w:val="000000" w:themeColor="text1"/>
                <w:sz w:val="18"/>
                <w:szCs w:val="18"/>
                <w:lang w:val="sl-SI" w:eastAsia="en-GB"/>
              </w:rPr>
              <w:t>lower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organization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units</w:t>
            </w:r>
            <w:proofErr w:type="spellEnd"/>
            <w:r w:rsidRPr="00275FBD">
              <w:rPr>
                <w:rFonts w:ascii="Calibri" w:hAnsi="Calibri"/>
                <w:color w:val="000000" w:themeColor="text1"/>
                <w:sz w:val="18"/>
                <w:szCs w:val="18"/>
                <w:lang w:val="sl-SI" w:eastAsia="en-GB"/>
              </w:rPr>
              <w:t xml:space="preserve"> do not correspond to </w:t>
            </w:r>
            <w:proofErr w:type="spellStart"/>
            <w:r w:rsidRPr="00275FBD">
              <w:rPr>
                <w:rFonts w:ascii="Calibri" w:hAnsi="Calibri"/>
                <w:color w:val="000000" w:themeColor="text1"/>
                <w:sz w:val="18"/>
                <w:szCs w:val="18"/>
                <w:lang w:val="sl-SI" w:eastAsia="en-GB"/>
              </w:rPr>
              <w:t>master</w:t>
            </w:r>
            <w:proofErr w:type="spellEnd"/>
            <w:r w:rsidRPr="00275FBD">
              <w:rPr>
                <w:rFonts w:ascii="Calibri" w:hAnsi="Calibri"/>
                <w:color w:val="000000" w:themeColor="text1"/>
                <w:sz w:val="18"/>
                <w:szCs w:val="18"/>
                <w:lang w:val="sl-SI" w:eastAsia="en-GB"/>
              </w:rPr>
              <w:t xml:space="preserve"> procedure ADP-1.0.001, Notranja organiziranost NEK and </w:t>
            </w:r>
            <w:proofErr w:type="spellStart"/>
            <w:r w:rsidRPr="00275FBD">
              <w:rPr>
                <w:rFonts w:ascii="Calibri" w:hAnsi="Calibri"/>
                <w:color w:val="000000" w:themeColor="text1"/>
                <w:sz w:val="18"/>
                <w:szCs w:val="18"/>
                <w:lang w:val="sl-SI" w:eastAsia="en-GB"/>
              </w:rPr>
              <w:t>must</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harmonized</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 xml:space="preserve">OSF element: </w:t>
            </w:r>
            <w:proofErr w:type="spellStart"/>
            <w:r w:rsidRPr="00275FBD">
              <w:rPr>
                <w:rFonts w:ascii="Calibri" w:hAnsi="Calibri"/>
                <w:color w:val="000000" w:themeColor="text1"/>
                <w:sz w:val="18"/>
                <w:szCs w:val="18"/>
                <w:lang w:val="sl-SI" w:eastAsia="en-GB"/>
              </w:rPr>
              <w:t>Responsibility</w:t>
            </w:r>
            <w:proofErr w:type="spellEnd"/>
            <w:r w:rsidRPr="00275FBD">
              <w:rPr>
                <w:rFonts w:ascii="Calibri" w:hAnsi="Calibri"/>
                <w:color w:val="000000" w:themeColor="text1"/>
                <w:sz w:val="18"/>
                <w:szCs w:val="18"/>
                <w:lang w:val="sl-SI" w:eastAsia="en-GB"/>
              </w:rPr>
              <w:t xml:space="preserve"> for Safe Operation </w:t>
            </w:r>
            <w:r w:rsidRPr="00275FBD">
              <w:rPr>
                <w:rFonts w:ascii="Calibri" w:hAnsi="Calibri"/>
                <w:color w:val="000000" w:themeColor="text1"/>
                <w:sz w:val="18"/>
                <w:szCs w:val="18"/>
                <w:lang w:val="sl-SI" w:eastAsia="en-GB"/>
              </w:rPr>
              <w:lastRenderedPageBreak/>
              <w:t xml:space="preserve">of the NPP through a </w:t>
            </w:r>
            <w:proofErr w:type="spellStart"/>
            <w:r w:rsidRPr="00275FBD">
              <w:rPr>
                <w:rFonts w:ascii="Calibri" w:hAnsi="Calibri"/>
                <w:color w:val="000000" w:themeColor="text1"/>
                <w:sz w:val="18"/>
                <w:szCs w:val="18"/>
                <w:lang w:val="sl-SI" w:eastAsia="en-GB"/>
              </w:rPr>
              <w:t>Strong</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Organizational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Structure</w:t>
            </w:r>
            <w:proofErr w:type="spellEnd"/>
          </w:p>
        </w:tc>
        <w:tc>
          <w:tcPr>
            <w:tcW w:w="993" w:type="dxa"/>
            <w:tcBorders>
              <w:top w:val="single" w:sz="4" w:space="0" w:color="auto"/>
            </w:tcBorders>
          </w:tcPr>
          <w:p w14:paraId="0273DE18"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lastRenderedPageBreak/>
              <w:t>3.3.3</w:t>
            </w:r>
          </w:p>
        </w:tc>
        <w:tc>
          <w:tcPr>
            <w:tcW w:w="5244" w:type="dxa"/>
            <w:tcBorders>
              <w:top w:val="single" w:sz="4" w:space="0" w:color="auto"/>
            </w:tcBorders>
          </w:tcPr>
          <w:p w14:paraId="321BEB27" w14:textId="77777777" w:rsidR="00935B67" w:rsidRPr="00275FBD" w:rsidRDefault="00935B67" w:rsidP="00935B67">
            <w:pPr>
              <w:jc w:val="left"/>
              <w:rPr>
                <w:rFonts w:ascii="Calibri" w:hAnsi="Calibri"/>
                <w:color w:val="000000"/>
                <w:sz w:val="18"/>
                <w:szCs w:val="18"/>
                <w:lang w:val="sl-SI" w:eastAsia="en-GB"/>
              </w:rPr>
            </w:pPr>
            <w:proofErr w:type="spellStart"/>
            <w:r w:rsidRPr="00275FBD">
              <w:rPr>
                <w:rFonts w:ascii="Calibri" w:hAnsi="Calibri"/>
                <w:color w:val="000000"/>
                <w:sz w:val="18"/>
                <w:szCs w:val="18"/>
                <w:lang w:val="sl-SI" w:eastAsia="en-GB"/>
              </w:rPr>
              <w:t>Documentation</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procedures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dedicated</w:t>
            </w:r>
            <w:proofErr w:type="spellEnd"/>
            <w:r w:rsidRPr="00275FBD">
              <w:rPr>
                <w:rFonts w:ascii="Calibri" w:hAnsi="Calibri"/>
                <w:color w:val="000000"/>
                <w:sz w:val="18"/>
                <w:szCs w:val="18"/>
                <w:lang w:val="sl-SI" w:eastAsia="en-GB"/>
              </w:rPr>
              <w:t xml:space="preserve"> to the </w:t>
            </w:r>
            <w:proofErr w:type="spellStart"/>
            <w:r w:rsidRPr="00275FBD">
              <w:rPr>
                <w:rFonts w:ascii="Calibri" w:hAnsi="Calibri"/>
                <w:color w:val="000000"/>
                <w:sz w:val="18"/>
                <w:szCs w:val="18"/>
                <w:lang w:val="sl-SI" w:eastAsia="en-GB"/>
              </w:rPr>
              <w:t>organization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must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reflect</w:t>
            </w:r>
            <w:proofErr w:type="spellEnd"/>
            <w:r w:rsidRPr="00275FBD">
              <w:rPr>
                <w:rFonts w:ascii="Calibri" w:hAnsi="Calibri"/>
                <w:color w:val="000000"/>
                <w:sz w:val="18"/>
                <w:szCs w:val="18"/>
                <w:lang w:val="sl-SI" w:eastAsia="en-GB"/>
              </w:rPr>
              <w:t xml:space="preserve"> the </w:t>
            </w:r>
            <w:proofErr w:type="spellStart"/>
            <w:r w:rsidRPr="00275FBD">
              <w:rPr>
                <w:rFonts w:ascii="Calibri" w:hAnsi="Calibri"/>
                <w:color w:val="000000"/>
                <w:sz w:val="18"/>
                <w:szCs w:val="18"/>
                <w:lang w:val="sl-SI" w:eastAsia="en-GB"/>
              </w:rPr>
              <w:t>actual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situation</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must</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harmonized</w:t>
            </w:r>
            <w:proofErr w:type="spellEnd"/>
            <w:r w:rsidRPr="00275FBD">
              <w:rPr>
                <w:rFonts w:ascii="Calibri" w:hAnsi="Calibri"/>
                <w:color w:val="000000"/>
                <w:sz w:val="18"/>
                <w:szCs w:val="18"/>
                <w:lang w:val="sl-SI" w:eastAsia="en-GB"/>
              </w:rPr>
              <w:t>.</w:t>
            </w:r>
          </w:p>
        </w:tc>
        <w:tc>
          <w:tcPr>
            <w:tcW w:w="2694" w:type="dxa"/>
            <w:tcBorders>
              <w:top w:val="single" w:sz="4" w:space="0" w:color="auto"/>
            </w:tcBorders>
          </w:tcPr>
          <w:p w14:paraId="741905FE" w14:textId="77777777" w:rsidR="00935B67" w:rsidRPr="00275FBD" w:rsidRDefault="00935B67" w:rsidP="00935B67">
            <w:pPr>
              <w:tabs>
                <w:tab w:val="center" w:pos="1246"/>
              </w:tabs>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75C40B87" w14:textId="77777777" w:rsidTr="00935B67">
        <w:tc>
          <w:tcPr>
            <w:tcW w:w="1384" w:type="dxa"/>
            <w:shd w:val="clear" w:color="auto" w:fill="F2DBDB" w:themeFill="accent2" w:themeFillTint="33"/>
          </w:tcPr>
          <w:p w14:paraId="6A930BD0"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4.1-003</w:t>
            </w:r>
          </w:p>
        </w:tc>
        <w:tc>
          <w:tcPr>
            <w:tcW w:w="3827" w:type="dxa"/>
          </w:tcPr>
          <w:p w14:paraId="26390F58" w14:textId="77777777" w:rsidR="00935B67" w:rsidRPr="00275FBD" w:rsidRDefault="00935B67" w:rsidP="00935B67">
            <w:pPr>
              <w:jc w:val="left"/>
              <w:rPr>
                <w:rFonts w:ascii="Calibri" w:hAnsi="Calibri"/>
                <w:b/>
                <w:bCs/>
                <w:color w:val="000000" w:themeColor="text1"/>
                <w:sz w:val="18"/>
                <w:szCs w:val="18"/>
                <w:lang w:val="sl-SI" w:eastAsia="en-GB"/>
              </w:rPr>
            </w:pPr>
            <w:r w:rsidRPr="00275FBD">
              <w:rPr>
                <w:rFonts w:ascii="Calibri" w:hAnsi="Calibri"/>
                <w:b/>
                <w:bCs/>
                <w:color w:val="000000" w:themeColor="text1"/>
                <w:sz w:val="18"/>
                <w:szCs w:val="18"/>
                <w:lang w:val="sl-SI" w:eastAsia="en-GB"/>
              </w:rPr>
              <w:t>Quality Assurance plan and LTO</w:t>
            </w:r>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Documentation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must</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corrected</w:t>
            </w:r>
            <w:proofErr w:type="spellEnd"/>
            <w:r w:rsidRPr="00275FBD">
              <w:rPr>
                <w:rFonts w:ascii="Calibri" w:hAnsi="Calibri"/>
                <w:color w:val="000000" w:themeColor="text1"/>
                <w:sz w:val="18"/>
                <w:szCs w:val="18"/>
                <w:lang w:val="sl-SI" w:eastAsia="en-GB"/>
              </w:rPr>
              <w:t xml:space="preserve"> with the </w:t>
            </w:r>
            <w:proofErr w:type="spellStart"/>
            <w:r w:rsidRPr="00275FBD">
              <w:rPr>
                <w:rFonts w:ascii="Calibri" w:hAnsi="Calibri"/>
                <w:color w:val="000000" w:themeColor="text1"/>
                <w:sz w:val="18"/>
                <w:szCs w:val="18"/>
                <w:lang w:val="sl-SI" w:eastAsia="en-GB"/>
              </w:rPr>
              <w:t>new</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revision</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OSF element: Operational Quality Assurance Program</w:t>
            </w:r>
            <w:r w:rsidRPr="00275FBD">
              <w:rPr>
                <w:rFonts w:ascii="Calibri" w:hAnsi="Calibri"/>
                <w:color w:val="000000" w:themeColor="text1"/>
                <w:sz w:val="18"/>
                <w:szCs w:val="18"/>
                <w:lang w:val="sl-SI" w:eastAsia="en-GB"/>
              </w:rPr>
              <w:br/>
              <w:t xml:space="preserve">NEK: The </w:t>
            </w:r>
            <w:proofErr w:type="spellStart"/>
            <w:r w:rsidRPr="00275FBD">
              <w:rPr>
                <w:rFonts w:ascii="Calibri" w:hAnsi="Calibri"/>
                <w:color w:val="000000" w:themeColor="text1"/>
                <w:sz w:val="18"/>
                <w:szCs w:val="18"/>
                <w:lang w:val="sl-SI" w:eastAsia="en-GB"/>
              </w:rPr>
              <w:t>referenced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documents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will</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evaluated</w:t>
            </w:r>
            <w:proofErr w:type="spellEnd"/>
            <w:r w:rsidRPr="00275FBD">
              <w:rPr>
                <w:rFonts w:ascii="Calibri" w:hAnsi="Calibri"/>
                <w:color w:val="000000" w:themeColor="text1"/>
                <w:sz w:val="18"/>
                <w:szCs w:val="18"/>
                <w:lang w:val="sl-SI" w:eastAsia="en-GB"/>
              </w:rPr>
              <w:t xml:space="preserve"> and </w:t>
            </w:r>
            <w:proofErr w:type="spellStart"/>
            <w:r w:rsidRPr="00275FBD">
              <w:rPr>
                <w:rFonts w:ascii="Calibri" w:hAnsi="Calibri"/>
                <w:color w:val="000000" w:themeColor="text1"/>
                <w:sz w:val="18"/>
                <w:szCs w:val="18"/>
                <w:lang w:val="sl-SI" w:eastAsia="en-GB"/>
              </w:rPr>
              <w:t>included</w:t>
            </w:r>
            <w:proofErr w:type="spellEnd"/>
            <w:r w:rsidRPr="00275FBD">
              <w:rPr>
                <w:rFonts w:ascii="Calibri" w:hAnsi="Calibri"/>
                <w:color w:val="000000" w:themeColor="text1"/>
                <w:sz w:val="18"/>
                <w:szCs w:val="18"/>
                <w:lang w:val="sl-SI" w:eastAsia="en-GB"/>
              </w:rPr>
              <w:t xml:space="preserve"> in the QD-1 program. The MD6 program </w:t>
            </w:r>
            <w:proofErr w:type="spellStart"/>
            <w:r w:rsidRPr="00275FBD">
              <w:rPr>
                <w:rFonts w:ascii="Calibri" w:hAnsi="Calibri"/>
                <w:color w:val="000000" w:themeColor="text1"/>
                <w:sz w:val="18"/>
                <w:szCs w:val="18"/>
                <w:lang w:val="sl-SI" w:eastAsia="en-GB"/>
              </w:rPr>
              <w:t>will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include</w:t>
            </w:r>
            <w:proofErr w:type="spellEnd"/>
            <w:r w:rsidRPr="00275FBD">
              <w:rPr>
                <w:rFonts w:ascii="Calibri" w:hAnsi="Calibri"/>
                <w:color w:val="000000" w:themeColor="text1"/>
                <w:sz w:val="18"/>
                <w:szCs w:val="18"/>
                <w:lang w:val="sl-SI" w:eastAsia="en-GB"/>
              </w:rPr>
              <w:t xml:space="preserve"> the ADP-1.0.017 procedure.</w:t>
            </w:r>
          </w:p>
        </w:tc>
        <w:tc>
          <w:tcPr>
            <w:tcW w:w="993" w:type="dxa"/>
          </w:tcPr>
          <w:p w14:paraId="760E6235"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3.1.3</w:t>
            </w:r>
          </w:p>
        </w:tc>
        <w:tc>
          <w:tcPr>
            <w:tcW w:w="5244" w:type="dxa"/>
          </w:tcPr>
          <w:p w14:paraId="20DA70C9" w14:textId="77777777" w:rsidR="00935B67" w:rsidRPr="00275FBD" w:rsidRDefault="00935B67" w:rsidP="00935B67">
            <w:pPr>
              <w:jc w:val="left"/>
              <w:rPr>
                <w:rFonts w:ascii="Calibri" w:hAnsi="Calibri"/>
                <w:color w:val="000000"/>
                <w:sz w:val="18"/>
                <w:szCs w:val="18"/>
                <w:lang w:val="sl-SI" w:eastAsia="en-GB"/>
              </w:rPr>
            </w:pPr>
            <w:proofErr w:type="spellStart"/>
            <w:r w:rsidRPr="00275FBD">
              <w:rPr>
                <w:rFonts w:ascii="Calibri" w:hAnsi="Calibri"/>
                <w:color w:val="000000"/>
                <w:sz w:val="18"/>
                <w:szCs w:val="18"/>
                <w:lang w:val="sl-SI" w:eastAsia="en-GB"/>
              </w:rPr>
              <w:t>Documentation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must</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corrected</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harmonized</w:t>
            </w:r>
            <w:proofErr w:type="spellEnd"/>
            <w:r w:rsidRPr="00275FBD">
              <w:rPr>
                <w:rFonts w:ascii="Calibri" w:hAnsi="Calibri"/>
                <w:color w:val="000000"/>
                <w:sz w:val="18"/>
                <w:szCs w:val="18"/>
                <w:lang w:val="sl-SI" w:eastAsia="en-GB"/>
              </w:rPr>
              <w:t xml:space="preserve"> with </w:t>
            </w:r>
            <w:proofErr w:type="spellStart"/>
            <w:r w:rsidRPr="00275FBD">
              <w:rPr>
                <w:rFonts w:ascii="Calibri" w:hAnsi="Calibri"/>
                <w:color w:val="000000"/>
                <w:sz w:val="18"/>
                <w:szCs w:val="18"/>
                <w:lang w:val="sl-SI" w:eastAsia="en-GB"/>
              </w:rPr>
              <w:t>other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procedures</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programs</w:t>
            </w:r>
            <w:proofErr w:type="spellEnd"/>
            <w:r w:rsidRPr="00275FBD">
              <w:rPr>
                <w:rFonts w:ascii="Calibri" w:hAnsi="Calibri"/>
                <w:color w:val="000000"/>
                <w:sz w:val="18"/>
                <w:szCs w:val="18"/>
                <w:lang w:val="sl-SI" w:eastAsia="en-GB"/>
              </w:rPr>
              <w:t>.</w:t>
            </w:r>
          </w:p>
        </w:tc>
        <w:tc>
          <w:tcPr>
            <w:tcW w:w="2694" w:type="dxa"/>
          </w:tcPr>
          <w:p w14:paraId="7725874A"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17A1757A" w14:textId="77777777" w:rsidTr="00935B67">
        <w:tc>
          <w:tcPr>
            <w:tcW w:w="1384" w:type="dxa"/>
            <w:shd w:val="clear" w:color="auto" w:fill="F2DBDB" w:themeFill="accent2" w:themeFillTint="33"/>
          </w:tcPr>
          <w:p w14:paraId="7CFB3E96"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4.1-004</w:t>
            </w:r>
          </w:p>
        </w:tc>
        <w:tc>
          <w:tcPr>
            <w:tcW w:w="3827" w:type="dxa"/>
          </w:tcPr>
          <w:p w14:paraId="4D9D0D22" w14:textId="77777777" w:rsidR="00935B67" w:rsidRPr="00275FBD" w:rsidRDefault="00935B67" w:rsidP="00935B67">
            <w:pPr>
              <w:jc w:val="left"/>
              <w:rPr>
                <w:rFonts w:ascii="Calibri" w:hAnsi="Calibri"/>
                <w:b/>
                <w:bCs/>
                <w:color w:val="000000" w:themeColor="text1"/>
                <w:sz w:val="18"/>
                <w:szCs w:val="18"/>
                <w:lang w:val="sl-SI" w:eastAsia="en-GB"/>
              </w:rPr>
            </w:pPr>
            <w:r w:rsidRPr="00275FBD">
              <w:rPr>
                <w:rFonts w:ascii="Calibri" w:hAnsi="Calibri"/>
                <w:b/>
                <w:bCs/>
                <w:color w:val="000000" w:themeColor="text1"/>
                <w:sz w:val="18"/>
                <w:szCs w:val="18"/>
                <w:lang w:val="sl-SI" w:eastAsia="en-GB"/>
              </w:rPr>
              <w:t xml:space="preserve">Communication program for NEK-Krško </w:t>
            </w:r>
            <w:proofErr w:type="spellStart"/>
            <w:r w:rsidRPr="00275FBD">
              <w:rPr>
                <w:rFonts w:ascii="Calibri" w:hAnsi="Calibri"/>
                <w:b/>
                <w:bCs/>
                <w:color w:val="000000" w:themeColor="text1"/>
                <w:sz w:val="18"/>
                <w:szCs w:val="18"/>
                <w:lang w:val="sl-SI" w:eastAsia="en-GB"/>
              </w:rPr>
              <w:t>nuclear</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power</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plant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Documentation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must</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corrected</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 xml:space="preserve">OSF element: Safety </w:t>
            </w:r>
            <w:proofErr w:type="spellStart"/>
            <w:r w:rsidRPr="00275FBD">
              <w:rPr>
                <w:rFonts w:ascii="Calibri" w:hAnsi="Calibri"/>
                <w:color w:val="000000" w:themeColor="text1"/>
                <w:sz w:val="18"/>
                <w:szCs w:val="18"/>
                <w:lang w:val="sl-SI" w:eastAsia="en-GB"/>
              </w:rPr>
              <w:t>Culture</w:t>
            </w:r>
            <w:proofErr w:type="spellEnd"/>
          </w:p>
        </w:tc>
        <w:tc>
          <w:tcPr>
            <w:tcW w:w="993" w:type="dxa"/>
          </w:tcPr>
          <w:p w14:paraId="1D0DA8F2"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3.1.4</w:t>
            </w:r>
          </w:p>
        </w:tc>
        <w:tc>
          <w:tcPr>
            <w:tcW w:w="5244" w:type="dxa"/>
          </w:tcPr>
          <w:p w14:paraId="30170C5B" w14:textId="77777777" w:rsidR="00935B67" w:rsidRPr="00275FBD" w:rsidRDefault="00935B67" w:rsidP="00935B67">
            <w:pPr>
              <w:jc w:val="left"/>
              <w:rPr>
                <w:rFonts w:ascii="Calibri" w:hAnsi="Calibri"/>
                <w:color w:val="000000"/>
                <w:sz w:val="18"/>
                <w:szCs w:val="18"/>
                <w:lang w:val="sl-SI" w:eastAsia="en-GB"/>
              </w:rPr>
            </w:pPr>
            <w:proofErr w:type="spellStart"/>
            <w:r w:rsidRPr="00275FBD">
              <w:rPr>
                <w:rFonts w:ascii="Calibri" w:hAnsi="Calibri"/>
                <w:color w:val="000000"/>
                <w:sz w:val="18"/>
                <w:szCs w:val="18"/>
                <w:lang w:val="sl-SI" w:eastAsia="en-GB"/>
              </w:rPr>
              <w:t>Documentation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must</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corrected</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harmonized</w:t>
            </w:r>
            <w:proofErr w:type="spellEnd"/>
            <w:r w:rsidRPr="00275FBD">
              <w:rPr>
                <w:rFonts w:ascii="Calibri" w:hAnsi="Calibri"/>
                <w:color w:val="000000"/>
                <w:sz w:val="18"/>
                <w:szCs w:val="18"/>
                <w:lang w:val="sl-SI" w:eastAsia="en-GB"/>
              </w:rPr>
              <w:t xml:space="preserve"> with </w:t>
            </w:r>
            <w:proofErr w:type="spellStart"/>
            <w:r w:rsidRPr="00275FBD">
              <w:rPr>
                <w:rFonts w:ascii="Calibri" w:hAnsi="Calibri"/>
                <w:color w:val="000000"/>
                <w:sz w:val="18"/>
                <w:szCs w:val="18"/>
                <w:lang w:val="sl-SI" w:eastAsia="en-GB"/>
              </w:rPr>
              <w:t>other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procedures</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programs</w:t>
            </w:r>
            <w:proofErr w:type="spellEnd"/>
            <w:r w:rsidRPr="00275FBD">
              <w:rPr>
                <w:rFonts w:ascii="Calibri" w:hAnsi="Calibri"/>
                <w:color w:val="000000"/>
                <w:sz w:val="18"/>
                <w:szCs w:val="18"/>
                <w:lang w:val="sl-SI" w:eastAsia="en-GB"/>
              </w:rPr>
              <w:t>.</w:t>
            </w:r>
          </w:p>
        </w:tc>
        <w:tc>
          <w:tcPr>
            <w:tcW w:w="2694" w:type="dxa"/>
          </w:tcPr>
          <w:p w14:paraId="7F41BAA0"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70890D56" w14:textId="77777777" w:rsidTr="00935B67">
        <w:tc>
          <w:tcPr>
            <w:tcW w:w="1384" w:type="dxa"/>
            <w:shd w:val="clear" w:color="auto" w:fill="F2DBDB" w:themeFill="accent2" w:themeFillTint="33"/>
          </w:tcPr>
          <w:p w14:paraId="28248BA2"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4.1-005</w:t>
            </w:r>
          </w:p>
        </w:tc>
        <w:tc>
          <w:tcPr>
            <w:tcW w:w="3827" w:type="dxa"/>
          </w:tcPr>
          <w:p w14:paraId="1D0D962D" w14:textId="77777777" w:rsidR="00935B67" w:rsidRPr="00275FBD" w:rsidRDefault="00935B67" w:rsidP="00935B67">
            <w:pPr>
              <w:jc w:val="left"/>
              <w:rPr>
                <w:rFonts w:ascii="Calibri" w:hAnsi="Calibri"/>
                <w:b/>
                <w:bCs/>
                <w:color w:val="000000" w:themeColor="text1"/>
                <w:sz w:val="18"/>
                <w:szCs w:val="18"/>
                <w:lang w:val="sl-SI" w:eastAsia="en-GB"/>
              </w:rPr>
            </w:pPr>
            <w:proofErr w:type="spellStart"/>
            <w:r w:rsidRPr="00275FBD">
              <w:rPr>
                <w:rFonts w:ascii="Calibri" w:hAnsi="Calibri"/>
                <w:b/>
                <w:bCs/>
                <w:color w:val="000000" w:themeColor="text1"/>
                <w:sz w:val="18"/>
                <w:szCs w:val="18"/>
                <w:lang w:val="sl-SI" w:eastAsia="en-GB"/>
              </w:rPr>
              <w:t>Fitness</w:t>
            </w:r>
            <w:proofErr w:type="spellEnd"/>
            <w:r w:rsidRPr="00275FBD">
              <w:rPr>
                <w:rFonts w:ascii="Calibri" w:hAnsi="Calibri"/>
                <w:b/>
                <w:bCs/>
                <w:color w:val="000000" w:themeColor="text1"/>
                <w:sz w:val="18"/>
                <w:szCs w:val="18"/>
                <w:lang w:val="sl-SI" w:eastAsia="en-GB"/>
              </w:rPr>
              <w:t xml:space="preserve"> for </w:t>
            </w:r>
            <w:proofErr w:type="spellStart"/>
            <w:r w:rsidRPr="00275FBD">
              <w:rPr>
                <w:rFonts w:ascii="Calibri" w:hAnsi="Calibri"/>
                <w:b/>
                <w:bCs/>
                <w:color w:val="000000" w:themeColor="text1"/>
                <w:sz w:val="18"/>
                <w:szCs w:val="18"/>
                <w:lang w:val="sl-SI" w:eastAsia="en-GB"/>
              </w:rPr>
              <w:t>duty</w:t>
            </w:r>
            <w:proofErr w:type="spellEnd"/>
            <w:r w:rsidRPr="00275FBD">
              <w:rPr>
                <w:rFonts w:ascii="Calibri" w:hAnsi="Calibri"/>
                <w:color w:val="000000" w:themeColor="text1"/>
                <w:sz w:val="18"/>
                <w:szCs w:val="18"/>
                <w:lang w:val="sl-SI" w:eastAsia="en-GB"/>
              </w:rPr>
              <w:t xml:space="preserve">. ADP-1.14.002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revised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accordingly</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 xml:space="preserve">OSF element: </w:t>
            </w:r>
            <w:proofErr w:type="spellStart"/>
            <w:r w:rsidRPr="00275FBD">
              <w:rPr>
                <w:rFonts w:ascii="Calibri" w:hAnsi="Calibri"/>
                <w:color w:val="000000" w:themeColor="text1"/>
                <w:sz w:val="18"/>
                <w:szCs w:val="18"/>
                <w:lang w:val="sl-SI" w:eastAsia="en-GB"/>
              </w:rPr>
              <w:t>Procedures</w:t>
            </w:r>
            <w:proofErr w:type="spellEnd"/>
            <w:r w:rsidRPr="00275FBD">
              <w:rPr>
                <w:rFonts w:ascii="Calibri" w:hAnsi="Calibri"/>
                <w:color w:val="000000" w:themeColor="text1"/>
                <w:sz w:val="18"/>
                <w:szCs w:val="18"/>
                <w:lang w:val="sl-SI" w:eastAsia="en-GB"/>
              </w:rPr>
              <w:t xml:space="preserve"> to avoid or </w:t>
            </w:r>
            <w:proofErr w:type="spellStart"/>
            <w:r w:rsidRPr="00275FBD">
              <w:rPr>
                <w:rFonts w:ascii="Calibri" w:hAnsi="Calibri"/>
                <w:color w:val="000000" w:themeColor="text1"/>
                <w:sz w:val="18"/>
                <w:szCs w:val="18"/>
                <w:lang w:val="sl-SI" w:eastAsia="en-GB"/>
              </w:rPr>
              <w:t>minimize</w:t>
            </w:r>
            <w:proofErr w:type="spellEnd"/>
            <w:r w:rsidRPr="00275FBD">
              <w:rPr>
                <w:rFonts w:ascii="Calibri" w:hAnsi="Calibri"/>
                <w:color w:val="000000" w:themeColor="text1"/>
                <w:sz w:val="18"/>
                <w:szCs w:val="18"/>
                <w:lang w:val="sl-SI" w:eastAsia="en-GB"/>
              </w:rPr>
              <w:t xml:space="preserve"> risk from any hazard to </w:t>
            </w:r>
            <w:proofErr w:type="spellStart"/>
            <w:r w:rsidRPr="00275FBD">
              <w:rPr>
                <w:rFonts w:ascii="Calibri" w:hAnsi="Calibri"/>
                <w:color w:val="000000" w:themeColor="text1"/>
                <w:sz w:val="18"/>
                <w:szCs w:val="18"/>
                <w:lang w:val="sl-SI" w:eastAsia="en-GB"/>
              </w:rPr>
              <w:t>plant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personnel</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 xml:space="preserve">NEK: </w:t>
            </w:r>
            <w:proofErr w:type="spellStart"/>
            <w:r w:rsidRPr="00275FBD">
              <w:rPr>
                <w:rFonts w:ascii="Calibri" w:hAnsi="Calibri"/>
                <w:color w:val="000000" w:themeColor="text1"/>
                <w:sz w:val="18"/>
                <w:szCs w:val="18"/>
                <w:lang w:val="sl-SI" w:eastAsia="en-GB"/>
              </w:rPr>
              <w:t>Agreed</w:t>
            </w:r>
            <w:proofErr w:type="spellEnd"/>
            <w:r w:rsidRPr="00275FBD">
              <w:rPr>
                <w:rFonts w:ascii="Calibri" w:hAnsi="Calibri"/>
                <w:color w:val="000000" w:themeColor="text1"/>
                <w:sz w:val="18"/>
                <w:szCs w:val="18"/>
                <w:lang w:val="sl-SI" w:eastAsia="en-GB"/>
              </w:rPr>
              <w:t xml:space="preserve"> on the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TD-5 </w:t>
            </w:r>
            <w:proofErr w:type="spellStart"/>
            <w:r w:rsidRPr="00275FBD">
              <w:rPr>
                <w:rFonts w:ascii="Calibri" w:hAnsi="Calibri"/>
                <w:color w:val="000000" w:themeColor="text1"/>
                <w:sz w:val="18"/>
                <w:szCs w:val="18"/>
                <w:lang w:val="sl-SI" w:eastAsia="en-GB"/>
              </w:rPr>
              <w:t>has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been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replaced</w:t>
            </w:r>
            <w:proofErr w:type="spellEnd"/>
            <w:r w:rsidRPr="00275FBD">
              <w:rPr>
                <w:rFonts w:ascii="Calibri" w:hAnsi="Calibri"/>
                <w:color w:val="000000" w:themeColor="text1"/>
                <w:sz w:val="18"/>
                <w:szCs w:val="18"/>
                <w:lang w:val="sl-SI" w:eastAsia="en-GB"/>
              </w:rPr>
              <w:t xml:space="preserve"> by QD-10. Procedure ADP-1.14.002 </w:t>
            </w:r>
            <w:proofErr w:type="spellStart"/>
            <w:r w:rsidRPr="00275FBD">
              <w:rPr>
                <w:rFonts w:ascii="Calibri" w:hAnsi="Calibri"/>
                <w:color w:val="000000" w:themeColor="text1"/>
                <w:sz w:val="18"/>
                <w:szCs w:val="18"/>
                <w:lang w:val="sl-SI" w:eastAsia="en-GB"/>
              </w:rPr>
              <w:t>will</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revised</w:t>
            </w:r>
            <w:proofErr w:type="spellEnd"/>
            <w:r w:rsidRPr="00275FBD">
              <w:rPr>
                <w:rFonts w:ascii="Calibri" w:hAnsi="Calibri"/>
                <w:color w:val="000000" w:themeColor="text1"/>
                <w:sz w:val="18"/>
                <w:szCs w:val="18"/>
                <w:lang w:val="sl-SI" w:eastAsia="en-GB"/>
              </w:rPr>
              <w:t xml:space="preserve">. </w:t>
            </w:r>
          </w:p>
        </w:tc>
        <w:tc>
          <w:tcPr>
            <w:tcW w:w="993" w:type="dxa"/>
          </w:tcPr>
          <w:p w14:paraId="2D470B66"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3.1.4</w:t>
            </w:r>
          </w:p>
        </w:tc>
        <w:tc>
          <w:tcPr>
            <w:tcW w:w="5244" w:type="dxa"/>
          </w:tcPr>
          <w:p w14:paraId="198D13BC" w14:textId="77777777" w:rsidR="00935B67" w:rsidRPr="00275FBD" w:rsidRDefault="00935B67" w:rsidP="00935B67">
            <w:pPr>
              <w:jc w:val="left"/>
              <w:rPr>
                <w:rFonts w:ascii="Calibri" w:hAnsi="Calibri"/>
                <w:color w:val="000000"/>
                <w:sz w:val="18"/>
                <w:szCs w:val="18"/>
                <w:lang w:val="sl-SI" w:eastAsia="en-GB"/>
              </w:rPr>
            </w:pPr>
            <w:proofErr w:type="spellStart"/>
            <w:r w:rsidRPr="00275FBD">
              <w:rPr>
                <w:rFonts w:ascii="Calibri" w:hAnsi="Calibri"/>
                <w:color w:val="000000"/>
                <w:sz w:val="18"/>
                <w:szCs w:val="18"/>
                <w:lang w:val="sl-SI" w:eastAsia="en-GB"/>
              </w:rPr>
              <w:t>Documentation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must</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corrected</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harmonized</w:t>
            </w:r>
            <w:proofErr w:type="spellEnd"/>
            <w:r w:rsidRPr="00275FBD">
              <w:rPr>
                <w:rFonts w:ascii="Calibri" w:hAnsi="Calibri"/>
                <w:color w:val="000000"/>
                <w:sz w:val="18"/>
                <w:szCs w:val="18"/>
                <w:lang w:val="sl-SI" w:eastAsia="en-GB"/>
              </w:rPr>
              <w:t xml:space="preserve"> with </w:t>
            </w:r>
            <w:proofErr w:type="spellStart"/>
            <w:r w:rsidRPr="00275FBD">
              <w:rPr>
                <w:rFonts w:ascii="Calibri" w:hAnsi="Calibri"/>
                <w:color w:val="000000"/>
                <w:sz w:val="18"/>
                <w:szCs w:val="18"/>
                <w:lang w:val="sl-SI" w:eastAsia="en-GB"/>
              </w:rPr>
              <w:t>other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procedures</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programs</w:t>
            </w:r>
            <w:proofErr w:type="spellEnd"/>
            <w:r w:rsidRPr="00275FBD">
              <w:rPr>
                <w:rFonts w:ascii="Calibri" w:hAnsi="Calibri"/>
                <w:color w:val="000000"/>
                <w:sz w:val="18"/>
                <w:szCs w:val="18"/>
                <w:lang w:val="sl-SI" w:eastAsia="en-GB"/>
              </w:rPr>
              <w:t>.</w:t>
            </w:r>
          </w:p>
        </w:tc>
        <w:tc>
          <w:tcPr>
            <w:tcW w:w="2694" w:type="dxa"/>
          </w:tcPr>
          <w:p w14:paraId="543AD84E"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220E7D06" w14:textId="77777777" w:rsidTr="00935B67">
        <w:tc>
          <w:tcPr>
            <w:tcW w:w="1384" w:type="dxa"/>
            <w:shd w:val="clear" w:color="auto" w:fill="F2DBDB" w:themeFill="accent2" w:themeFillTint="33"/>
          </w:tcPr>
          <w:p w14:paraId="54D196C0"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4.1-006</w:t>
            </w:r>
          </w:p>
        </w:tc>
        <w:tc>
          <w:tcPr>
            <w:tcW w:w="3827" w:type="dxa"/>
          </w:tcPr>
          <w:p w14:paraId="07911CFE" w14:textId="77777777" w:rsidR="00935B67" w:rsidRPr="00275FBD" w:rsidRDefault="00935B67" w:rsidP="00935B67">
            <w:pPr>
              <w:jc w:val="left"/>
              <w:rPr>
                <w:rFonts w:ascii="Calibri" w:hAnsi="Calibri"/>
                <w:b/>
                <w:bCs/>
                <w:color w:val="000000" w:themeColor="text1"/>
                <w:sz w:val="18"/>
                <w:szCs w:val="18"/>
                <w:lang w:val="sl-SI" w:eastAsia="en-GB"/>
              </w:rPr>
            </w:pPr>
            <w:proofErr w:type="spellStart"/>
            <w:r w:rsidRPr="00275FBD">
              <w:rPr>
                <w:rFonts w:ascii="Calibri" w:hAnsi="Calibri"/>
                <w:b/>
                <w:bCs/>
                <w:color w:val="000000" w:themeColor="text1"/>
                <w:sz w:val="18"/>
                <w:szCs w:val="18"/>
                <w:lang w:val="sl-SI" w:eastAsia="en-GB"/>
              </w:rPr>
              <w:t>Documentation</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traceability</w:t>
            </w:r>
            <w:proofErr w:type="spellEnd"/>
            <w:r w:rsidRPr="00275FBD">
              <w:rPr>
                <w:rFonts w:ascii="Calibri" w:hAnsi="Calibri"/>
                <w:color w:val="000000" w:themeColor="text1"/>
                <w:sz w:val="18"/>
                <w:szCs w:val="18"/>
                <w:lang w:val="sl-SI" w:eastAsia="en-GB"/>
              </w:rPr>
              <w:t xml:space="preserve">. In the </w:t>
            </w:r>
            <w:proofErr w:type="spellStart"/>
            <w:r w:rsidRPr="00275FBD">
              <w:rPr>
                <w:rFonts w:ascii="Calibri" w:hAnsi="Calibri"/>
                <w:color w:val="000000" w:themeColor="text1"/>
                <w:sz w:val="18"/>
                <w:szCs w:val="18"/>
                <w:lang w:val="sl-SI" w:eastAsia="en-GB"/>
              </w:rPr>
              <w:t>next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revision</w:t>
            </w:r>
            <w:proofErr w:type="spellEnd"/>
            <w:r w:rsidRPr="00275FBD">
              <w:rPr>
                <w:rFonts w:ascii="Calibri" w:hAnsi="Calibri"/>
                <w:color w:val="000000" w:themeColor="text1"/>
                <w:sz w:val="18"/>
                <w:szCs w:val="18"/>
                <w:lang w:val="sl-SI" w:eastAsia="en-GB"/>
              </w:rPr>
              <w:t xml:space="preserve"> of the “Procedure and program </w:t>
            </w:r>
            <w:proofErr w:type="spellStart"/>
            <w:r w:rsidRPr="00275FBD">
              <w:rPr>
                <w:rFonts w:ascii="Calibri" w:hAnsi="Calibri"/>
                <w:color w:val="000000" w:themeColor="text1"/>
                <w:sz w:val="18"/>
                <w:szCs w:val="18"/>
                <w:lang w:val="sl-SI" w:eastAsia="en-GB"/>
              </w:rPr>
              <w:t>index</w:t>
            </w:r>
            <w:proofErr w:type="spellEnd"/>
            <w:r w:rsidRPr="00275FBD">
              <w:rPr>
                <w:rFonts w:ascii="Calibri" w:hAnsi="Calibri"/>
                <w:color w:val="000000" w:themeColor="text1"/>
                <w:sz w:val="18"/>
                <w:szCs w:val="18"/>
                <w:lang w:val="sl-SI" w:eastAsia="en-GB"/>
              </w:rPr>
              <w:t xml:space="preserve"> list” it is </w:t>
            </w:r>
            <w:proofErr w:type="spellStart"/>
            <w:r w:rsidRPr="00275FBD">
              <w:rPr>
                <w:rFonts w:ascii="Calibri" w:hAnsi="Calibri"/>
                <w:color w:val="000000" w:themeColor="text1"/>
                <w:sz w:val="18"/>
                <w:szCs w:val="18"/>
                <w:lang w:val="sl-SI" w:eastAsia="en-GB"/>
              </w:rPr>
              <w:t>necessary</w:t>
            </w:r>
            <w:proofErr w:type="spellEnd"/>
            <w:r w:rsidRPr="00275FBD">
              <w:rPr>
                <w:rFonts w:ascii="Calibri" w:hAnsi="Calibri"/>
                <w:color w:val="000000" w:themeColor="text1"/>
                <w:sz w:val="18"/>
                <w:szCs w:val="18"/>
                <w:lang w:val="sl-SI" w:eastAsia="en-GB"/>
              </w:rPr>
              <w:t xml:space="preserve"> to </w:t>
            </w:r>
            <w:proofErr w:type="spellStart"/>
            <w:r w:rsidRPr="00275FBD">
              <w:rPr>
                <w:rFonts w:ascii="Calibri" w:hAnsi="Calibri"/>
                <w:color w:val="000000" w:themeColor="text1"/>
                <w:sz w:val="18"/>
                <w:szCs w:val="18"/>
                <w:lang w:val="sl-SI" w:eastAsia="en-GB"/>
              </w:rPr>
              <w:t>add</w:t>
            </w:r>
            <w:proofErr w:type="spellEnd"/>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missing</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programs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External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procedures</w:t>
            </w:r>
            <w:proofErr w:type="spellEnd"/>
            <w:r w:rsidRPr="00275FBD">
              <w:rPr>
                <w:rFonts w:ascii="Calibri" w:hAnsi="Calibri"/>
                <w:color w:val="000000" w:themeColor="text1"/>
                <w:sz w:val="18"/>
                <w:szCs w:val="18"/>
                <w:lang w:val="sl-SI" w:eastAsia="en-GB"/>
              </w:rPr>
              <w:t xml:space="preserve"> (WANO, INPO…) </w:t>
            </w:r>
            <w:proofErr w:type="spellStart"/>
            <w:r w:rsidRPr="00275FBD">
              <w:rPr>
                <w:rFonts w:ascii="Calibri" w:hAnsi="Calibri"/>
                <w:color w:val="000000" w:themeColor="text1"/>
                <w:sz w:val="18"/>
                <w:szCs w:val="18"/>
                <w:lang w:val="sl-SI" w:eastAsia="en-GB"/>
              </w:rPr>
              <w:t>must</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change</w:t>
            </w:r>
            <w:proofErr w:type="spellEnd"/>
            <w:r w:rsidRPr="00275FBD">
              <w:rPr>
                <w:rFonts w:ascii="Calibri" w:hAnsi="Calibri"/>
                <w:color w:val="000000" w:themeColor="text1"/>
                <w:sz w:val="18"/>
                <w:szCs w:val="18"/>
                <w:lang w:val="sl-SI" w:eastAsia="en-GB"/>
              </w:rPr>
              <w:t xml:space="preserve"> with the NEK </w:t>
            </w:r>
            <w:proofErr w:type="spellStart"/>
            <w:r w:rsidRPr="00275FBD">
              <w:rPr>
                <w:rFonts w:ascii="Calibri" w:hAnsi="Calibri"/>
                <w:color w:val="000000" w:themeColor="text1"/>
                <w:sz w:val="18"/>
                <w:szCs w:val="18"/>
                <w:lang w:val="sl-SI" w:eastAsia="en-GB"/>
              </w:rPr>
              <w:t>internal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procedures</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OSF element: Operational Quality Assurance Program</w:t>
            </w:r>
          </w:p>
        </w:tc>
        <w:tc>
          <w:tcPr>
            <w:tcW w:w="993" w:type="dxa"/>
          </w:tcPr>
          <w:p w14:paraId="6511FC8F"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3.3.4</w:t>
            </w:r>
          </w:p>
        </w:tc>
        <w:tc>
          <w:tcPr>
            <w:tcW w:w="5244" w:type="dxa"/>
          </w:tcPr>
          <w:p w14:paraId="7E12F44E"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Procedure and program </w:t>
            </w:r>
            <w:proofErr w:type="spellStart"/>
            <w:r w:rsidRPr="00275FBD">
              <w:rPr>
                <w:rFonts w:ascii="Calibri" w:hAnsi="Calibri"/>
                <w:color w:val="000000"/>
                <w:sz w:val="18"/>
                <w:szCs w:val="18"/>
                <w:lang w:val="sl-SI" w:eastAsia="en-GB"/>
              </w:rPr>
              <w:t>index</w:t>
            </w:r>
            <w:proofErr w:type="spellEnd"/>
            <w:r w:rsidRPr="00275FBD">
              <w:rPr>
                <w:rFonts w:ascii="Calibri" w:hAnsi="Calibri"/>
                <w:color w:val="000000"/>
                <w:sz w:val="18"/>
                <w:szCs w:val="18"/>
                <w:lang w:val="sl-SI" w:eastAsia="en-GB"/>
              </w:rPr>
              <w:t xml:space="preserve"> list </w:t>
            </w:r>
            <w:proofErr w:type="spellStart"/>
            <w:r w:rsidRPr="00275FBD">
              <w:rPr>
                <w:rFonts w:ascii="Calibri" w:hAnsi="Calibri"/>
                <w:color w:val="000000"/>
                <w:sz w:val="18"/>
                <w:szCs w:val="18"/>
                <w:lang w:val="sl-SI" w:eastAsia="en-GB"/>
              </w:rPr>
              <w:t>must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contain</w:t>
            </w:r>
            <w:proofErr w:type="spellEnd"/>
            <w:r w:rsidRPr="00275FBD">
              <w:rPr>
                <w:rFonts w:ascii="Calibri" w:hAnsi="Calibri"/>
                <w:color w:val="000000"/>
                <w:sz w:val="18"/>
                <w:szCs w:val="18"/>
                <w:lang w:val="sl-SI" w:eastAsia="en-GB"/>
              </w:rPr>
              <w:t xml:space="preserve"> all </w:t>
            </w:r>
            <w:proofErr w:type="spellStart"/>
            <w:r w:rsidRPr="00275FBD">
              <w:rPr>
                <w:rFonts w:ascii="Calibri" w:hAnsi="Calibri"/>
                <w:color w:val="000000"/>
                <w:sz w:val="18"/>
                <w:szCs w:val="18"/>
                <w:lang w:val="sl-SI" w:eastAsia="en-GB"/>
              </w:rPr>
              <w:t>procedures</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procedures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therefore</w:t>
            </w:r>
            <w:proofErr w:type="spellEnd"/>
            <w:r w:rsidRPr="00275FBD">
              <w:rPr>
                <w:rFonts w:ascii="Calibri" w:hAnsi="Calibri"/>
                <w:color w:val="000000"/>
                <w:sz w:val="18"/>
                <w:szCs w:val="18"/>
                <w:lang w:val="sl-SI" w:eastAsia="en-GB"/>
              </w:rPr>
              <w:t xml:space="preserve">, NEK </w:t>
            </w:r>
            <w:proofErr w:type="spellStart"/>
            <w:r w:rsidRPr="00275FBD">
              <w:rPr>
                <w:rFonts w:ascii="Calibri" w:hAnsi="Calibri"/>
                <w:color w:val="000000"/>
                <w:sz w:val="18"/>
                <w:szCs w:val="18"/>
                <w:lang w:val="sl-SI" w:eastAsia="en-GB"/>
              </w:rPr>
              <w:t>should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add</w:t>
            </w:r>
            <w:proofErr w:type="spellEnd"/>
            <w:r w:rsidRPr="00275FBD">
              <w:rPr>
                <w:rFonts w:ascii="Calibri" w:hAnsi="Calibri"/>
                <w:color w:val="000000"/>
                <w:sz w:val="18"/>
                <w:szCs w:val="18"/>
                <w:lang w:val="sl-SI" w:eastAsia="en-GB"/>
              </w:rPr>
              <w:t xml:space="preserve"> all </w:t>
            </w:r>
            <w:proofErr w:type="spellStart"/>
            <w:r w:rsidRPr="00275FBD">
              <w:rPr>
                <w:rFonts w:ascii="Calibri" w:hAnsi="Calibri"/>
                <w:color w:val="000000"/>
                <w:sz w:val="18"/>
                <w:szCs w:val="18"/>
                <w:lang w:val="sl-SI" w:eastAsia="en-GB"/>
              </w:rPr>
              <w:t>missing</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documents</w:t>
            </w:r>
            <w:proofErr w:type="spellEnd"/>
            <w:r w:rsidRPr="00275FBD">
              <w:rPr>
                <w:rFonts w:ascii="Calibri" w:hAnsi="Calibri"/>
                <w:color w:val="000000"/>
                <w:sz w:val="18"/>
                <w:szCs w:val="18"/>
                <w:lang w:val="sl-SI" w:eastAsia="en-GB"/>
              </w:rPr>
              <w:t>.</w:t>
            </w:r>
          </w:p>
        </w:tc>
        <w:tc>
          <w:tcPr>
            <w:tcW w:w="2694" w:type="dxa"/>
          </w:tcPr>
          <w:p w14:paraId="383345EE"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7F4BFAB8" w14:textId="77777777" w:rsidTr="00935B67">
        <w:tc>
          <w:tcPr>
            <w:tcW w:w="1384" w:type="dxa"/>
            <w:shd w:val="clear" w:color="auto" w:fill="EAF1DD" w:themeFill="accent3" w:themeFillTint="33"/>
          </w:tcPr>
          <w:p w14:paraId="20DF268C"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4.2-003</w:t>
            </w:r>
          </w:p>
        </w:tc>
        <w:tc>
          <w:tcPr>
            <w:tcW w:w="3827" w:type="dxa"/>
          </w:tcPr>
          <w:p w14:paraId="2BD69AC2" w14:textId="77777777" w:rsidR="00935B67" w:rsidRPr="00275FBD" w:rsidRDefault="00935B67" w:rsidP="00935B67">
            <w:pPr>
              <w:jc w:val="left"/>
              <w:rPr>
                <w:rFonts w:ascii="Calibri" w:hAnsi="Calibri"/>
                <w:b/>
                <w:bCs/>
                <w:color w:val="000000" w:themeColor="text1"/>
                <w:sz w:val="18"/>
                <w:szCs w:val="18"/>
                <w:lang w:val="sl-SI" w:eastAsia="en-GB"/>
              </w:rPr>
            </w:pPr>
            <w:proofErr w:type="spellStart"/>
            <w:r w:rsidRPr="00275FBD">
              <w:rPr>
                <w:rFonts w:ascii="Calibri" w:hAnsi="Calibri"/>
                <w:b/>
                <w:bCs/>
                <w:color w:val="000000" w:themeColor="text1"/>
                <w:sz w:val="18"/>
                <w:szCs w:val="18"/>
                <w:lang w:val="sl-SI" w:eastAsia="en-GB"/>
              </w:rPr>
              <w:t>Field</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observations</w:t>
            </w:r>
            <w:proofErr w:type="spellEnd"/>
            <w:r w:rsidRPr="00275FBD">
              <w:rPr>
                <w:rFonts w:ascii="Calibri" w:hAnsi="Calibri"/>
                <w:b/>
                <w:bCs/>
                <w:color w:val="000000" w:themeColor="text1"/>
                <w:sz w:val="18"/>
                <w:szCs w:val="18"/>
                <w:lang w:val="sl-SI" w:eastAsia="en-GB"/>
              </w:rPr>
              <w:t xml:space="preserve"> with </w:t>
            </w:r>
            <w:proofErr w:type="spellStart"/>
            <w:r w:rsidRPr="00275FBD">
              <w:rPr>
                <w:rFonts w:ascii="Calibri" w:hAnsi="Calibri"/>
                <w:b/>
                <w:bCs/>
                <w:color w:val="000000" w:themeColor="text1"/>
                <w:sz w:val="18"/>
                <w:szCs w:val="18"/>
                <w:lang w:val="sl-SI" w:eastAsia="en-GB"/>
              </w:rPr>
              <w:t>coaching</w:t>
            </w:r>
            <w:proofErr w:type="spellEnd"/>
            <w:r w:rsidRPr="00275FBD">
              <w:rPr>
                <w:rFonts w:ascii="Calibri" w:hAnsi="Calibri"/>
                <w:b/>
                <w:bCs/>
                <w:color w:val="000000" w:themeColor="text1"/>
                <w:sz w:val="18"/>
                <w:szCs w:val="18"/>
                <w:lang w:val="sl-SI" w:eastAsia="en-GB"/>
              </w:rPr>
              <w:t xml:space="preserve"> ADP-1.0.005</w:t>
            </w:r>
            <w:r w:rsidRPr="00275FBD">
              <w:rPr>
                <w:rFonts w:ascii="Calibri" w:hAnsi="Calibri"/>
                <w:color w:val="000000" w:themeColor="text1"/>
                <w:sz w:val="18"/>
                <w:szCs w:val="18"/>
                <w:lang w:val="sl-SI" w:eastAsia="en-GB"/>
              </w:rPr>
              <w:t xml:space="preserve">. By </w:t>
            </w:r>
            <w:proofErr w:type="spellStart"/>
            <w:r w:rsidRPr="00275FBD">
              <w:rPr>
                <w:rFonts w:ascii="Calibri" w:hAnsi="Calibri"/>
                <w:color w:val="000000" w:themeColor="text1"/>
                <w:sz w:val="18"/>
                <w:szCs w:val="18"/>
                <w:lang w:val="sl-SI" w:eastAsia="en-GB"/>
              </w:rPr>
              <w:t>doing</w:t>
            </w:r>
            <w:proofErr w:type="spellEnd"/>
            <w:r w:rsidRPr="00275FBD">
              <w:rPr>
                <w:rFonts w:ascii="Calibri" w:hAnsi="Calibri"/>
                <w:color w:val="000000" w:themeColor="text1"/>
                <w:sz w:val="18"/>
                <w:szCs w:val="18"/>
                <w:lang w:val="sl-SI" w:eastAsia="en-GB"/>
              </w:rPr>
              <w:t xml:space="preserve"> a spot </w:t>
            </w:r>
            <w:proofErr w:type="spellStart"/>
            <w:r w:rsidRPr="00275FBD">
              <w:rPr>
                <w:rFonts w:ascii="Calibri" w:hAnsi="Calibri"/>
                <w:color w:val="000000" w:themeColor="text1"/>
                <w:sz w:val="18"/>
                <w:szCs w:val="18"/>
                <w:lang w:val="sl-SI" w:eastAsia="en-GB"/>
              </w:rPr>
              <w:t>check</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observations</w:t>
            </w:r>
            <w:proofErr w:type="spellEnd"/>
            <w:r w:rsidRPr="00275FBD">
              <w:rPr>
                <w:rFonts w:ascii="Calibri" w:hAnsi="Calibri"/>
                <w:color w:val="000000" w:themeColor="text1"/>
                <w:sz w:val="18"/>
                <w:szCs w:val="18"/>
                <w:lang w:val="sl-SI" w:eastAsia="en-GB"/>
              </w:rPr>
              <w:t xml:space="preserve"> done during 2019, it </w:t>
            </w:r>
            <w:proofErr w:type="spellStart"/>
            <w:r w:rsidRPr="00275FBD">
              <w:rPr>
                <w:rFonts w:ascii="Calibri" w:hAnsi="Calibri"/>
                <w:color w:val="000000" w:themeColor="text1"/>
                <w:sz w:val="18"/>
                <w:szCs w:val="18"/>
                <w:lang w:val="sl-SI" w:eastAsia="en-GB"/>
              </w:rPr>
              <w:t>was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observed</w:t>
            </w:r>
            <w:proofErr w:type="spellEnd"/>
            <w:r w:rsidRPr="00275FBD">
              <w:rPr>
                <w:rFonts w:ascii="Calibri" w:hAnsi="Calibri"/>
                <w:color w:val="000000" w:themeColor="text1"/>
                <w:sz w:val="18"/>
                <w:szCs w:val="18"/>
                <w:lang w:val="sl-SI" w:eastAsia="en-GB"/>
              </w:rPr>
              <w:t xml:space="preserve"> that </w:t>
            </w:r>
            <w:proofErr w:type="spellStart"/>
            <w:r w:rsidRPr="00275FBD">
              <w:rPr>
                <w:rFonts w:ascii="Calibri" w:hAnsi="Calibri"/>
                <w:color w:val="000000" w:themeColor="text1"/>
                <w:sz w:val="18"/>
                <w:szCs w:val="18"/>
                <w:lang w:val="sl-SI" w:eastAsia="en-GB"/>
              </w:rPr>
              <w:t>there</w:t>
            </w:r>
            <w:proofErr w:type="spellEnd"/>
            <w:r w:rsidRPr="00275FBD">
              <w:rPr>
                <w:rFonts w:ascii="Calibri" w:hAnsi="Calibri"/>
                <w:color w:val="000000" w:themeColor="text1"/>
                <w:sz w:val="18"/>
                <w:szCs w:val="18"/>
                <w:lang w:val="sl-SI" w:eastAsia="en-GB"/>
              </w:rPr>
              <w:t xml:space="preserve"> are </w:t>
            </w:r>
            <w:proofErr w:type="spellStart"/>
            <w:r w:rsidRPr="00275FBD">
              <w:rPr>
                <w:rFonts w:ascii="Calibri" w:hAnsi="Calibri"/>
                <w:color w:val="000000" w:themeColor="text1"/>
                <w:sz w:val="18"/>
                <w:szCs w:val="18"/>
                <w:lang w:val="sl-SI" w:eastAsia="en-GB"/>
              </w:rPr>
              <w:t>many</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observations</w:t>
            </w:r>
            <w:proofErr w:type="spellEnd"/>
            <w:r w:rsidRPr="00275FBD">
              <w:rPr>
                <w:rFonts w:ascii="Calibri" w:hAnsi="Calibri"/>
                <w:color w:val="000000" w:themeColor="text1"/>
                <w:sz w:val="18"/>
                <w:szCs w:val="18"/>
                <w:lang w:val="sl-SI" w:eastAsia="en-GB"/>
              </w:rPr>
              <w:t xml:space="preserve"> that are not in line with </w:t>
            </w:r>
            <w:proofErr w:type="spellStart"/>
            <w:r w:rsidRPr="00275FBD">
              <w:rPr>
                <w:rFonts w:ascii="Calibri" w:hAnsi="Calibri"/>
                <w:color w:val="000000" w:themeColor="text1"/>
                <w:sz w:val="18"/>
                <w:szCs w:val="18"/>
                <w:lang w:val="sl-SI" w:eastAsia="en-GB"/>
              </w:rPr>
              <w:lastRenderedPageBreak/>
              <w:t>safety</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culture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principles</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 xml:space="preserve">OSF element: Safety </w:t>
            </w:r>
            <w:proofErr w:type="spellStart"/>
            <w:r w:rsidRPr="00275FBD">
              <w:rPr>
                <w:rFonts w:ascii="Calibri" w:hAnsi="Calibri"/>
                <w:color w:val="000000" w:themeColor="text1"/>
                <w:sz w:val="18"/>
                <w:szCs w:val="18"/>
                <w:lang w:val="sl-SI" w:eastAsia="en-GB"/>
              </w:rPr>
              <w:t>Culture</w:t>
            </w:r>
            <w:proofErr w:type="spellEnd"/>
          </w:p>
        </w:tc>
        <w:tc>
          <w:tcPr>
            <w:tcW w:w="993" w:type="dxa"/>
          </w:tcPr>
          <w:p w14:paraId="62FBCC68"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lastRenderedPageBreak/>
              <w:t>3.3.3</w:t>
            </w:r>
          </w:p>
        </w:tc>
        <w:tc>
          <w:tcPr>
            <w:tcW w:w="5244" w:type="dxa"/>
          </w:tcPr>
          <w:p w14:paraId="70DD9A01"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NEK </w:t>
            </w:r>
            <w:proofErr w:type="spellStart"/>
            <w:r w:rsidRPr="00275FBD">
              <w:rPr>
                <w:rFonts w:ascii="Calibri" w:hAnsi="Calibri"/>
                <w:color w:val="000000"/>
                <w:sz w:val="18"/>
                <w:szCs w:val="18"/>
                <w:lang w:val="sl-SI" w:eastAsia="en-GB"/>
              </w:rPr>
              <w:t>must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define</w:t>
            </w:r>
            <w:proofErr w:type="spellEnd"/>
            <w:r w:rsidRPr="00275FBD">
              <w:rPr>
                <w:rFonts w:ascii="Calibri" w:hAnsi="Calibri"/>
                <w:color w:val="000000"/>
                <w:sz w:val="18"/>
                <w:szCs w:val="18"/>
                <w:lang w:val="sl-SI" w:eastAsia="en-GB"/>
              </w:rPr>
              <w:t xml:space="preserve"> the </w:t>
            </w:r>
            <w:proofErr w:type="spellStart"/>
            <w:r w:rsidRPr="00275FBD">
              <w:rPr>
                <w:rFonts w:ascii="Calibri" w:hAnsi="Calibri"/>
                <w:color w:val="000000"/>
                <w:sz w:val="18"/>
                <w:szCs w:val="18"/>
                <w:lang w:val="sl-SI" w:eastAsia="en-GB"/>
              </w:rPr>
              <w:t>number</w:t>
            </w:r>
            <w:proofErr w:type="spellEnd"/>
            <w:r w:rsidRPr="00275FBD">
              <w:rPr>
                <w:rFonts w:ascii="Calibri" w:hAnsi="Calibri"/>
                <w:color w:val="000000"/>
                <w:sz w:val="18"/>
                <w:szCs w:val="18"/>
                <w:lang w:val="sl-SI" w:eastAsia="en-GB"/>
              </w:rPr>
              <w:t xml:space="preserve"> of minimum </w:t>
            </w:r>
            <w:proofErr w:type="spellStart"/>
            <w:r w:rsidRPr="00275FBD">
              <w:rPr>
                <w:rFonts w:ascii="Calibri" w:hAnsi="Calibri"/>
                <w:color w:val="000000"/>
                <w:sz w:val="18"/>
                <w:szCs w:val="18"/>
                <w:lang w:val="sl-SI" w:eastAsia="en-GB"/>
              </w:rPr>
              <w:t>observations</w:t>
            </w:r>
            <w:proofErr w:type="spellEnd"/>
            <w:r w:rsidRPr="00275FBD">
              <w:rPr>
                <w:rFonts w:ascii="Calibri" w:hAnsi="Calibri"/>
                <w:color w:val="000000"/>
                <w:sz w:val="18"/>
                <w:szCs w:val="18"/>
                <w:lang w:val="sl-SI" w:eastAsia="en-GB"/>
              </w:rPr>
              <w:t xml:space="preserve"> to be done to the </w:t>
            </w:r>
            <w:proofErr w:type="spellStart"/>
            <w:r w:rsidRPr="00275FBD">
              <w:rPr>
                <w:rFonts w:ascii="Calibri" w:hAnsi="Calibri"/>
                <w:color w:val="000000"/>
                <w:sz w:val="18"/>
                <w:szCs w:val="18"/>
                <w:lang w:val="sl-SI" w:eastAsia="en-GB"/>
              </w:rPr>
              <w:t>attitude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which</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actively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stimulates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observation</w:t>
            </w:r>
            <w:proofErr w:type="spellEnd"/>
            <w:r w:rsidRPr="00275FBD">
              <w:rPr>
                <w:rFonts w:ascii="Calibri" w:hAnsi="Calibri"/>
                <w:color w:val="000000"/>
                <w:sz w:val="18"/>
                <w:szCs w:val="18"/>
                <w:lang w:val="sl-SI" w:eastAsia="en-GB"/>
              </w:rPr>
              <w:t xml:space="preserve"> with </w:t>
            </w:r>
            <w:proofErr w:type="spellStart"/>
            <w:r w:rsidRPr="00275FBD">
              <w:rPr>
                <w:rFonts w:ascii="Calibri" w:hAnsi="Calibri"/>
                <w:color w:val="000000"/>
                <w:sz w:val="18"/>
                <w:szCs w:val="18"/>
                <w:lang w:val="sl-SI" w:eastAsia="en-GB"/>
              </w:rPr>
              <w:t>coaching</w:t>
            </w:r>
            <w:proofErr w:type="spellEnd"/>
            <w:r w:rsidRPr="00275FBD">
              <w:rPr>
                <w:rFonts w:ascii="Calibri" w:hAnsi="Calibri"/>
                <w:color w:val="000000"/>
                <w:sz w:val="18"/>
                <w:szCs w:val="18"/>
                <w:lang w:val="sl-SI" w:eastAsia="en-GB"/>
              </w:rPr>
              <w:t xml:space="preserve"> done in a more </w:t>
            </w:r>
            <w:proofErr w:type="spellStart"/>
            <w:r w:rsidRPr="00275FBD">
              <w:rPr>
                <w:rFonts w:ascii="Calibri" w:hAnsi="Calibri"/>
                <w:color w:val="000000"/>
                <w:sz w:val="18"/>
                <w:szCs w:val="18"/>
                <w:lang w:val="sl-SI" w:eastAsia="en-GB"/>
              </w:rPr>
              <w:t>systematic</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way</w:t>
            </w:r>
            <w:proofErr w:type="spellEnd"/>
            <w:r w:rsidRPr="00275FBD">
              <w:rPr>
                <w:rFonts w:ascii="Calibri" w:hAnsi="Calibri"/>
                <w:color w:val="000000"/>
                <w:sz w:val="18"/>
                <w:szCs w:val="18"/>
                <w:lang w:val="sl-SI" w:eastAsia="en-GB"/>
              </w:rPr>
              <w:t>.</w:t>
            </w:r>
          </w:p>
        </w:tc>
        <w:tc>
          <w:tcPr>
            <w:tcW w:w="2694" w:type="dxa"/>
          </w:tcPr>
          <w:p w14:paraId="006A0B9B" w14:textId="77777777" w:rsidR="00935B67" w:rsidRPr="00275FBD" w:rsidRDefault="00935B67" w:rsidP="00935B67">
            <w:pPr>
              <w:tabs>
                <w:tab w:val="left" w:pos="1440"/>
              </w:tabs>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60C29B73" w14:textId="77777777" w:rsidTr="00935B67">
        <w:tc>
          <w:tcPr>
            <w:tcW w:w="1384" w:type="dxa"/>
            <w:shd w:val="clear" w:color="auto" w:fill="EAF1DD" w:themeFill="accent3" w:themeFillTint="33"/>
          </w:tcPr>
          <w:p w14:paraId="20DE54A4"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4.2-007</w:t>
            </w:r>
          </w:p>
        </w:tc>
        <w:tc>
          <w:tcPr>
            <w:tcW w:w="3827" w:type="dxa"/>
          </w:tcPr>
          <w:p w14:paraId="0C61D9BE" w14:textId="77777777" w:rsidR="00935B67" w:rsidRPr="00275FBD" w:rsidRDefault="00935B67" w:rsidP="00935B67">
            <w:pPr>
              <w:jc w:val="left"/>
              <w:rPr>
                <w:rFonts w:ascii="Calibri" w:hAnsi="Calibri"/>
                <w:b/>
                <w:bCs/>
                <w:color w:val="000000" w:themeColor="text1"/>
                <w:sz w:val="18"/>
                <w:szCs w:val="18"/>
                <w:lang w:val="sl-SI" w:eastAsia="en-GB"/>
              </w:rPr>
            </w:pPr>
            <w:proofErr w:type="spellStart"/>
            <w:r w:rsidRPr="00275FBD">
              <w:rPr>
                <w:rFonts w:ascii="Calibri" w:hAnsi="Calibri"/>
                <w:b/>
                <w:bCs/>
                <w:color w:val="000000" w:themeColor="text1"/>
                <w:sz w:val="18"/>
                <w:szCs w:val="18"/>
                <w:lang w:val="sl-SI" w:eastAsia="en-GB"/>
              </w:rPr>
              <w:t>Performance</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Indicators</w:t>
            </w:r>
            <w:proofErr w:type="spellEnd"/>
            <w:r w:rsidRPr="00275FBD">
              <w:rPr>
                <w:rFonts w:ascii="Calibri" w:hAnsi="Calibri"/>
                <w:b/>
                <w:bCs/>
                <w:color w:val="000000" w:themeColor="text1"/>
                <w:sz w:val="18"/>
                <w:szCs w:val="18"/>
                <w:lang w:val="sl-SI" w:eastAsia="en-GB"/>
              </w:rPr>
              <w:t xml:space="preserve"> not </w:t>
            </w:r>
            <w:proofErr w:type="spellStart"/>
            <w:r w:rsidRPr="00275FBD">
              <w:rPr>
                <w:rFonts w:ascii="Calibri" w:hAnsi="Calibri"/>
                <w:b/>
                <w:bCs/>
                <w:color w:val="000000" w:themeColor="text1"/>
                <w:sz w:val="18"/>
                <w:szCs w:val="18"/>
                <w:lang w:val="sl-SI" w:eastAsia="en-GB"/>
              </w:rPr>
              <w:t>visible</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enough</w:t>
            </w:r>
            <w:proofErr w:type="spellEnd"/>
            <w:r w:rsidRPr="00275FBD">
              <w:rPr>
                <w:rFonts w:ascii="Calibri" w:hAnsi="Calibri"/>
                <w:color w:val="000000" w:themeColor="text1"/>
                <w:sz w:val="18"/>
                <w:szCs w:val="18"/>
                <w:lang w:val="sl-SI" w:eastAsia="en-GB"/>
              </w:rPr>
              <w:t xml:space="preserve">. It is </w:t>
            </w:r>
            <w:proofErr w:type="spellStart"/>
            <w:r w:rsidRPr="00275FBD">
              <w:rPr>
                <w:rFonts w:ascii="Calibri" w:hAnsi="Calibri"/>
                <w:color w:val="000000" w:themeColor="text1"/>
                <w:sz w:val="18"/>
                <w:szCs w:val="18"/>
                <w:lang w:val="sl-SI" w:eastAsia="en-GB"/>
              </w:rPr>
              <w:t>recommended</w:t>
            </w:r>
            <w:proofErr w:type="spellEnd"/>
            <w:r w:rsidRPr="00275FBD">
              <w:rPr>
                <w:rFonts w:ascii="Calibri" w:hAnsi="Calibri"/>
                <w:color w:val="000000" w:themeColor="text1"/>
                <w:sz w:val="18"/>
                <w:szCs w:val="18"/>
                <w:lang w:val="sl-SI" w:eastAsia="en-GB"/>
              </w:rPr>
              <w:t xml:space="preserve"> to </w:t>
            </w:r>
            <w:proofErr w:type="spellStart"/>
            <w:r w:rsidRPr="00275FBD">
              <w:rPr>
                <w:rFonts w:ascii="Calibri" w:hAnsi="Calibri"/>
                <w:color w:val="000000" w:themeColor="text1"/>
                <w:sz w:val="18"/>
                <w:szCs w:val="18"/>
                <w:lang w:val="sl-SI" w:eastAsia="en-GB"/>
              </w:rPr>
              <w:t>incorporate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information</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specific</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performance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indicators</w:t>
            </w:r>
            <w:proofErr w:type="spellEnd"/>
            <w:r w:rsidRPr="00275FBD">
              <w:rPr>
                <w:rFonts w:ascii="Calibri" w:hAnsi="Calibri"/>
                <w:color w:val="000000" w:themeColor="text1"/>
                <w:sz w:val="18"/>
                <w:szCs w:val="18"/>
                <w:lang w:val="sl-SI" w:eastAsia="en-GB"/>
              </w:rPr>
              <w:t xml:space="preserve"> status in segment </w:t>
            </w:r>
            <w:proofErr w:type="spellStart"/>
            <w:r w:rsidRPr="00275FBD">
              <w:rPr>
                <w:rFonts w:ascii="Calibri" w:hAnsi="Calibri"/>
                <w:color w:val="000000" w:themeColor="text1"/>
                <w:sz w:val="18"/>
                <w:szCs w:val="18"/>
                <w:lang w:val="sl-SI" w:eastAsia="en-GB"/>
              </w:rPr>
              <w:t>trainings</w:t>
            </w:r>
            <w:proofErr w:type="spellEnd"/>
            <w:r w:rsidRPr="00275FBD">
              <w:rPr>
                <w:rFonts w:ascii="Calibri" w:hAnsi="Calibri"/>
                <w:color w:val="000000" w:themeColor="text1"/>
                <w:sz w:val="18"/>
                <w:szCs w:val="18"/>
                <w:lang w:val="sl-SI" w:eastAsia="en-GB"/>
              </w:rPr>
              <w:t xml:space="preserve"> and </w:t>
            </w:r>
            <w:proofErr w:type="spellStart"/>
            <w:r w:rsidRPr="00275FBD">
              <w:rPr>
                <w:rFonts w:ascii="Calibri" w:hAnsi="Calibri"/>
                <w:color w:val="000000" w:themeColor="text1"/>
                <w:sz w:val="18"/>
                <w:szCs w:val="18"/>
                <w:lang w:val="sl-SI" w:eastAsia="en-GB"/>
              </w:rPr>
              <w:t>inter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department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meetings</w:t>
            </w:r>
            <w:proofErr w:type="spellEnd"/>
            <w:r w:rsidRPr="00275FBD">
              <w:rPr>
                <w:rFonts w:ascii="Calibri" w:hAnsi="Calibri"/>
                <w:color w:val="000000" w:themeColor="text1"/>
                <w:sz w:val="18"/>
                <w:szCs w:val="18"/>
                <w:lang w:val="sl-SI" w:eastAsia="en-GB"/>
              </w:rPr>
              <w:t xml:space="preserve"> that is </w:t>
            </w:r>
            <w:proofErr w:type="spellStart"/>
            <w:r w:rsidRPr="00275FBD">
              <w:rPr>
                <w:rFonts w:ascii="Calibri" w:hAnsi="Calibri"/>
                <w:color w:val="000000" w:themeColor="text1"/>
                <w:sz w:val="18"/>
                <w:szCs w:val="18"/>
                <w:lang w:val="sl-SI" w:eastAsia="en-GB"/>
              </w:rPr>
              <w:t>organized</w:t>
            </w:r>
            <w:proofErr w:type="spellEnd"/>
            <w:r w:rsidRPr="00275FBD">
              <w:rPr>
                <w:rFonts w:ascii="Calibri" w:hAnsi="Calibri"/>
                <w:color w:val="000000" w:themeColor="text1"/>
                <w:sz w:val="18"/>
                <w:szCs w:val="18"/>
                <w:lang w:val="sl-SI" w:eastAsia="en-GB"/>
              </w:rPr>
              <w:t xml:space="preserve"> for all NEK </w:t>
            </w:r>
            <w:proofErr w:type="spellStart"/>
            <w:r w:rsidRPr="00275FBD">
              <w:rPr>
                <w:rFonts w:ascii="Calibri" w:hAnsi="Calibri"/>
                <w:color w:val="000000" w:themeColor="text1"/>
                <w:sz w:val="18"/>
                <w:szCs w:val="18"/>
                <w:lang w:val="sl-SI" w:eastAsia="en-GB"/>
              </w:rPr>
              <w:t>departments</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 xml:space="preserve">OSF element: Safety </w:t>
            </w:r>
            <w:proofErr w:type="spellStart"/>
            <w:r w:rsidRPr="00275FBD">
              <w:rPr>
                <w:rFonts w:ascii="Calibri" w:hAnsi="Calibri"/>
                <w:color w:val="000000" w:themeColor="text1"/>
                <w:sz w:val="18"/>
                <w:szCs w:val="18"/>
                <w:lang w:val="sl-SI" w:eastAsia="en-GB"/>
              </w:rPr>
              <w:t>Culture</w:t>
            </w:r>
            <w:proofErr w:type="spellEnd"/>
          </w:p>
        </w:tc>
        <w:tc>
          <w:tcPr>
            <w:tcW w:w="993" w:type="dxa"/>
          </w:tcPr>
          <w:p w14:paraId="20EB106A"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2.1.3</w:t>
            </w:r>
          </w:p>
        </w:tc>
        <w:tc>
          <w:tcPr>
            <w:tcW w:w="5244" w:type="dxa"/>
          </w:tcPr>
          <w:p w14:paraId="74E1636F"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NEK </w:t>
            </w:r>
            <w:proofErr w:type="spellStart"/>
            <w:r w:rsidRPr="00275FBD">
              <w:rPr>
                <w:rFonts w:ascii="Calibri" w:hAnsi="Calibri"/>
                <w:color w:val="000000"/>
                <w:sz w:val="18"/>
                <w:szCs w:val="18"/>
                <w:lang w:val="sl-SI" w:eastAsia="en-GB"/>
              </w:rPr>
              <w:t>must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present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relevant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specific</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performance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indicator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trends</w:t>
            </w:r>
            <w:proofErr w:type="spellEnd"/>
            <w:r w:rsidRPr="00275FBD">
              <w:rPr>
                <w:rFonts w:ascii="Calibri" w:hAnsi="Calibri"/>
                <w:color w:val="000000"/>
                <w:sz w:val="18"/>
                <w:szCs w:val="18"/>
                <w:lang w:val="sl-SI" w:eastAsia="en-GB"/>
              </w:rPr>
              <w:t xml:space="preserve"> and/or </w:t>
            </w:r>
            <w:proofErr w:type="spellStart"/>
            <w:r w:rsidRPr="00275FBD">
              <w:rPr>
                <w:rFonts w:ascii="Calibri" w:hAnsi="Calibri"/>
                <w:color w:val="000000"/>
                <w:sz w:val="18"/>
                <w:szCs w:val="18"/>
                <w:lang w:val="sl-SI" w:eastAsia="en-GB"/>
              </w:rPr>
              <w:t>values</w:t>
            </w:r>
            <w:proofErr w:type="spellEnd"/>
            <w:r w:rsidRPr="00275FBD">
              <w:rPr>
                <w:rFonts w:ascii="Calibri" w:hAnsi="Calibri"/>
                <w:color w:val="000000"/>
                <w:sz w:val="18"/>
                <w:szCs w:val="18"/>
                <w:lang w:val="sl-SI" w:eastAsia="en-GB"/>
              </w:rPr>
              <w:t xml:space="preserve"> during </w:t>
            </w:r>
            <w:proofErr w:type="spellStart"/>
            <w:r w:rsidRPr="00275FBD">
              <w:rPr>
                <w:rFonts w:ascii="Calibri" w:hAnsi="Calibri"/>
                <w:color w:val="000000"/>
                <w:sz w:val="18"/>
                <w:szCs w:val="18"/>
                <w:lang w:val="sl-SI" w:eastAsia="en-GB"/>
              </w:rPr>
              <w:t>regular</w:t>
            </w:r>
            <w:proofErr w:type="spellEnd"/>
            <w:r w:rsidRPr="00275FBD">
              <w:rPr>
                <w:rFonts w:ascii="Calibri" w:hAnsi="Calibri"/>
                <w:color w:val="000000"/>
                <w:sz w:val="18"/>
                <w:szCs w:val="18"/>
                <w:lang w:val="sl-SI" w:eastAsia="en-GB"/>
              </w:rPr>
              <w:t xml:space="preserve"> training.</w:t>
            </w:r>
          </w:p>
        </w:tc>
        <w:tc>
          <w:tcPr>
            <w:tcW w:w="2694" w:type="dxa"/>
          </w:tcPr>
          <w:p w14:paraId="05B08A9F"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5A1E02C8" w14:textId="77777777" w:rsidTr="00935B67">
        <w:tc>
          <w:tcPr>
            <w:tcW w:w="1384" w:type="dxa"/>
            <w:shd w:val="clear" w:color="auto" w:fill="DBE5F1" w:themeFill="accent1" w:themeFillTint="33"/>
          </w:tcPr>
          <w:p w14:paraId="24D272A1"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4.4-003</w:t>
            </w:r>
          </w:p>
        </w:tc>
        <w:tc>
          <w:tcPr>
            <w:tcW w:w="3827" w:type="dxa"/>
          </w:tcPr>
          <w:p w14:paraId="38845AE3" w14:textId="77777777" w:rsidR="00935B67" w:rsidRPr="00275FBD" w:rsidRDefault="00935B67" w:rsidP="00935B67">
            <w:pPr>
              <w:jc w:val="left"/>
              <w:rPr>
                <w:rFonts w:ascii="Calibri" w:hAnsi="Calibri"/>
                <w:b/>
                <w:bCs/>
                <w:color w:val="000000" w:themeColor="text1"/>
                <w:sz w:val="18"/>
                <w:szCs w:val="18"/>
                <w:lang w:val="sl-SI" w:eastAsia="en-GB"/>
              </w:rPr>
            </w:pPr>
            <w:r w:rsidRPr="00275FBD">
              <w:rPr>
                <w:rFonts w:ascii="Calibri" w:hAnsi="Calibri"/>
                <w:b/>
                <w:bCs/>
                <w:color w:val="000000" w:themeColor="text1"/>
                <w:sz w:val="18"/>
                <w:szCs w:val="18"/>
                <w:lang w:val="sl-SI" w:eastAsia="en-GB"/>
              </w:rPr>
              <w:t xml:space="preserve">Safety </w:t>
            </w:r>
            <w:proofErr w:type="spellStart"/>
            <w:r w:rsidRPr="00275FBD">
              <w:rPr>
                <w:rFonts w:ascii="Calibri" w:hAnsi="Calibri"/>
                <w:b/>
                <w:bCs/>
                <w:color w:val="000000" w:themeColor="text1"/>
                <w:sz w:val="18"/>
                <w:szCs w:val="18"/>
                <w:lang w:val="sl-SI" w:eastAsia="en-GB"/>
              </w:rPr>
              <w:t>culture</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criterion</w:t>
            </w:r>
            <w:proofErr w:type="spellEnd"/>
            <w:r w:rsidRPr="00275FBD">
              <w:rPr>
                <w:rFonts w:ascii="Calibri" w:hAnsi="Calibri"/>
                <w:b/>
                <w:bCs/>
                <w:color w:val="000000" w:themeColor="text1"/>
                <w:sz w:val="18"/>
                <w:szCs w:val="18"/>
                <w:lang w:val="sl-SI" w:eastAsia="en-GB"/>
              </w:rPr>
              <w:t xml:space="preserve"> in </w:t>
            </w:r>
            <w:proofErr w:type="spellStart"/>
            <w:r w:rsidRPr="00275FBD">
              <w:rPr>
                <w:rFonts w:ascii="Calibri" w:hAnsi="Calibri"/>
                <w:b/>
                <w:bCs/>
                <w:color w:val="000000" w:themeColor="text1"/>
                <w:sz w:val="18"/>
                <w:szCs w:val="18"/>
                <w:lang w:val="sl-SI" w:eastAsia="en-GB"/>
              </w:rPr>
              <w:t>employee</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appraisal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Revise</w:t>
            </w:r>
            <w:proofErr w:type="spellEnd"/>
            <w:r w:rsidRPr="00275FBD">
              <w:rPr>
                <w:rFonts w:ascii="Calibri" w:hAnsi="Calibri"/>
                <w:color w:val="000000" w:themeColor="text1"/>
                <w:sz w:val="18"/>
                <w:szCs w:val="18"/>
                <w:lang w:val="sl-SI" w:eastAsia="en-GB"/>
              </w:rPr>
              <w:t xml:space="preserve"> ADP-1.15.002 to </w:t>
            </w:r>
            <w:proofErr w:type="spellStart"/>
            <w:r w:rsidRPr="00275FBD">
              <w:rPr>
                <w:rFonts w:ascii="Calibri" w:hAnsi="Calibri"/>
                <w:color w:val="000000" w:themeColor="text1"/>
                <w:sz w:val="18"/>
                <w:szCs w:val="18"/>
                <w:lang w:val="sl-SI" w:eastAsia="en-GB"/>
              </w:rPr>
              <w:t>include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principles</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safety</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culture</w:t>
            </w:r>
            <w:proofErr w:type="spellEnd"/>
            <w:r w:rsidRPr="00275FBD">
              <w:rPr>
                <w:rFonts w:ascii="Calibri" w:hAnsi="Calibri"/>
                <w:color w:val="000000" w:themeColor="text1"/>
                <w:sz w:val="18"/>
                <w:szCs w:val="18"/>
                <w:lang w:val="sl-SI" w:eastAsia="en-GB"/>
              </w:rPr>
              <w:t xml:space="preserve"> in </w:t>
            </w:r>
            <w:proofErr w:type="spellStart"/>
            <w:r w:rsidRPr="00275FBD">
              <w:rPr>
                <w:rFonts w:ascii="Calibri" w:hAnsi="Calibri"/>
                <w:color w:val="000000" w:themeColor="text1"/>
                <w:sz w:val="18"/>
                <w:szCs w:val="18"/>
                <w:lang w:val="sl-SI" w:eastAsia="en-GB"/>
              </w:rPr>
              <w:t>criteria</w:t>
            </w:r>
            <w:proofErr w:type="spellEnd"/>
            <w:r w:rsidRPr="00275FBD">
              <w:rPr>
                <w:rFonts w:ascii="Calibri" w:hAnsi="Calibri"/>
                <w:color w:val="000000" w:themeColor="text1"/>
                <w:sz w:val="18"/>
                <w:szCs w:val="18"/>
                <w:lang w:val="sl-SI" w:eastAsia="en-GB"/>
              </w:rPr>
              <w:t xml:space="preserve"> for </w:t>
            </w:r>
            <w:proofErr w:type="spellStart"/>
            <w:r w:rsidRPr="00275FBD">
              <w:rPr>
                <w:rFonts w:ascii="Calibri" w:hAnsi="Calibri"/>
                <w:color w:val="000000" w:themeColor="text1"/>
                <w:sz w:val="18"/>
                <w:szCs w:val="18"/>
                <w:lang w:val="sl-SI" w:eastAsia="en-GB"/>
              </w:rPr>
              <w:t>employment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appraisal</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 xml:space="preserve">OSF element: Safety </w:t>
            </w:r>
            <w:proofErr w:type="spellStart"/>
            <w:r w:rsidRPr="00275FBD">
              <w:rPr>
                <w:rFonts w:ascii="Calibri" w:hAnsi="Calibri"/>
                <w:color w:val="000000" w:themeColor="text1"/>
                <w:sz w:val="18"/>
                <w:szCs w:val="18"/>
                <w:lang w:val="sl-SI" w:eastAsia="en-GB"/>
              </w:rPr>
              <w:t>Culture</w:t>
            </w:r>
            <w:proofErr w:type="spellEnd"/>
            <w:r w:rsidRPr="00275FBD">
              <w:rPr>
                <w:rFonts w:ascii="Calibri" w:hAnsi="Calibri"/>
                <w:color w:val="000000" w:themeColor="text1"/>
                <w:sz w:val="18"/>
                <w:szCs w:val="18"/>
                <w:lang w:val="sl-SI" w:eastAsia="en-GB"/>
              </w:rPr>
              <w:br/>
              <w:t xml:space="preserve">NEK: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accepted</w:t>
            </w:r>
            <w:proofErr w:type="spellEnd"/>
            <w:r w:rsidRPr="00275FBD">
              <w:rPr>
                <w:rFonts w:ascii="Calibri" w:hAnsi="Calibri"/>
                <w:color w:val="000000" w:themeColor="text1"/>
                <w:sz w:val="18"/>
                <w:szCs w:val="18"/>
                <w:lang w:val="sl-SI" w:eastAsia="en-GB"/>
              </w:rPr>
              <w:t xml:space="preserve">. The ADP-1.15.002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revised</w:t>
            </w:r>
            <w:proofErr w:type="spellEnd"/>
            <w:r w:rsidRPr="00275FBD">
              <w:rPr>
                <w:rFonts w:ascii="Calibri" w:hAnsi="Calibri"/>
                <w:color w:val="000000" w:themeColor="text1"/>
                <w:sz w:val="18"/>
                <w:szCs w:val="18"/>
                <w:lang w:val="sl-SI" w:eastAsia="en-GB"/>
              </w:rPr>
              <w:t xml:space="preserve"> to </w:t>
            </w:r>
            <w:proofErr w:type="spellStart"/>
            <w:r w:rsidRPr="00275FBD">
              <w:rPr>
                <w:rFonts w:ascii="Calibri" w:hAnsi="Calibri"/>
                <w:color w:val="000000" w:themeColor="text1"/>
                <w:sz w:val="18"/>
                <w:szCs w:val="18"/>
                <w:lang w:val="sl-SI" w:eastAsia="en-GB"/>
              </w:rPr>
              <w:t>include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principles</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safety</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culture</w:t>
            </w:r>
            <w:proofErr w:type="spellEnd"/>
            <w:r w:rsidRPr="00275FBD">
              <w:rPr>
                <w:rFonts w:ascii="Calibri" w:hAnsi="Calibri"/>
                <w:color w:val="000000" w:themeColor="text1"/>
                <w:sz w:val="18"/>
                <w:szCs w:val="18"/>
                <w:lang w:val="sl-SI" w:eastAsia="en-GB"/>
              </w:rPr>
              <w:t xml:space="preserve"> in </w:t>
            </w:r>
            <w:proofErr w:type="spellStart"/>
            <w:r w:rsidRPr="00275FBD">
              <w:rPr>
                <w:rFonts w:ascii="Calibri" w:hAnsi="Calibri"/>
                <w:color w:val="000000" w:themeColor="text1"/>
                <w:sz w:val="18"/>
                <w:szCs w:val="18"/>
                <w:lang w:val="sl-SI" w:eastAsia="en-GB"/>
              </w:rPr>
              <w:t>criteria</w:t>
            </w:r>
            <w:proofErr w:type="spellEnd"/>
            <w:r w:rsidRPr="00275FBD">
              <w:rPr>
                <w:rFonts w:ascii="Calibri" w:hAnsi="Calibri"/>
                <w:color w:val="000000" w:themeColor="text1"/>
                <w:sz w:val="18"/>
                <w:szCs w:val="18"/>
                <w:lang w:val="sl-SI" w:eastAsia="en-GB"/>
              </w:rPr>
              <w:t xml:space="preserve"> for </w:t>
            </w:r>
            <w:proofErr w:type="spellStart"/>
            <w:r w:rsidRPr="00275FBD">
              <w:rPr>
                <w:rFonts w:ascii="Calibri" w:hAnsi="Calibri"/>
                <w:color w:val="000000" w:themeColor="text1"/>
                <w:sz w:val="18"/>
                <w:szCs w:val="18"/>
                <w:lang w:val="sl-SI" w:eastAsia="en-GB"/>
              </w:rPr>
              <w:t>employment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appraisal</w:t>
            </w:r>
            <w:proofErr w:type="spellEnd"/>
          </w:p>
        </w:tc>
        <w:tc>
          <w:tcPr>
            <w:tcW w:w="993" w:type="dxa"/>
          </w:tcPr>
          <w:p w14:paraId="489F8C7B"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3.1.4</w:t>
            </w:r>
          </w:p>
        </w:tc>
        <w:tc>
          <w:tcPr>
            <w:tcW w:w="5244" w:type="dxa"/>
          </w:tcPr>
          <w:p w14:paraId="2BDD389B"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The procedure ADP-1.15.002 PLAČILO ZA DELO </w:t>
            </w:r>
            <w:proofErr w:type="spellStart"/>
            <w:r w:rsidRPr="00275FBD">
              <w:rPr>
                <w:rFonts w:ascii="Calibri" w:hAnsi="Calibri"/>
                <w:color w:val="000000"/>
                <w:sz w:val="18"/>
                <w:szCs w:val="18"/>
                <w:lang w:val="sl-SI" w:eastAsia="en-GB"/>
              </w:rPr>
              <w:t>must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also</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include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principles</w:t>
            </w:r>
            <w:proofErr w:type="spellEnd"/>
            <w:r w:rsidRPr="00275FBD">
              <w:rPr>
                <w:rFonts w:ascii="Calibri" w:hAnsi="Calibri"/>
                <w:color w:val="000000"/>
                <w:sz w:val="18"/>
                <w:szCs w:val="18"/>
                <w:lang w:val="sl-SI" w:eastAsia="en-GB"/>
              </w:rPr>
              <w:t xml:space="preserve"> of </w:t>
            </w:r>
            <w:proofErr w:type="spellStart"/>
            <w:r w:rsidRPr="00275FBD">
              <w:rPr>
                <w:rFonts w:ascii="Calibri" w:hAnsi="Calibri"/>
                <w:color w:val="000000"/>
                <w:sz w:val="18"/>
                <w:szCs w:val="18"/>
                <w:lang w:val="sl-SI" w:eastAsia="en-GB"/>
              </w:rPr>
              <w:t>safety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culture</w:t>
            </w:r>
            <w:proofErr w:type="spellEnd"/>
            <w:r w:rsidRPr="00275FBD">
              <w:rPr>
                <w:rFonts w:ascii="Calibri" w:hAnsi="Calibri"/>
                <w:color w:val="000000"/>
                <w:sz w:val="18"/>
                <w:szCs w:val="18"/>
                <w:lang w:val="sl-SI" w:eastAsia="en-GB"/>
              </w:rPr>
              <w:t xml:space="preserve"> in </w:t>
            </w:r>
            <w:proofErr w:type="spellStart"/>
            <w:r w:rsidRPr="00275FBD">
              <w:rPr>
                <w:rFonts w:ascii="Calibri" w:hAnsi="Calibri"/>
                <w:color w:val="000000"/>
                <w:sz w:val="18"/>
                <w:szCs w:val="18"/>
                <w:lang w:val="sl-SI" w:eastAsia="en-GB"/>
              </w:rPr>
              <w:t>criteria</w:t>
            </w:r>
            <w:proofErr w:type="spellEnd"/>
            <w:r w:rsidRPr="00275FBD">
              <w:rPr>
                <w:rFonts w:ascii="Calibri" w:hAnsi="Calibri"/>
                <w:color w:val="000000"/>
                <w:sz w:val="18"/>
                <w:szCs w:val="18"/>
                <w:lang w:val="sl-SI" w:eastAsia="en-GB"/>
              </w:rPr>
              <w:t xml:space="preserve"> for </w:t>
            </w:r>
            <w:proofErr w:type="spellStart"/>
            <w:r w:rsidRPr="00275FBD">
              <w:rPr>
                <w:rFonts w:ascii="Calibri" w:hAnsi="Calibri"/>
                <w:color w:val="000000"/>
                <w:sz w:val="18"/>
                <w:szCs w:val="18"/>
                <w:lang w:val="sl-SI" w:eastAsia="en-GB"/>
              </w:rPr>
              <w:t>employment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appraisal</w:t>
            </w:r>
            <w:proofErr w:type="spellEnd"/>
            <w:r w:rsidRPr="00275FBD">
              <w:rPr>
                <w:rFonts w:ascii="Calibri" w:hAnsi="Calibri"/>
                <w:color w:val="000000"/>
                <w:sz w:val="18"/>
                <w:szCs w:val="18"/>
                <w:lang w:val="sl-SI" w:eastAsia="en-GB"/>
              </w:rPr>
              <w:t>.</w:t>
            </w:r>
          </w:p>
        </w:tc>
        <w:tc>
          <w:tcPr>
            <w:tcW w:w="2694" w:type="dxa"/>
          </w:tcPr>
          <w:p w14:paraId="60D157B1"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08C65E85" w14:textId="77777777" w:rsidTr="00935B67">
        <w:tc>
          <w:tcPr>
            <w:tcW w:w="1384" w:type="dxa"/>
            <w:shd w:val="clear" w:color="auto" w:fill="FBD4B4" w:themeFill="accent6" w:themeFillTint="66"/>
          </w:tcPr>
          <w:p w14:paraId="4C5D988F"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4.5-002</w:t>
            </w:r>
          </w:p>
        </w:tc>
        <w:tc>
          <w:tcPr>
            <w:tcW w:w="3827" w:type="dxa"/>
          </w:tcPr>
          <w:p w14:paraId="3DB280FD" w14:textId="77777777" w:rsidR="00935B67" w:rsidRPr="00275FBD" w:rsidRDefault="00935B67" w:rsidP="00935B67">
            <w:pPr>
              <w:jc w:val="left"/>
              <w:rPr>
                <w:rFonts w:ascii="Calibri" w:hAnsi="Calibri"/>
                <w:b/>
                <w:bCs/>
                <w:color w:val="000000" w:themeColor="text1"/>
                <w:sz w:val="18"/>
                <w:szCs w:val="18"/>
                <w:lang w:val="sl-SI" w:eastAsia="en-GB"/>
              </w:rPr>
            </w:pPr>
            <w:r w:rsidRPr="00275FBD">
              <w:rPr>
                <w:rFonts w:ascii="Calibri" w:hAnsi="Calibri"/>
                <w:b/>
                <w:bCs/>
                <w:color w:val="000000" w:themeColor="text1"/>
                <w:sz w:val="18"/>
                <w:szCs w:val="18"/>
                <w:lang w:val="sl-SI" w:eastAsia="en-GB"/>
              </w:rPr>
              <w:t xml:space="preserve">Site </w:t>
            </w:r>
            <w:proofErr w:type="spellStart"/>
            <w:r w:rsidRPr="00275FBD">
              <w:rPr>
                <w:rFonts w:ascii="Calibri" w:hAnsi="Calibri"/>
                <w:b/>
                <w:bCs/>
                <w:color w:val="000000" w:themeColor="text1"/>
                <w:sz w:val="18"/>
                <w:szCs w:val="18"/>
                <w:lang w:val="sl-SI" w:eastAsia="en-GB"/>
              </w:rPr>
              <w:t>characteristics</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updating</w:t>
            </w:r>
            <w:proofErr w:type="spellEnd"/>
            <w:r w:rsidRPr="00275FBD">
              <w:rPr>
                <w:rFonts w:ascii="Calibri" w:hAnsi="Calibri"/>
                <w:color w:val="000000" w:themeColor="text1"/>
                <w:sz w:val="18"/>
                <w:szCs w:val="18"/>
                <w:lang w:val="sl-SI" w:eastAsia="en-GB"/>
              </w:rPr>
              <w:t xml:space="preserve">. NEK is not </w:t>
            </w:r>
            <w:proofErr w:type="spellStart"/>
            <w:r w:rsidRPr="00275FBD">
              <w:rPr>
                <w:rFonts w:ascii="Calibri" w:hAnsi="Calibri"/>
                <w:color w:val="000000" w:themeColor="text1"/>
                <w:sz w:val="18"/>
                <w:szCs w:val="18"/>
                <w:lang w:val="sl-SI" w:eastAsia="en-GB"/>
              </w:rPr>
              <w:t>collecting</w:t>
            </w:r>
            <w:proofErr w:type="spellEnd"/>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relevant</w:t>
            </w:r>
            <w:proofErr w:type="spellEnd"/>
            <w:r w:rsidRPr="00275FBD">
              <w:rPr>
                <w:rFonts w:ascii="Calibri" w:hAnsi="Calibri"/>
                <w:color w:val="000000" w:themeColor="text1"/>
                <w:sz w:val="18"/>
                <w:szCs w:val="18"/>
                <w:lang w:val="sl-SI" w:eastAsia="en-GB"/>
              </w:rPr>
              <w:t xml:space="preserve"> site data on a </w:t>
            </w:r>
            <w:proofErr w:type="spellStart"/>
            <w:r w:rsidRPr="00275FBD">
              <w:rPr>
                <w:rFonts w:ascii="Calibri" w:hAnsi="Calibri"/>
                <w:color w:val="000000" w:themeColor="text1"/>
                <w:sz w:val="18"/>
                <w:szCs w:val="18"/>
                <w:lang w:val="sl-SI" w:eastAsia="en-GB"/>
              </w:rPr>
              <w:t>regular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basis</w:t>
            </w:r>
            <w:proofErr w:type="spellEnd"/>
            <w:r w:rsidRPr="00275FBD">
              <w:rPr>
                <w:rFonts w:ascii="Calibri" w:hAnsi="Calibri"/>
                <w:color w:val="000000" w:themeColor="text1"/>
                <w:sz w:val="18"/>
                <w:szCs w:val="18"/>
                <w:lang w:val="sl-SI" w:eastAsia="en-GB"/>
              </w:rPr>
              <w:t xml:space="preserve"> and </w:t>
            </w:r>
            <w:proofErr w:type="spellStart"/>
            <w:r w:rsidRPr="00275FBD">
              <w:rPr>
                <w:rFonts w:ascii="Calibri" w:hAnsi="Calibri"/>
                <w:color w:val="000000" w:themeColor="text1"/>
                <w:sz w:val="18"/>
                <w:szCs w:val="18"/>
                <w:lang w:val="sl-SI" w:eastAsia="en-GB"/>
              </w:rPr>
              <w:t>doesn’t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have</w:t>
            </w:r>
            <w:proofErr w:type="spellEnd"/>
            <w:r w:rsidRPr="00275FBD">
              <w:rPr>
                <w:rFonts w:ascii="Calibri" w:hAnsi="Calibri"/>
                <w:color w:val="000000" w:themeColor="text1"/>
                <w:sz w:val="18"/>
                <w:szCs w:val="18"/>
                <w:lang w:val="sl-SI" w:eastAsia="en-GB"/>
              </w:rPr>
              <w:t xml:space="preserve"> a </w:t>
            </w:r>
            <w:proofErr w:type="spellStart"/>
            <w:r w:rsidRPr="00275FBD">
              <w:rPr>
                <w:rFonts w:ascii="Calibri" w:hAnsi="Calibri"/>
                <w:color w:val="000000" w:themeColor="text1"/>
                <w:sz w:val="18"/>
                <w:szCs w:val="18"/>
                <w:lang w:val="sl-SI" w:eastAsia="en-GB"/>
              </w:rPr>
              <w:t>formalized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process</w:t>
            </w:r>
            <w:proofErr w:type="spellEnd"/>
            <w:r w:rsidRPr="00275FBD">
              <w:rPr>
                <w:rFonts w:ascii="Calibri" w:hAnsi="Calibri"/>
                <w:color w:val="000000" w:themeColor="text1"/>
                <w:sz w:val="18"/>
                <w:szCs w:val="18"/>
                <w:lang w:val="sl-SI" w:eastAsia="en-GB"/>
              </w:rPr>
              <w:t xml:space="preserve"> for the data </w:t>
            </w:r>
            <w:proofErr w:type="spellStart"/>
            <w:r w:rsidRPr="00275FBD">
              <w:rPr>
                <w:rFonts w:ascii="Calibri" w:hAnsi="Calibri"/>
                <w:color w:val="000000" w:themeColor="text1"/>
                <w:sz w:val="18"/>
                <w:szCs w:val="18"/>
                <w:lang w:val="sl-SI" w:eastAsia="en-GB"/>
              </w:rPr>
              <w:t>collection</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OSF element: Operational Quality Assurance Program</w:t>
            </w:r>
            <w:r w:rsidRPr="00275FBD">
              <w:rPr>
                <w:rFonts w:ascii="Calibri" w:hAnsi="Calibri"/>
                <w:color w:val="000000" w:themeColor="text1"/>
                <w:sz w:val="18"/>
                <w:szCs w:val="18"/>
                <w:lang w:val="sl-SI" w:eastAsia="en-GB"/>
              </w:rPr>
              <w:br/>
              <w:t xml:space="preserve">It is </w:t>
            </w:r>
            <w:proofErr w:type="spellStart"/>
            <w:r w:rsidRPr="00275FBD">
              <w:rPr>
                <w:rFonts w:ascii="Calibri" w:hAnsi="Calibri"/>
                <w:color w:val="000000" w:themeColor="text1"/>
                <w:sz w:val="18"/>
                <w:szCs w:val="18"/>
                <w:lang w:val="sl-SI" w:eastAsia="en-GB"/>
              </w:rPr>
              <w:t>considered</w:t>
            </w:r>
            <w:proofErr w:type="spellEnd"/>
            <w:r w:rsidRPr="00275FBD">
              <w:rPr>
                <w:rFonts w:ascii="Calibri" w:hAnsi="Calibri"/>
                <w:color w:val="000000" w:themeColor="text1"/>
                <w:sz w:val="18"/>
                <w:szCs w:val="18"/>
                <w:lang w:val="sl-SI" w:eastAsia="en-GB"/>
              </w:rPr>
              <w:t xml:space="preserve"> that NEK </w:t>
            </w:r>
            <w:proofErr w:type="spellStart"/>
            <w:r w:rsidRPr="00275FBD">
              <w:rPr>
                <w:rFonts w:ascii="Calibri" w:hAnsi="Calibri"/>
                <w:color w:val="000000" w:themeColor="text1"/>
                <w:sz w:val="18"/>
                <w:szCs w:val="18"/>
                <w:lang w:val="sl-SI" w:eastAsia="en-GB"/>
              </w:rPr>
              <w:t>does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collect</w:t>
            </w:r>
            <w:proofErr w:type="spellEnd"/>
            <w:r w:rsidRPr="00275FBD">
              <w:rPr>
                <w:rFonts w:ascii="Calibri" w:hAnsi="Calibri"/>
                <w:color w:val="000000" w:themeColor="text1"/>
                <w:sz w:val="18"/>
                <w:szCs w:val="18"/>
                <w:lang w:val="sl-SI" w:eastAsia="en-GB"/>
              </w:rPr>
              <w:t xml:space="preserve"> / update the </w:t>
            </w:r>
            <w:proofErr w:type="spellStart"/>
            <w:r w:rsidRPr="00275FBD">
              <w:rPr>
                <w:rFonts w:ascii="Calibri" w:hAnsi="Calibri"/>
                <w:color w:val="000000" w:themeColor="text1"/>
                <w:sz w:val="18"/>
                <w:szCs w:val="18"/>
                <w:lang w:val="sl-SI" w:eastAsia="en-GB"/>
              </w:rPr>
              <w:t>relevant</w:t>
            </w:r>
            <w:proofErr w:type="spellEnd"/>
            <w:r w:rsidRPr="00275FBD">
              <w:rPr>
                <w:rFonts w:ascii="Calibri" w:hAnsi="Calibri"/>
                <w:color w:val="000000" w:themeColor="text1"/>
                <w:sz w:val="18"/>
                <w:szCs w:val="18"/>
                <w:lang w:val="sl-SI" w:eastAsia="en-GB"/>
              </w:rPr>
              <w:t xml:space="preserve"> site </w:t>
            </w:r>
            <w:proofErr w:type="spellStart"/>
            <w:r w:rsidRPr="00275FBD">
              <w:rPr>
                <w:rFonts w:ascii="Calibri" w:hAnsi="Calibri"/>
                <w:color w:val="000000" w:themeColor="text1"/>
                <w:sz w:val="18"/>
                <w:szCs w:val="18"/>
                <w:lang w:val="sl-SI" w:eastAsia="en-GB"/>
              </w:rPr>
              <w:t>characteristics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but</w:t>
            </w:r>
            <w:proofErr w:type="spellEnd"/>
            <w:r w:rsidRPr="00275FBD">
              <w:rPr>
                <w:rFonts w:ascii="Calibri" w:hAnsi="Calibri"/>
                <w:color w:val="000000" w:themeColor="text1"/>
                <w:sz w:val="18"/>
                <w:szCs w:val="18"/>
                <w:lang w:val="sl-SI" w:eastAsia="en-GB"/>
              </w:rPr>
              <w:t xml:space="preserve"> not on a </w:t>
            </w:r>
            <w:proofErr w:type="spellStart"/>
            <w:r w:rsidRPr="00275FBD">
              <w:rPr>
                <w:rFonts w:ascii="Calibri" w:hAnsi="Calibri"/>
                <w:color w:val="000000" w:themeColor="text1"/>
                <w:sz w:val="18"/>
                <w:szCs w:val="18"/>
                <w:lang w:val="sl-SI" w:eastAsia="en-GB"/>
              </w:rPr>
              <w:t>regular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basis</w:t>
            </w:r>
            <w:proofErr w:type="spellEnd"/>
            <w:r w:rsidRPr="00275FBD">
              <w:rPr>
                <w:rFonts w:ascii="Calibri" w:hAnsi="Calibri"/>
                <w:color w:val="000000" w:themeColor="text1"/>
                <w:sz w:val="18"/>
                <w:szCs w:val="18"/>
                <w:lang w:val="sl-SI" w:eastAsia="en-GB"/>
              </w:rPr>
              <w:t xml:space="preserve"> and </w:t>
            </w:r>
            <w:proofErr w:type="spellStart"/>
            <w:r w:rsidRPr="00275FBD">
              <w:rPr>
                <w:rFonts w:ascii="Calibri" w:hAnsi="Calibri"/>
                <w:color w:val="000000" w:themeColor="text1"/>
                <w:sz w:val="18"/>
                <w:szCs w:val="18"/>
                <w:lang w:val="sl-SI" w:eastAsia="en-GB"/>
              </w:rPr>
              <w:t>does</w:t>
            </w:r>
            <w:proofErr w:type="spellEnd"/>
            <w:r w:rsidRPr="00275FBD">
              <w:rPr>
                <w:rFonts w:ascii="Calibri" w:hAnsi="Calibri"/>
                <w:color w:val="000000" w:themeColor="text1"/>
                <w:sz w:val="18"/>
                <w:szCs w:val="18"/>
                <w:lang w:val="sl-SI" w:eastAsia="en-GB"/>
              </w:rPr>
              <w:t xml:space="preserve"> not </w:t>
            </w:r>
            <w:proofErr w:type="spellStart"/>
            <w:r w:rsidRPr="00275FBD">
              <w:rPr>
                <w:rFonts w:ascii="Calibri" w:hAnsi="Calibri"/>
                <w:color w:val="000000" w:themeColor="text1"/>
                <w:sz w:val="18"/>
                <w:szCs w:val="18"/>
                <w:lang w:val="sl-SI" w:eastAsia="en-GB"/>
              </w:rPr>
              <w:t>have</w:t>
            </w:r>
            <w:proofErr w:type="spellEnd"/>
            <w:r w:rsidRPr="00275FBD">
              <w:rPr>
                <w:rFonts w:ascii="Calibri" w:hAnsi="Calibri"/>
                <w:color w:val="000000" w:themeColor="text1"/>
                <w:sz w:val="18"/>
                <w:szCs w:val="18"/>
                <w:lang w:val="sl-SI" w:eastAsia="en-GB"/>
              </w:rPr>
              <w:t xml:space="preserve"> a </w:t>
            </w:r>
            <w:proofErr w:type="spellStart"/>
            <w:r w:rsidRPr="00275FBD">
              <w:rPr>
                <w:rFonts w:ascii="Calibri" w:hAnsi="Calibri"/>
                <w:color w:val="000000" w:themeColor="text1"/>
                <w:sz w:val="18"/>
                <w:szCs w:val="18"/>
                <w:lang w:val="sl-SI" w:eastAsia="en-GB"/>
              </w:rPr>
              <w:t>standardized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process</w:t>
            </w:r>
            <w:proofErr w:type="spellEnd"/>
            <w:r w:rsidRPr="00275FBD">
              <w:rPr>
                <w:rFonts w:ascii="Calibri" w:hAnsi="Calibri"/>
                <w:color w:val="000000" w:themeColor="text1"/>
                <w:sz w:val="18"/>
                <w:szCs w:val="18"/>
                <w:lang w:val="sl-SI" w:eastAsia="en-GB"/>
              </w:rPr>
              <w:t xml:space="preserve"> with defined update </w:t>
            </w:r>
            <w:proofErr w:type="spellStart"/>
            <w:r w:rsidRPr="00275FBD">
              <w:rPr>
                <w:rFonts w:ascii="Calibri" w:hAnsi="Calibri"/>
                <w:color w:val="000000" w:themeColor="text1"/>
                <w:sz w:val="18"/>
                <w:szCs w:val="18"/>
                <w:lang w:val="sl-SI" w:eastAsia="en-GB"/>
              </w:rPr>
              <w:t>frequency</w:t>
            </w:r>
            <w:proofErr w:type="spellEnd"/>
            <w:r w:rsidRPr="00275FBD">
              <w:rPr>
                <w:rFonts w:ascii="Calibri" w:hAnsi="Calibri"/>
                <w:color w:val="000000" w:themeColor="text1"/>
                <w:sz w:val="18"/>
                <w:szCs w:val="18"/>
                <w:lang w:val="sl-SI" w:eastAsia="en-GB"/>
              </w:rPr>
              <w:t xml:space="preserve"> for the </w:t>
            </w:r>
            <w:proofErr w:type="spellStart"/>
            <w:r w:rsidRPr="00275FBD">
              <w:rPr>
                <w:rFonts w:ascii="Calibri" w:hAnsi="Calibri"/>
                <w:color w:val="000000" w:themeColor="text1"/>
                <w:sz w:val="18"/>
                <w:szCs w:val="18"/>
                <w:lang w:val="sl-SI" w:eastAsia="en-GB"/>
              </w:rPr>
              <w:t>relevant</w:t>
            </w:r>
            <w:proofErr w:type="spellEnd"/>
            <w:r w:rsidRPr="00275FBD">
              <w:rPr>
                <w:rFonts w:ascii="Calibri" w:hAnsi="Calibri"/>
                <w:color w:val="000000" w:themeColor="text1"/>
                <w:sz w:val="18"/>
                <w:szCs w:val="18"/>
                <w:lang w:val="sl-SI" w:eastAsia="en-GB"/>
              </w:rPr>
              <w:t xml:space="preserve"> data. </w:t>
            </w:r>
            <w:proofErr w:type="spellStart"/>
            <w:r w:rsidRPr="00275FBD">
              <w:rPr>
                <w:rFonts w:ascii="Calibri" w:hAnsi="Calibri"/>
                <w:color w:val="000000" w:themeColor="text1"/>
                <w:sz w:val="18"/>
                <w:szCs w:val="18"/>
                <w:lang w:val="sl-SI" w:eastAsia="en-GB"/>
              </w:rPr>
              <w:t>This</w:t>
            </w:r>
            <w:proofErr w:type="spellEnd"/>
            <w:r w:rsidRPr="00275FBD">
              <w:rPr>
                <w:rFonts w:ascii="Calibri" w:hAnsi="Calibri"/>
                <w:color w:val="000000" w:themeColor="text1"/>
                <w:sz w:val="18"/>
                <w:szCs w:val="18"/>
                <w:lang w:val="sl-SI" w:eastAsia="en-GB"/>
              </w:rPr>
              <w:t xml:space="preserve"> is </w:t>
            </w:r>
            <w:proofErr w:type="spellStart"/>
            <w:r w:rsidRPr="00275FBD">
              <w:rPr>
                <w:rFonts w:ascii="Calibri" w:hAnsi="Calibri"/>
                <w:color w:val="000000" w:themeColor="text1"/>
                <w:sz w:val="18"/>
                <w:szCs w:val="18"/>
                <w:lang w:val="sl-SI" w:eastAsia="en-GB"/>
              </w:rPr>
              <w:t>why</w:t>
            </w:r>
            <w:proofErr w:type="spellEnd"/>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was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classified</w:t>
            </w:r>
            <w:proofErr w:type="spellEnd"/>
            <w:r w:rsidRPr="00275FBD">
              <w:rPr>
                <w:rFonts w:ascii="Calibri" w:hAnsi="Calibri"/>
                <w:color w:val="000000" w:themeColor="text1"/>
                <w:sz w:val="18"/>
                <w:szCs w:val="18"/>
                <w:lang w:val="sl-SI" w:eastAsia="en-GB"/>
              </w:rPr>
              <w:t xml:space="preserve"> as SF and not DL / RE.</w:t>
            </w:r>
          </w:p>
        </w:tc>
        <w:tc>
          <w:tcPr>
            <w:tcW w:w="993" w:type="dxa"/>
          </w:tcPr>
          <w:p w14:paraId="040B37FD"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3.3.3</w:t>
            </w:r>
          </w:p>
        </w:tc>
        <w:tc>
          <w:tcPr>
            <w:tcW w:w="5244" w:type="dxa"/>
          </w:tcPr>
          <w:p w14:paraId="3D6FA2BA"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Program/procedure </w:t>
            </w:r>
            <w:proofErr w:type="spellStart"/>
            <w:r w:rsidRPr="00275FBD">
              <w:rPr>
                <w:rFonts w:ascii="Calibri" w:hAnsi="Calibri"/>
                <w:color w:val="000000"/>
                <w:sz w:val="18"/>
                <w:szCs w:val="18"/>
                <w:lang w:val="sl-SI" w:eastAsia="en-GB"/>
              </w:rPr>
              <w:t>needs</w:t>
            </w:r>
            <w:proofErr w:type="spellEnd"/>
            <w:r w:rsidRPr="00275FBD">
              <w:rPr>
                <w:rFonts w:ascii="Calibri" w:hAnsi="Calibri"/>
                <w:color w:val="000000"/>
                <w:sz w:val="18"/>
                <w:szCs w:val="18"/>
                <w:lang w:val="sl-SI" w:eastAsia="en-GB"/>
              </w:rPr>
              <w:t xml:space="preserve"> to be </w:t>
            </w:r>
            <w:proofErr w:type="spellStart"/>
            <w:r w:rsidRPr="00275FBD">
              <w:rPr>
                <w:rFonts w:ascii="Calibri" w:hAnsi="Calibri"/>
                <w:color w:val="000000"/>
                <w:sz w:val="18"/>
                <w:szCs w:val="18"/>
                <w:lang w:val="sl-SI" w:eastAsia="en-GB"/>
              </w:rPr>
              <w:t>developed</w:t>
            </w:r>
            <w:proofErr w:type="spellEnd"/>
            <w:r w:rsidRPr="00275FBD">
              <w:rPr>
                <w:rFonts w:ascii="Calibri" w:hAnsi="Calibri"/>
                <w:color w:val="000000"/>
                <w:sz w:val="18"/>
                <w:szCs w:val="18"/>
                <w:lang w:val="sl-SI" w:eastAsia="en-GB"/>
              </w:rPr>
              <w:t xml:space="preserve"> or </w:t>
            </w:r>
            <w:proofErr w:type="spellStart"/>
            <w:r w:rsidRPr="00275FBD">
              <w:rPr>
                <w:rFonts w:ascii="Calibri" w:hAnsi="Calibri"/>
                <w:color w:val="000000"/>
                <w:sz w:val="18"/>
                <w:szCs w:val="18"/>
                <w:lang w:val="sl-SI" w:eastAsia="en-GB"/>
              </w:rPr>
              <w:t>description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added</w:t>
            </w:r>
            <w:proofErr w:type="spellEnd"/>
            <w:r w:rsidRPr="00275FBD">
              <w:rPr>
                <w:rFonts w:ascii="Calibri" w:hAnsi="Calibri"/>
                <w:color w:val="000000"/>
                <w:sz w:val="18"/>
                <w:szCs w:val="18"/>
                <w:lang w:val="sl-SI" w:eastAsia="en-GB"/>
              </w:rPr>
              <w:t xml:space="preserve"> to some </w:t>
            </w:r>
            <w:proofErr w:type="spellStart"/>
            <w:r w:rsidRPr="00275FBD">
              <w:rPr>
                <w:rFonts w:ascii="Calibri" w:hAnsi="Calibri"/>
                <w:color w:val="000000"/>
                <w:sz w:val="18"/>
                <w:szCs w:val="18"/>
                <w:lang w:val="sl-SI" w:eastAsia="en-GB"/>
              </w:rPr>
              <w:t>existing</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document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about</w:t>
            </w:r>
            <w:proofErr w:type="spellEnd"/>
            <w:r w:rsidRPr="00275FBD">
              <w:rPr>
                <w:rFonts w:ascii="Calibri" w:hAnsi="Calibri"/>
                <w:color w:val="000000"/>
                <w:sz w:val="18"/>
                <w:szCs w:val="18"/>
                <w:lang w:val="sl-SI" w:eastAsia="en-GB"/>
              </w:rPr>
              <w:t xml:space="preserve"> site </w:t>
            </w:r>
            <w:proofErr w:type="spellStart"/>
            <w:r w:rsidRPr="00275FBD">
              <w:rPr>
                <w:rFonts w:ascii="Calibri" w:hAnsi="Calibri"/>
                <w:color w:val="000000"/>
                <w:sz w:val="18"/>
                <w:szCs w:val="18"/>
                <w:lang w:val="sl-SI" w:eastAsia="en-GB"/>
              </w:rPr>
              <w:t>characteristic</w:t>
            </w:r>
            <w:proofErr w:type="spellEnd"/>
            <w:r w:rsidRPr="00275FBD">
              <w:rPr>
                <w:rFonts w:ascii="Calibri" w:hAnsi="Calibri"/>
                <w:color w:val="000000"/>
                <w:sz w:val="18"/>
                <w:szCs w:val="18"/>
                <w:lang w:val="sl-SI" w:eastAsia="en-GB"/>
              </w:rPr>
              <w:t xml:space="preserve"> data, </w:t>
            </w:r>
            <w:proofErr w:type="spellStart"/>
            <w:r w:rsidRPr="00275FBD">
              <w:rPr>
                <w:rFonts w:ascii="Calibri" w:hAnsi="Calibri"/>
                <w:color w:val="000000"/>
                <w:sz w:val="18"/>
                <w:szCs w:val="18"/>
                <w:lang w:val="sl-SI" w:eastAsia="en-GB"/>
              </w:rPr>
              <w:t>which</w:t>
            </w:r>
            <w:proofErr w:type="spellEnd"/>
            <w:r w:rsidRPr="00275FBD">
              <w:rPr>
                <w:rFonts w:ascii="Calibri" w:hAnsi="Calibri"/>
                <w:color w:val="000000"/>
                <w:sz w:val="18"/>
                <w:szCs w:val="18"/>
                <w:lang w:val="sl-SI" w:eastAsia="en-GB"/>
              </w:rPr>
              <w:t xml:space="preserve"> NEK </w:t>
            </w:r>
            <w:proofErr w:type="spellStart"/>
            <w:r w:rsidRPr="00275FBD">
              <w:rPr>
                <w:rFonts w:ascii="Calibri" w:hAnsi="Calibri"/>
                <w:color w:val="000000"/>
                <w:sz w:val="18"/>
                <w:szCs w:val="18"/>
                <w:lang w:val="sl-SI" w:eastAsia="en-GB"/>
              </w:rPr>
              <w:t>collects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systematically</w:t>
            </w:r>
            <w:proofErr w:type="spellEnd"/>
            <w:r w:rsidRPr="00275FBD">
              <w:rPr>
                <w:rFonts w:ascii="Calibri" w:hAnsi="Calibri"/>
                <w:color w:val="000000"/>
                <w:sz w:val="18"/>
                <w:szCs w:val="18"/>
                <w:lang w:val="sl-SI" w:eastAsia="en-GB"/>
              </w:rPr>
              <w:t xml:space="preserve">. In the </w:t>
            </w:r>
            <w:proofErr w:type="spellStart"/>
            <w:r w:rsidRPr="00275FBD">
              <w:rPr>
                <w:rFonts w:ascii="Calibri" w:hAnsi="Calibri"/>
                <w:color w:val="000000"/>
                <w:sz w:val="18"/>
                <w:szCs w:val="18"/>
                <w:lang w:val="sl-SI" w:eastAsia="en-GB"/>
              </w:rPr>
              <w:t>document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must</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specified</w:t>
            </w:r>
            <w:proofErr w:type="spellEnd"/>
            <w:r w:rsidRPr="00275FBD">
              <w:rPr>
                <w:rFonts w:ascii="Calibri" w:hAnsi="Calibri"/>
                <w:color w:val="000000"/>
                <w:sz w:val="18"/>
                <w:szCs w:val="18"/>
                <w:lang w:val="sl-SI" w:eastAsia="en-GB"/>
              </w:rPr>
              <w:t xml:space="preserve"> the </w:t>
            </w:r>
            <w:proofErr w:type="spellStart"/>
            <w:r w:rsidRPr="00275FBD">
              <w:rPr>
                <w:rFonts w:ascii="Calibri" w:hAnsi="Calibri"/>
                <w:color w:val="000000"/>
                <w:sz w:val="18"/>
                <w:szCs w:val="18"/>
                <w:lang w:val="sl-SI" w:eastAsia="en-GB"/>
              </w:rPr>
              <w:t>frequency</w:t>
            </w:r>
            <w:proofErr w:type="spellEnd"/>
            <w:r w:rsidRPr="00275FBD">
              <w:rPr>
                <w:rFonts w:ascii="Calibri" w:hAnsi="Calibri"/>
                <w:color w:val="000000"/>
                <w:sz w:val="18"/>
                <w:szCs w:val="18"/>
                <w:lang w:val="sl-SI" w:eastAsia="en-GB"/>
              </w:rPr>
              <w:t xml:space="preserve"> and the </w:t>
            </w:r>
            <w:proofErr w:type="spellStart"/>
            <w:r w:rsidRPr="00275FBD">
              <w:rPr>
                <w:rFonts w:ascii="Calibri" w:hAnsi="Calibri"/>
                <w:color w:val="000000"/>
                <w:sz w:val="18"/>
                <w:szCs w:val="18"/>
                <w:lang w:val="sl-SI" w:eastAsia="en-GB"/>
              </w:rPr>
              <w:t>responsibility</w:t>
            </w:r>
            <w:proofErr w:type="spellEnd"/>
            <w:r w:rsidRPr="00275FBD">
              <w:rPr>
                <w:rFonts w:ascii="Calibri" w:hAnsi="Calibri"/>
                <w:color w:val="000000"/>
                <w:sz w:val="18"/>
                <w:szCs w:val="18"/>
                <w:lang w:val="sl-SI" w:eastAsia="en-GB"/>
              </w:rPr>
              <w:t xml:space="preserve"> of </w:t>
            </w:r>
            <w:proofErr w:type="spellStart"/>
            <w:r w:rsidRPr="00275FBD">
              <w:rPr>
                <w:rFonts w:ascii="Calibri" w:hAnsi="Calibri"/>
                <w:color w:val="000000"/>
                <w:sz w:val="18"/>
                <w:szCs w:val="18"/>
                <w:lang w:val="sl-SI" w:eastAsia="en-GB"/>
              </w:rPr>
              <w:t>collected</w:t>
            </w:r>
            <w:proofErr w:type="spellEnd"/>
            <w:r w:rsidRPr="00275FBD">
              <w:rPr>
                <w:rFonts w:ascii="Calibri" w:hAnsi="Calibri"/>
                <w:color w:val="000000"/>
                <w:sz w:val="18"/>
                <w:szCs w:val="18"/>
                <w:lang w:val="sl-SI" w:eastAsia="en-GB"/>
              </w:rPr>
              <w:t xml:space="preserve"> site </w:t>
            </w:r>
            <w:proofErr w:type="spellStart"/>
            <w:r w:rsidRPr="00275FBD">
              <w:rPr>
                <w:rFonts w:ascii="Calibri" w:hAnsi="Calibri"/>
                <w:color w:val="000000"/>
                <w:sz w:val="18"/>
                <w:szCs w:val="18"/>
                <w:lang w:val="sl-SI" w:eastAsia="en-GB"/>
              </w:rPr>
              <w:t>characteristic</w:t>
            </w:r>
            <w:proofErr w:type="spellEnd"/>
            <w:r w:rsidRPr="00275FBD">
              <w:rPr>
                <w:rFonts w:ascii="Calibri" w:hAnsi="Calibri"/>
                <w:color w:val="000000"/>
                <w:sz w:val="18"/>
                <w:szCs w:val="18"/>
                <w:lang w:val="sl-SI" w:eastAsia="en-GB"/>
              </w:rPr>
              <w:t xml:space="preserve"> data.</w:t>
            </w:r>
          </w:p>
        </w:tc>
        <w:tc>
          <w:tcPr>
            <w:tcW w:w="2694" w:type="dxa"/>
          </w:tcPr>
          <w:p w14:paraId="7EC28DC9"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1BB245B2" w14:textId="77777777" w:rsidTr="00935B67">
        <w:tc>
          <w:tcPr>
            <w:tcW w:w="1384" w:type="dxa"/>
            <w:shd w:val="clear" w:color="auto" w:fill="FBD4B4" w:themeFill="accent6" w:themeFillTint="66"/>
          </w:tcPr>
          <w:p w14:paraId="3D24C997"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4.5-004</w:t>
            </w:r>
          </w:p>
        </w:tc>
        <w:tc>
          <w:tcPr>
            <w:tcW w:w="3827" w:type="dxa"/>
          </w:tcPr>
          <w:p w14:paraId="47568550" w14:textId="77777777" w:rsidR="00935B67" w:rsidRPr="00275FBD" w:rsidRDefault="00935B67" w:rsidP="00935B67">
            <w:pPr>
              <w:jc w:val="left"/>
              <w:rPr>
                <w:rFonts w:ascii="Calibri" w:hAnsi="Calibri"/>
                <w:b/>
                <w:bCs/>
                <w:color w:val="000000" w:themeColor="text1"/>
                <w:sz w:val="18"/>
                <w:szCs w:val="18"/>
                <w:lang w:val="sl-SI" w:eastAsia="en-GB"/>
              </w:rPr>
            </w:pPr>
            <w:proofErr w:type="spellStart"/>
            <w:r w:rsidRPr="00275FBD">
              <w:rPr>
                <w:rFonts w:ascii="Calibri" w:hAnsi="Calibri"/>
                <w:b/>
                <w:bCs/>
                <w:color w:val="000000" w:themeColor="text1"/>
                <w:sz w:val="18"/>
                <w:szCs w:val="18"/>
                <w:lang w:val="sl-SI" w:eastAsia="en-GB"/>
              </w:rPr>
              <w:t>References</w:t>
            </w:r>
            <w:proofErr w:type="spellEnd"/>
            <w:r w:rsidRPr="00275FBD">
              <w:rPr>
                <w:rFonts w:ascii="Calibri" w:hAnsi="Calibri"/>
                <w:b/>
                <w:bCs/>
                <w:color w:val="000000" w:themeColor="text1"/>
                <w:sz w:val="18"/>
                <w:szCs w:val="18"/>
                <w:lang w:val="sl-SI" w:eastAsia="en-GB"/>
              </w:rPr>
              <w:t xml:space="preserve"> in Emergency preparedness program (ED-6)</w:t>
            </w:r>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examination</w:t>
            </w:r>
            <w:proofErr w:type="spellEnd"/>
            <w:r w:rsidRPr="00275FBD">
              <w:rPr>
                <w:rFonts w:ascii="Calibri" w:hAnsi="Calibri"/>
                <w:color w:val="000000" w:themeColor="text1"/>
                <w:sz w:val="18"/>
                <w:szCs w:val="18"/>
                <w:lang w:val="sl-SI" w:eastAsia="en-GB"/>
              </w:rPr>
              <w:t xml:space="preserve"> of the Emergency preparedness program (ED-6) </w:t>
            </w:r>
            <w:proofErr w:type="spellStart"/>
            <w:r w:rsidRPr="00275FBD">
              <w:rPr>
                <w:rFonts w:ascii="Calibri" w:hAnsi="Calibri"/>
                <w:color w:val="000000" w:themeColor="text1"/>
                <w:sz w:val="18"/>
                <w:szCs w:val="18"/>
                <w:lang w:val="sl-SI" w:eastAsia="en-GB"/>
              </w:rPr>
              <w:t>pointed</w:t>
            </w:r>
            <w:proofErr w:type="spellEnd"/>
            <w:r w:rsidRPr="00275FBD">
              <w:rPr>
                <w:rFonts w:ascii="Calibri" w:hAnsi="Calibri"/>
                <w:color w:val="000000" w:themeColor="text1"/>
                <w:sz w:val="18"/>
                <w:szCs w:val="18"/>
                <w:lang w:val="sl-SI" w:eastAsia="en-GB"/>
              </w:rPr>
              <w:t xml:space="preserve"> to a </w:t>
            </w:r>
            <w:proofErr w:type="spellStart"/>
            <w:r w:rsidRPr="00275FBD">
              <w:rPr>
                <w:rFonts w:ascii="Calibri" w:hAnsi="Calibri"/>
                <w:color w:val="000000" w:themeColor="text1"/>
                <w:sz w:val="18"/>
                <w:szCs w:val="18"/>
                <w:lang w:val="sl-SI" w:eastAsia="en-GB"/>
              </w:rPr>
              <w:t>number</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outdated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references</w:t>
            </w:r>
            <w:proofErr w:type="spellEnd"/>
            <w:r w:rsidRPr="00275FBD">
              <w:rPr>
                <w:rFonts w:ascii="Calibri" w:hAnsi="Calibri"/>
                <w:color w:val="000000" w:themeColor="text1"/>
                <w:sz w:val="18"/>
                <w:szCs w:val="18"/>
                <w:lang w:val="sl-SI" w:eastAsia="en-GB"/>
              </w:rPr>
              <w:t xml:space="preserve"> in </w:t>
            </w:r>
            <w:r w:rsidRPr="00275FBD">
              <w:rPr>
                <w:rFonts w:ascii="Calibri" w:hAnsi="Calibri"/>
                <w:color w:val="000000" w:themeColor="text1"/>
                <w:sz w:val="18"/>
                <w:szCs w:val="18"/>
                <w:lang w:val="sl-SI" w:eastAsia="en-GB"/>
              </w:rPr>
              <w:lastRenderedPageBreak/>
              <w:t>the reference list.</w:t>
            </w:r>
            <w:r w:rsidRPr="00275FBD">
              <w:rPr>
                <w:rFonts w:ascii="Calibri" w:hAnsi="Calibri"/>
                <w:color w:val="000000" w:themeColor="text1"/>
                <w:sz w:val="18"/>
                <w:szCs w:val="18"/>
                <w:lang w:val="sl-SI" w:eastAsia="en-GB"/>
              </w:rPr>
              <w:br/>
              <w:t>OSF element: Operational Quality Assurance Program</w:t>
            </w:r>
            <w:r w:rsidRPr="00275FBD">
              <w:rPr>
                <w:rFonts w:ascii="Calibri" w:hAnsi="Calibri"/>
                <w:color w:val="000000" w:themeColor="text1"/>
                <w:sz w:val="18"/>
                <w:szCs w:val="18"/>
                <w:lang w:val="sl-SI" w:eastAsia="en-GB"/>
              </w:rPr>
              <w:br/>
              <w:t xml:space="preserve">From the </w:t>
            </w:r>
            <w:proofErr w:type="spellStart"/>
            <w:r w:rsidRPr="00275FBD">
              <w:rPr>
                <w:rFonts w:ascii="Calibri" w:hAnsi="Calibri"/>
                <w:color w:val="000000" w:themeColor="text1"/>
                <w:sz w:val="18"/>
                <w:szCs w:val="18"/>
                <w:lang w:val="sl-SI" w:eastAsia="en-GB"/>
              </w:rPr>
              <w:t>description</w:t>
            </w:r>
            <w:proofErr w:type="spellEnd"/>
            <w:r w:rsidRPr="00275FBD">
              <w:rPr>
                <w:rFonts w:ascii="Calibri" w:hAnsi="Calibri"/>
                <w:color w:val="000000" w:themeColor="text1"/>
                <w:sz w:val="18"/>
                <w:szCs w:val="18"/>
                <w:lang w:val="sl-SI" w:eastAsia="en-GB"/>
              </w:rPr>
              <w:t xml:space="preserve"> and </w:t>
            </w:r>
            <w:proofErr w:type="spellStart"/>
            <w:r w:rsidRPr="00275FBD">
              <w:rPr>
                <w:rFonts w:ascii="Calibri" w:hAnsi="Calibri"/>
                <w:color w:val="000000" w:themeColor="text1"/>
                <w:sz w:val="18"/>
                <w:szCs w:val="18"/>
                <w:lang w:val="sl-SI" w:eastAsia="en-GB"/>
              </w:rPr>
              <w:t>discussion</w:t>
            </w:r>
            <w:proofErr w:type="spellEnd"/>
            <w:r w:rsidRPr="00275FBD">
              <w:rPr>
                <w:rFonts w:ascii="Calibri" w:hAnsi="Calibri"/>
                <w:color w:val="000000" w:themeColor="text1"/>
                <w:sz w:val="18"/>
                <w:szCs w:val="18"/>
                <w:lang w:val="sl-SI" w:eastAsia="en-GB"/>
              </w:rPr>
              <w:t xml:space="preserve"> it is </w:t>
            </w:r>
            <w:proofErr w:type="spellStart"/>
            <w:r w:rsidRPr="00275FBD">
              <w:rPr>
                <w:rFonts w:ascii="Calibri" w:hAnsi="Calibri"/>
                <w:color w:val="000000" w:themeColor="text1"/>
                <w:sz w:val="18"/>
                <w:szCs w:val="18"/>
                <w:lang w:val="sl-SI" w:eastAsia="en-GB"/>
              </w:rPr>
              <w:t>understood</w:t>
            </w:r>
            <w:proofErr w:type="spellEnd"/>
            <w:r w:rsidRPr="00275FBD">
              <w:rPr>
                <w:rFonts w:ascii="Calibri" w:hAnsi="Calibri"/>
                <w:color w:val="000000" w:themeColor="text1"/>
                <w:sz w:val="18"/>
                <w:szCs w:val="18"/>
                <w:lang w:val="sl-SI" w:eastAsia="en-GB"/>
              </w:rPr>
              <w:t xml:space="preserve"> that NEK </w:t>
            </w:r>
            <w:proofErr w:type="spellStart"/>
            <w:r w:rsidRPr="00275FBD">
              <w:rPr>
                <w:rFonts w:ascii="Calibri" w:hAnsi="Calibri"/>
                <w:color w:val="000000" w:themeColor="text1"/>
                <w:sz w:val="18"/>
                <w:szCs w:val="18"/>
                <w:lang w:val="sl-SI" w:eastAsia="en-GB"/>
              </w:rPr>
              <w:t>does</w:t>
            </w:r>
            <w:proofErr w:type="spellEnd"/>
            <w:r w:rsidRPr="00275FBD">
              <w:rPr>
                <w:rFonts w:ascii="Calibri" w:hAnsi="Calibri"/>
                <w:color w:val="000000" w:themeColor="text1"/>
                <w:sz w:val="18"/>
                <w:szCs w:val="18"/>
                <w:lang w:val="sl-SI" w:eastAsia="en-GB"/>
              </w:rPr>
              <w:t xml:space="preserve"> follow the </w:t>
            </w:r>
            <w:proofErr w:type="spellStart"/>
            <w:r w:rsidRPr="00275FBD">
              <w:rPr>
                <w:rFonts w:ascii="Calibri" w:hAnsi="Calibri"/>
                <w:color w:val="000000" w:themeColor="text1"/>
                <w:sz w:val="18"/>
                <w:szCs w:val="18"/>
                <w:lang w:val="sl-SI" w:eastAsia="en-GB"/>
              </w:rPr>
              <w:t>changes</w:t>
            </w:r>
            <w:proofErr w:type="spellEnd"/>
            <w:r w:rsidRPr="00275FBD">
              <w:rPr>
                <w:rFonts w:ascii="Calibri" w:hAnsi="Calibri"/>
                <w:color w:val="000000" w:themeColor="text1"/>
                <w:sz w:val="18"/>
                <w:szCs w:val="18"/>
                <w:lang w:val="sl-SI" w:eastAsia="en-GB"/>
              </w:rPr>
              <w:t xml:space="preserve"> in the </w:t>
            </w:r>
            <w:proofErr w:type="spellStart"/>
            <w:r w:rsidRPr="00275FBD">
              <w:rPr>
                <w:rFonts w:ascii="Calibri" w:hAnsi="Calibri"/>
                <w:color w:val="000000" w:themeColor="text1"/>
                <w:sz w:val="18"/>
                <w:szCs w:val="18"/>
                <w:lang w:val="sl-SI" w:eastAsia="en-GB"/>
              </w:rPr>
              <w:t>relevant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references</w:t>
            </w:r>
            <w:proofErr w:type="spellEnd"/>
            <w:r w:rsidRPr="00275FBD">
              <w:rPr>
                <w:rFonts w:ascii="Calibri" w:hAnsi="Calibri"/>
                <w:color w:val="000000" w:themeColor="text1"/>
                <w:sz w:val="18"/>
                <w:szCs w:val="18"/>
                <w:lang w:val="sl-SI" w:eastAsia="en-GB"/>
              </w:rPr>
              <w:t xml:space="preserve"> and update the program. It </w:t>
            </w:r>
            <w:proofErr w:type="spellStart"/>
            <w:r w:rsidRPr="00275FBD">
              <w:rPr>
                <w:rFonts w:ascii="Calibri" w:hAnsi="Calibri"/>
                <w:color w:val="000000" w:themeColor="text1"/>
                <w:sz w:val="18"/>
                <w:szCs w:val="18"/>
                <w:lang w:val="sl-SI" w:eastAsia="en-GB"/>
              </w:rPr>
              <w:t>can</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seen</w:t>
            </w:r>
            <w:proofErr w:type="spellEnd"/>
            <w:r w:rsidRPr="00275FBD">
              <w:rPr>
                <w:rFonts w:ascii="Calibri" w:hAnsi="Calibri"/>
                <w:color w:val="000000" w:themeColor="text1"/>
                <w:sz w:val="18"/>
                <w:szCs w:val="18"/>
                <w:lang w:val="sl-SI" w:eastAsia="en-GB"/>
              </w:rPr>
              <w:t xml:space="preserve"> that most of the </w:t>
            </w:r>
            <w:proofErr w:type="spellStart"/>
            <w:r w:rsidRPr="00275FBD">
              <w:rPr>
                <w:rFonts w:ascii="Calibri" w:hAnsi="Calibri"/>
                <w:color w:val="000000" w:themeColor="text1"/>
                <w:sz w:val="18"/>
                <w:szCs w:val="18"/>
                <w:lang w:val="sl-SI" w:eastAsia="en-GB"/>
              </w:rPr>
              <w:t>mentioned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outdated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references</w:t>
            </w:r>
            <w:proofErr w:type="spellEnd"/>
            <w:r w:rsidRPr="00275FBD">
              <w:rPr>
                <w:rFonts w:ascii="Calibri" w:hAnsi="Calibri"/>
                <w:color w:val="000000" w:themeColor="text1"/>
                <w:sz w:val="18"/>
                <w:szCs w:val="18"/>
                <w:lang w:val="sl-SI" w:eastAsia="en-GB"/>
              </w:rPr>
              <w:t xml:space="preserve"> are of not so </w:t>
            </w:r>
            <w:proofErr w:type="spellStart"/>
            <w:r w:rsidRPr="00275FBD">
              <w:rPr>
                <w:rFonts w:ascii="Calibri" w:hAnsi="Calibri"/>
                <w:color w:val="000000" w:themeColor="text1"/>
                <w:sz w:val="18"/>
                <w:szCs w:val="18"/>
                <w:lang w:val="sl-SI" w:eastAsia="en-GB"/>
              </w:rPr>
              <w:t>old</w:t>
            </w:r>
            <w:proofErr w:type="spellEnd"/>
            <w:r w:rsidRPr="00275FBD">
              <w:rPr>
                <w:rFonts w:ascii="Calibri" w:hAnsi="Calibri"/>
                <w:color w:val="000000" w:themeColor="text1"/>
                <w:sz w:val="18"/>
                <w:szCs w:val="18"/>
                <w:lang w:val="sl-SI" w:eastAsia="en-GB"/>
              </w:rPr>
              <w:t xml:space="preserve"> date and, </w:t>
            </w:r>
            <w:proofErr w:type="spellStart"/>
            <w:r w:rsidRPr="00275FBD">
              <w:rPr>
                <w:rFonts w:ascii="Calibri" w:hAnsi="Calibri"/>
                <w:color w:val="000000" w:themeColor="text1"/>
                <w:sz w:val="18"/>
                <w:szCs w:val="18"/>
                <w:lang w:val="sl-SI" w:eastAsia="en-GB"/>
              </w:rPr>
              <w:t>likely</w:t>
            </w:r>
            <w:proofErr w:type="spellEnd"/>
            <w:r w:rsidRPr="00275FBD">
              <w:rPr>
                <w:rFonts w:ascii="Calibri" w:hAnsi="Calibri"/>
                <w:color w:val="000000" w:themeColor="text1"/>
                <w:sz w:val="18"/>
                <w:szCs w:val="18"/>
                <w:lang w:val="sl-SI" w:eastAsia="en-GB"/>
              </w:rPr>
              <w:t xml:space="preserve">, it is only a </w:t>
            </w:r>
            <w:proofErr w:type="spellStart"/>
            <w:r w:rsidRPr="00275FBD">
              <w:rPr>
                <w:rFonts w:ascii="Calibri" w:hAnsi="Calibri"/>
                <w:color w:val="000000" w:themeColor="text1"/>
                <w:sz w:val="18"/>
                <w:szCs w:val="18"/>
                <w:lang w:val="sl-SI" w:eastAsia="en-GB"/>
              </w:rPr>
              <w:t>question</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new</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versions</w:t>
            </w:r>
            <w:proofErr w:type="spellEnd"/>
            <w:r w:rsidRPr="00275FBD">
              <w:rPr>
                <w:rFonts w:ascii="Calibri" w:hAnsi="Calibri"/>
                <w:color w:val="000000" w:themeColor="text1"/>
                <w:sz w:val="18"/>
                <w:szCs w:val="18"/>
                <w:lang w:val="sl-SI" w:eastAsia="en-GB"/>
              </w:rPr>
              <w:t xml:space="preserve"> of the </w:t>
            </w:r>
            <w:proofErr w:type="spellStart"/>
            <w:r w:rsidRPr="00275FBD">
              <w:rPr>
                <w:rFonts w:ascii="Calibri" w:hAnsi="Calibri"/>
                <w:color w:val="000000" w:themeColor="text1"/>
                <w:sz w:val="18"/>
                <w:szCs w:val="18"/>
                <w:lang w:val="sl-SI" w:eastAsia="en-GB"/>
              </w:rPr>
              <w:t>references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being</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issued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between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two</w:t>
            </w:r>
            <w:proofErr w:type="spellEnd"/>
            <w:r w:rsidRPr="00275FBD">
              <w:rPr>
                <w:rFonts w:ascii="Calibri" w:hAnsi="Calibri"/>
                <w:color w:val="000000" w:themeColor="text1"/>
                <w:sz w:val="18"/>
                <w:szCs w:val="18"/>
                <w:lang w:val="sl-SI" w:eastAsia="en-GB"/>
              </w:rPr>
              <w:t xml:space="preserve"> program </w:t>
            </w:r>
            <w:proofErr w:type="spellStart"/>
            <w:r w:rsidRPr="00275FBD">
              <w:rPr>
                <w:rFonts w:ascii="Calibri" w:hAnsi="Calibri"/>
                <w:color w:val="000000" w:themeColor="text1"/>
                <w:sz w:val="18"/>
                <w:szCs w:val="18"/>
                <w:lang w:val="sl-SI" w:eastAsia="en-GB"/>
              </w:rPr>
              <w:t>updates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e.g</w:t>
            </w:r>
            <w:proofErr w:type="spellEnd"/>
            <w:r w:rsidRPr="00275FBD">
              <w:rPr>
                <w:rFonts w:ascii="Calibri" w:hAnsi="Calibri"/>
                <w:color w:val="000000" w:themeColor="text1"/>
                <w:sz w:val="18"/>
                <w:szCs w:val="18"/>
                <w:lang w:val="sl-SI" w:eastAsia="en-GB"/>
              </w:rPr>
              <w:t xml:space="preserve">. ZVISJV </w:t>
            </w:r>
            <w:proofErr w:type="spellStart"/>
            <w:r w:rsidRPr="00275FBD">
              <w:rPr>
                <w:rFonts w:ascii="Calibri" w:hAnsi="Calibri"/>
                <w:color w:val="000000" w:themeColor="text1"/>
                <w:sz w:val="18"/>
                <w:szCs w:val="18"/>
                <w:lang w:val="sl-SI" w:eastAsia="en-GB"/>
              </w:rPr>
              <w:t>has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been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revised</w:t>
            </w:r>
            <w:proofErr w:type="spellEnd"/>
            <w:r w:rsidRPr="00275FBD">
              <w:rPr>
                <w:rFonts w:ascii="Calibri" w:hAnsi="Calibri"/>
                <w:color w:val="000000" w:themeColor="text1"/>
                <w:sz w:val="18"/>
                <w:szCs w:val="18"/>
                <w:lang w:val="sl-SI" w:eastAsia="en-GB"/>
              </w:rPr>
              <w:t xml:space="preserve"> in 2019, the </w:t>
            </w:r>
            <w:proofErr w:type="spellStart"/>
            <w:r w:rsidRPr="00275FBD">
              <w:rPr>
                <w:rFonts w:ascii="Calibri" w:hAnsi="Calibri"/>
                <w:color w:val="000000" w:themeColor="text1"/>
                <w:sz w:val="18"/>
                <w:szCs w:val="18"/>
                <w:lang w:val="sl-SI" w:eastAsia="en-GB"/>
              </w:rPr>
              <w:t>other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law</w:t>
            </w:r>
            <w:proofErr w:type="spellEnd"/>
            <w:r w:rsidRPr="00275FBD">
              <w:rPr>
                <w:rFonts w:ascii="Calibri" w:hAnsi="Calibri"/>
                <w:color w:val="000000" w:themeColor="text1"/>
                <w:sz w:val="18"/>
                <w:szCs w:val="18"/>
                <w:lang w:val="sl-SI" w:eastAsia="en-GB"/>
              </w:rPr>
              <w:t xml:space="preserve"> in 2018, NUREG in 2019, IAEA NSG in 2019). </w:t>
            </w:r>
            <w:proofErr w:type="spellStart"/>
            <w:r w:rsidRPr="00275FBD">
              <w:rPr>
                <w:rFonts w:ascii="Calibri" w:hAnsi="Calibri"/>
                <w:color w:val="000000" w:themeColor="text1"/>
                <w:sz w:val="18"/>
                <w:szCs w:val="18"/>
                <w:lang w:val="sl-SI" w:eastAsia="en-GB"/>
              </w:rPr>
              <w:t>Hence</w:t>
            </w:r>
            <w:proofErr w:type="spellEnd"/>
            <w:r w:rsidRPr="00275FBD">
              <w:rPr>
                <w:rFonts w:ascii="Calibri" w:hAnsi="Calibri"/>
                <w:color w:val="000000" w:themeColor="text1"/>
                <w:sz w:val="18"/>
                <w:szCs w:val="18"/>
                <w:lang w:val="sl-SI" w:eastAsia="en-GB"/>
              </w:rPr>
              <w:t xml:space="preserve">, S.N. of 2 is </w:t>
            </w:r>
            <w:proofErr w:type="spellStart"/>
            <w:r w:rsidRPr="00275FBD">
              <w:rPr>
                <w:rFonts w:ascii="Calibri" w:hAnsi="Calibri"/>
                <w:color w:val="000000" w:themeColor="text1"/>
                <w:sz w:val="18"/>
                <w:szCs w:val="18"/>
                <w:lang w:val="sl-SI" w:eastAsia="en-GB"/>
              </w:rPr>
              <w:t>considered</w:t>
            </w:r>
            <w:proofErr w:type="spellEnd"/>
            <w:r w:rsidRPr="00275FBD">
              <w:rPr>
                <w:rFonts w:ascii="Calibri" w:hAnsi="Calibri"/>
                <w:color w:val="000000" w:themeColor="text1"/>
                <w:sz w:val="18"/>
                <w:szCs w:val="18"/>
                <w:lang w:val="sl-SI" w:eastAsia="en-GB"/>
              </w:rPr>
              <w:t xml:space="preserve"> to be </w:t>
            </w:r>
            <w:proofErr w:type="spellStart"/>
            <w:r w:rsidRPr="00275FBD">
              <w:rPr>
                <w:rFonts w:ascii="Calibri" w:hAnsi="Calibri"/>
                <w:color w:val="000000" w:themeColor="text1"/>
                <w:sz w:val="18"/>
                <w:szCs w:val="18"/>
                <w:lang w:val="sl-SI" w:eastAsia="en-GB"/>
              </w:rPr>
              <w:t>reasonable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Also</w:t>
            </w:r>
            <w:proofErr w:type="spellEnd"/>
            <w:r w:rsidRPr="00275FBD">
              <w:rPr>
                <w:rFonts w:ascii="Calibri" w:hAnsi="Calibri"/>
                <w:color w:val="000000" w:themeColor="text1"/>
                <w:sz w:val="18"/>
                <w:szCs w:val="18"/>
                <w:lang w:val="sl-SI" w:eastAsia="en-GB"/>
              </w:rPr>
              <w:t xml:space="preserve">, it is </w:t>
            </w:r>
            <w:proofErr w:type="spellStart"/>
            <w:r w:rsidRPr="00275FBD">
              <w:rPr>
                <w:rFonts w:ascii="Calibri" w:hAnsi="Calibri"/>
                <w:color w:val="000000" w:themeColor="text1"/>
                <w:sz w:val="18"/>
                <w:szCs w:val="18"/>
                <w:lang w:val="sl-SI" w:eastAsia="en-GB"/>
              </w:rPr>
              <w:t>understood</w:t>
            </w:r>
            <w:proofErr w:type="spellEnd"/>
            <w:r w:rsidRPr="00275FBD">
              <w:rPr>
                <w:rFonts w:ascii="Calibri" w:hAnsi="Calibri"/>
                <w:color w:val="000000" w:themeColor="text1"/>
                <w:sz w:val="18"/>
                <w:szCs w:val="18"/>
                <w:lang w:val="sl-SI" w:eastAsia="en-GB"/>
              </w:rPr>
              <w:t xml:space="preserve"> that NEK </w:t>
            </w:r>
            <w:proofErr w:type="spellStart"/>
            <w:r w:rsidRPr="00275FBD">
              <w:rPr>
                <w:rFonts w:ascii="Calibri" w:hAnsi="Calibri"/>
                <w:color w:val="000000" w:themeColor="text1"/>
                <w:sz w:val="18"/>
                <w:szCs w:val="18"/>
                <w:lang w:val="sl-SI" w:eastAsia="en-GB"/>
              </w:rPr>
              <w:t>will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implement</w:t>
            </w:r>
            <w:proofErr w:type="spellEnd"/>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protocol</w:t>
            </w:r>
            <w:proofErr w:type="spellEnd"/>
            <w:r w:rsidRPr="00275FBD">
              <w:rPr>
                <w:rFonts w:ascii="Calibri" w:hAnsi="Calibri"/>
                <w:color w:val="000000" w:themeColor="text1"/>
                <w:sz w:val="18"/>
                <w:szCs w:val="18"/>
                <w:lang w:val="sl-SI" w:eastAsia="en-GB"/>
              </w:rPr>
              <w:t xml:space="preserve"> for </w:t>
            </w:r>
            <w:proofErr w:type="spellStart"/>
            <w:r w:rsidRPr="00275FBD">
              <w:rPr>
                <w:rFonts w:ascii="Calibri" w:hAnsi="Calibri"/>
                <w:color w:val="000000" w:themeColor="text1"/>
                <w:sz w:val="18"/>
                <w:szCs w:val="18"/>
                <w:lang w:val="sl-SI" w:eastAsia="en-GB"/>
              </w:rPr>
              <w:t>recognizing</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new</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relevant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standards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norms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industry</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praxis</w:t>
            </w:r>
            <w:proofErr w:type="spellEnd"/>
            <w:r w:rsidRPr="00275FBD">
              <w:rPr>
                <w:rFonts w:ascii="Calibri" w:hAnsi="Calibri"/>
                <w:color w:val="000000" w:themeColor="text1"/>
                <w:sz w:val="18"/>
                <w:szCs w:val="18"/>
                <w:lang w:val="sl-SI" w:eastAsia="en-GB"/>
              </w:rPr>
              <w:t xml:space="preserve"> and R/D </w:t>
            </w:r>
            <w:proofErr w:type="spellStart"/>
            <w:r w:rsidRPr="00275FBD">
              <w:rPr>
                <w:rFonts w:ascii="Calibri" w:hAnsi="Calibri"/>
                <w:color w:val="000000" w:themeColor="text1"/>
                <w:sz w:val="18"/>
                <w:szCs w:val="18"/>
                <w:lang w:val="sl-SI" w:eastAsia="en-GB"/>
              </w:rPr>
              <w:t>publications</w:t>
            </w:r>
            <w:proofErr w:type="spellEnd"/>
            <w:r w:rsidRPr="00275FBD">
              <w:rPr>
                <w:rFonts w:ascii="Calibri" w:hAnsi="Calibri"/>
                <w:color w:val="000000" w:themeColor="text1"/>
                <w:sz w:val="18"/>
                <w:szCs w:val="18"/>
                <w:lang w:val="sl-SI" w:eastAsia="en-GB"/>
              </w:rPr>
              <w:t>.</w:t>
            </w:r>
          </w:p>
        </w:tc>
        <w:tc>
          <w:tcPr>
            <w:tcW w:w="993" w:type="dxa"/>
          </w:tcPr>
          <w:p w14:paraId="5D4537A3"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lastRenderedPageBreak/>
              <w:t>2.1.3</w:t>
            </w:r>
          </w:p>
        </w:tc>
        <w:tc>
          <w:tcPr>
            <w:tcW w:w="5244" w:type="dxa"/>
          </w:tcPr>
          <w:p w14:paraId="43743F6E"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The reference list </w:t>
            </w:r>
            <w:proofErr w:type="spellStart"/>
            <w:r w:rsidRPr="00275FBD">
              <w:rPr>
                <w:rFonts w:ascii="Calibri" w:hAnsi="Calibri"/>
                <w:color w:val="000000"/>
                <w:sz w:val="18"/>
                <w:szCs w:val="18"/>
                <w:lang w:val="sl-SI" w:eastAsia="en-GB"/>
              </w:rPr>
              <w:t>must</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updated</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additional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relevant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references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must</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added</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included</w:t>
            </w:r>
            <w:proofErr w:type="spellEnd"/>
            <w:r w:rsidRPr="00275FBD">
              <w:rPr>
                <w:rFonts w:ascii="Calibri" w:hAnsi="Calibri"/>
                <w:color w:val="000000"/>
                <w:sz w:val="18"/>
                <w:szCs w:val="18"/>
                <w:lang w:val="sl-SI" w:eastAsia="en-GB"/>
              </w:rPr>
              <w:t xml:space="preserve"> in the </w:t>
            </w:r>
            <w:proofErr w:type="spellStart"/>
            <w:r w:rsidRPr="00275FBD">
              <w:rPr>
                <w:rFonts w:ascii="Calibri" w:hAnsi="Calibri"/>
                <w:color w:val="000000"/>
                <w:sz w:val="18"/>
                <w:szCs w:val="18"/>
                <w:lang w:val="sl-SI" w:eastAsia="en-GB"/>
              </w:rPr>
              <w:t>procedures</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documents</w:t>
            </w:r>
            <w:proofErr w:type="spellEnd"/>
            <w:r w:rsidRPr="00275FBD">
              <w:rPr>
                <w:rFonts w:ascii="Calibri" w:hAnsi="Calibri"/>
                <w:color w:val="000000"/>
                <w:sz w:val="18"/>
                <w:szCs w:val="18"/>
                <w:lang w:val="sl-SI" w:eastAsia="en-GB"/>
              </w:rPr>
              <w:t>.</w:t>
            </w:r>
          </w:p>
        </w:tc>
        <w:tc>
          <w:tcPr>
            <w:tcW w:w="2694" w:type="dxa"/>
          </w:tcPr>
          <w:p w14:paraId="5DB24948"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460EB44E" w14:textId="77777777" w:rsidTr="00935B67">
        <w:tc>
          <w:tcPr>
            <w:tcW w:w="1384" w:type="dxa"/>
            <w:shd w:val="clear" w:color="auto" w:fill="FBD4B4" w:themeFill="accent6" w:themeFillTint="66"/>
          </w:tcPr>
          <w:p w14:paraId="21287EC7"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4.5-005</w:t>
            </w:r>
          </w:p>
        </w:tc>
        <w:tc>
          <w:tcPr>
            <w:tcW w:w="3827" w:type="dxa"/>
          </w:tcPr>
          <w:p w14:paraId="29946C37" w14:textId="77777777" w:rsidR="00935B67" w:rsidRPr="00275FBD" w:rsidRDefault="00935B67" w:rsidP="00935B67">
            <w:pPr>
              <w:jc w:val="left"/>
              <w:rPr>
                <w:rFonts w:ascii="Calibri" w:hAnsi="Calibri"/>
                <w:b/>
                <w:bCs/>
                <w:color w:val="000000" w:themeColor="text1"/>
                <w:sz w:val="18"/>
                <w:szCs w:val="18"/>
                <w:lang w:val="sl-SI" w:eastAsia="en-GB"/>
              </w:rPr>
            </w:pPr>
            <w:r w:rsidRPr="00275FBD">
              <w:rPr>
                <w:rFonts w:ascii="Calibri" w:hAnsi="Calibri"/>
                <w:b/>
                <w:bCs/>
                <w:color w:val="000000" w:themeColor="text1"/>
                <w:sz w:val="18"/>
                <w:szCs w:val="18"/>
                <w:lang w:val="sl-SI" w:eastAsia="en-GB"/>
              </w:rPr>
              <w:t xml:space="preserve">Review of </w:t>
            </w:r>
            <w:proofErr w:type="spellStart"/>
            <w:r w:rsidRPr="00275FBD">
              <w:rPr>
                <w:rFonts w:ascii="Calibri" w:hAnsi="Calibri"/>
                <w:b/>
                <w:bCs/>
                <w:color w:val="000000" w:themeColor="text1"/>
                <w:sz w:val="18"/>
                <w:szCs w:val="18"/>
                <w:lang w:val="sl-SI" w:eastAsia="en-GB"/>
              </w:rPr>
              <w:t>new</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standards</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norms</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industry</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praxis</w:t>
            </w:r>
            <w:proofErr w:type="spellEnd"/>
            <w:r w:rsidRPr="00275FBD">
              <w:rPr>
                <w:rFonts w:ascii="Calibri" w:hAnsi="Calibri"/>
                <w:b/>
                <w:bCs/>
                <w:color w:val="000000" w:themeColor="text1"/>
                <w:sz w:val="18"/>
                <w:szCs w:val="18"/>
                <w:lang w:val="sl-SI" w:eastAsia="en-GB"/>
              </w:rPr>
              <w:t xml:space="preserve"> and R/D </w:t>
            </w:r>
            <w:proofErr w:type="spellStart"/>
            <w:r w:rsidRPr="00275FBD">
              <w:rPr>
                <w:rFonts w:ascii="Calibri" w:hAnsi="Calibri"/>
                <w:b/>
                <w:bCs/>
                <w:color w:val="000000" w:themeColor="text1"/>
                <w:sz w:val="18"/>
                <w:szCs w:val="18"/>
                <w:lang w:val="sl-SI" w:eastAsia="en-GB"/>
              </w:rPr>
              <w:t>experiences</w:t>
            </w:r>
            <w:proofErr w:type="spellEnd"/>
            <w:r w:rsidRPr="00275FBD">
              <w:rPr>
                <w:rFonts w:ascii="Calibri" w:hAnsi="Calibri"/>
                <w:color w:val="000000" w:themeColor="text1"/>
                <w:sz w:val="18"/>
                <w:szCs w:val="18"/>
                <w:lang w:val="sl-SI" w:eastAsia="en-GB"/>
              </w:rPr>
              <w:t xml:space="preserve">. NEK </w:t>
            </w:r>
            <w:proofErr w:type="spellStart"/>
            <w:r w:rsidRPr="00275FBD">
              <w:rPr>
                <w:rFonts w:ascii="Calibri" w:hAnsi="Calibri"/>
                <w:color w:val="000000" w:themeColor="text1"/>
                <w:sz w:val="18"/>
                <w:szCs w:val="18"/>
                <w:lang w:val="sl-SI" w:eastAsia="en-GB"/>
              </w:rPr>
              <w:t>doesn’t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perform</w:t>
            </w:r>
            <w:proofErr w:type="spellEnd"/>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periodic</w:t>
            </w:r>
            <w:proofErr w:type="spellEnd"/>
            <w:r w:rsidRPr="00275FBD">
              <w:rPr>
                <w:rFonts w:ascii="Calibri" w:hAnsi="Calibri"/>
                <w:color w:val="000000" w:themeColor="text1"/>
                <w:sz w:val="18"/>
                <w:szCs w:val="18"/>
                <w:lang w:val="sl-SI" w:eastAsia="en-GB"/>
              </w:rPr>
              <w:t xml:space="preserve"> and </w:t>
            </w:r>
            <w:proofErr w:type="spellStart"/>
            <w:r w:rsidRPr="00275FBD">
              <w:rPr>
                <w:rFonts w:ascii="Calibri" w:hAnsi="Calibri"/>
                <w:color w:val="000000" w:themeColor="text1"/>
                <w:sz w:val="18"/>
                <w:szCs w:val="18"/>
                <w:lang w:val="sl-SI" w:eastAsia="en-GB"/>
              </w:rPr>
              <w:t>systematic</w:t>
            </w:r>
            <w:proofErr w:type="spellEnd"/>
            <w:r w:rsidRPr="00275FBD">
              <w:rPr>
                <w:rFonts w:ascii="Calibri" w:hAnsi="Calibri"/>
                <w:color w:val="000000" w:themeColor="text1"/>
                <w:sz w:val="18"/>
                <w:szCs w:val="18"/>
                <w:lang w:val="sl-SI" w:eastAsia="en-GB"/>
              </w:rPr>
              <w:t xml:space="preserve"> review of </w:t>
            </w:r>
            <w:proofErr w:type="spellStart"/>
            <w:r w:rsidRPr="00275FBD">
              <w:rPr>
                <w:rFonts w:ascii="Calibri" w:hAnsi="Calibri"/>
                <w:color w:val="000000" w:themeColor="text1"/>
                <w:sz w:val="18"/>
                <w:szCs w:val="18"/>
                <w:lang w:val="sl-SI" w:eastAsia="en-GB"/>
              </w:rPr>
              <w:t>new</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standards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norms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industry</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praxis</w:t>
            </w:r>
            <w:proofErr w:type="spellEnd"/>
            <w:r w:rsidRPr="00275FBD">
              <w:rPr>
                <w:rFonts w:ascii="Calibri" w:hAnsi="Calibri"/>
                <w:color w:val="000000" w:themeColor="text1"/>
                <w:sz w:val="18"/>
                <w:szCs w:val="18"/>
                <w:lang w:val="sl-SI" w:eastAsia="en-GB"/>
              </w:rPr>
              <w:t xml:space="preserve"> and </w:t>
            </w:r>
            <w:proofErr w:type="spellStart"/>
            <w:r w:rsidRPr="00275FBD">
              <w:rPr>
                <w:rFonts w:ascii="Calibri" w:hAnsi="Calibri"/>
                <w:color w:val="000000" w:themeColor="text1"/>
                <w:sz w:val="18"/>
                <w:szCs w:val="18"/>
                <w:lang w:val="sl-SI" w:eastAsia="en-GB"/>
              </w:rPr>
              <w:t>research</w:t>
            </w:r>
            <w:proofErr w:type="spellEnd"/>
            <w:r w:rsidRPr="00275FBD">
              <w:rPr>
                <w:rFonts w:ascii="Calibri" w:hAnsi="Calibri"/>
                <w:color w:val="000000" w:themeColor="text1"/>
                <w:sz w:val="18"/>
                <w:szCs w:val="18"/>
                <w:lang w:val="sl-SI" w:eastAsia="en-GB"/>
              </w:rPr>
              <w:t xml:space="preserve"> / </w:t>
            </w:r>
            <w:proofErr w:type="spellStart"/>
            <w:r w:rsidRPr="00275FBD">
              <w:rPr>
                <w:rFonts w:ascii="Calibri" w:hAnsi="Calibri"/>
                <w:color w:val="000000" w:themeColor="text1"/>
                <w:sz w:val="18"/>
                <w:szCs w:val="18"/>
                <w:lang w:val="sl-SI" w:eastAsia="en-GB"/>
              </w:rPr>
              <w:t>development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experiences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This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was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required</w:t>
            </w:r>
            <w:proofErr w:type="spellEnd"/>
            <w:r w:rsidRPr="00275FBD">
              <w:rPr>
                <w:rFonts w:ascii="Calibri" w:hAnsi="Calibri"/>
                <w:color w:val="000000" w:themeColor="text1"/>
                <w:sz w:val="18"/>
                <w:szCs w:val="18"/>
                <w:lang w:val="sl-SI" w:eastAsia="en-GB"/>
              </w:rPr>
              <w:t xml:space="preserve"> in PSR2 and </w:t>
            </w:r>
            <w:proofErr w:type="spellStart"/>
            <w:r w:rsidRPr="00275FBD">
              <w:rPr>
                <w:rFonts w:ascii="Calibri" w:hAnsi="Calibri"/>
                <w:color w:val="000000" w:themeColor="text1"/>
                <w:sz w:val="18"/>
                <w:szCs w:val="18"/>
                <w:lang w:val="sl-SI" w:eastAsia="en-GB"/>
              </w:rPr>
              <w:t>foreseen</w:t>
            </w:r>
            <w:proofErr w:type="spellEnd"/>
            <w:r w:rsidRPr="00275FBD">
              <w:rPr>
                <w:rFonts w:ascii="Calibri" w:hAnsi="Calibri"/>
                <w:color w:val="000000" w:themeColor="text1"/>
                <w:sz w:val="18"/>
                <w:szCs w:val="18"/>
                <w:lang w:val="sl-SI" w:eastAsia="en-GB"/>
              </w:rPr>
              <w:t xml:space="preserve"> in the emergency preparedness program (ED-6).</w:t>
            </w:r>
            <w:r w:rsidRPr="00275FBD">
              <w:rPr>
                <w:rFonts w:ascii="Calibri" w:hAnsi="Calibri"/>
                <w:color w:val="000000" w:themeColor="text1"/>
                <w:sz w:val="18"/>
                <w:szCs w:val="18"/>
                <w:lang w:val="sl-SI" w:eastAsia="en-GB"/>
              </w:rPr>
              <w:br/>
              <w:t>OSF element: Operational Quality Assurance Program</w:t>
            </w:r>
            <w:r w:rsidRPr="00275FBD">
              <w:rPr>
                <w:rFonts w:ascii="Calibri" w:hAnsi="Calibri"/>
                <w:color w:val="000000" w:themeColor="text1"/>
                <w:sz w:val="18"/>
                <w:szCs w:val="18"/>
                <w:lang w:val="sl-SI" w:eastAsia="en-GB"/>
              </w:rPr>
              <w:br/>
              <w:t xml:space="preserve">The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is </w:t>
            </w:r>
            <w:proofErr w:type="spellStart"/>
            <w:r w:rsidRPr="00275FBD">
              <w:rPr>
                <w:rFonts w:ascii="Calibri" w:hAnsi="Calibri"/>
                <w:color w:val="000000" w:themeColor="text1"/>
                <w:sz w:val="18"/>
                <w:szCs w:val="18"/>
                <w:lang w:val="sl-SI" w:eastAsia="en-GB"/>
              </w:rPr>
              <w:t>related</w:t>
            </w:r>
            <w:proofErr w:type="spellEnd"/>
            <w:r w:rsidRPr="00275FBD">
              <w:rPr>
                <w:rFonts w:ascii="Calibri" w:hAnsi="Calibri"/>
                <w:color w:val="000000" w:themeColor="text1"/>
                <w:sz w:val="18"/>
                <w:szCs w:val="18"/>
                <w:lang w:val="sl-SI" w:eastAsia="en-GB"/>
              </w:rPr>
              <w:t xml:space="preserve"> to PSR3 4.5-004, </w:t>
            </w:r>
            <w:proofErr w:type="spellStart"/>
            <w:r w:rsidRPr="00275FBD">
              <w:rPr>
                <w:rFonts w:ascii="Calibri" w:hAnsi="Calibri"/>
                <w:color w:val="000000" w:themeColor="text1"/>
                <w:sz w:val="18"/>
                <w:szCs w:val="18"/>
                <w:lang w:val="sl-SI" w:eastAsia="en-GB"/>
              </w:rPr>
              <w:t>but</w:t>
            </w:r>
            <w:proofErr w:type="spellEnd"/>
            <w:r w:rsidRPr="00275FBD">
              <w:rPr>
                <w:rFonts w:ascii="Calibri" w:hAnsi="Calibri"/>
                <w:color w:val="000000" w:themeColor="text1"/>
                <w:sz w:val="18"/>
                <w:szCs w:val="18"/>
                <w:lang w:val="sl-SI" w:eastAsia="en-GB"/>
              </w:rPr>
              <w:t xml:space="preserve"> it is </w:t>
            </w:r>
            <w:proofErr w:type="spellStart"/>
            <w:r w:rsidRPr="00275FBD">
              <w:rPr>
                <w:rFonts w:ascii="Calibri" w:hAnsi="Calibri"/>
                <w:color w:val="000000" w:themeColor="text1"/>
                <w:sz w:val="18"/>
                <w:szCs w:val="18"/>
                <w:lang w:val="sl-SI" w:eastAsia="en-GB"/>
              </w:rPr>
              <w:t>broader</w:t>
            </w:r>
            <w:proofErr w:type="spellEnd"/>
            <w:r w:rsidRPr="00275FBD">
              <w:rPr>
                <w:rFonts w:ascii="Calibri" w:hAnsi="Calibri"/>
                <w:color w:val="000000" w:themeColor="text1"/>
                <w:sz w:val="18"/>
                <w:szCs w:val="18"/>
                <w:lang w:val="sl-SI" w:eastAsia="en-GB"/>
              </w:rPr>
              <w:t xml:space="preserve"> (not </w:t>
            </w:r>
            <w:proofErr w:type="spellStart"/>
            <w:r w:rsidRPr="00275FBD">
              <w:rPr>
                <w:rFonts w:ascii="Calibri" w:hAnsi="Calibri"/>
                <w:color w:val="000000" w:themeColor="text1"/>
                <w:sz w:val="18"/>
                <w:szCs w:val="18"/>
                <w:lang w:val="sl-SI" w:eastAsia="en-GB"/>
              </w:rPr>
              <w:t>limited</w:t>
            </w:r>
            <w:proofErr w:type="spellEnd"/>
            <w:r w:rsidRPr="00275FBD">
              <w:rPr>
                <w:rFonts w:ascii="Calibri" w:hAnsi="Calibri"/>
                <w:color w:val="000000" w:themeColor="text1"/>
                <w:sz w:val="18"/>
                <w:szCs w:val="18"/>
                <w:lang w:val="sl-SI" w:eastAsia="en-GB"/>
              </w:rPr>
              <w:t xml:space="preserve"> only to ED-6). For </w:t>
            </w:r>
            <w:proofErr w:type="spellStart"/>
            <w:r w:rsidRPr="00275FBD">
              <w:rPr>
                <w:rFonts w:ascii="Calibri" w:hAnsi="Calibri"/>
                <w:color w:val="000000" w:themeColor="text1"/>
                <w:sz w:val="18"/>
                <w:szCs w:val="18"/>
                <w:lang w:val="sl-SI" w:eastAsia="en-GB"/>
              </w:rPr>
              <w:t>this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reason</w:t>
            </w:r>
            <w:proofErr w:type="spellEnd"/>
            <w:r w:rsidRPr="00275FBD">
              <w:rPr>
                <w:rFonts w:ascii="Calibri" w:hAnsi="Calibri"/>
                <w:color w:val="000000" w:themeColor="text1"/>
                <w:sz w:val="18"/>
                <w:szCs w:val="18"/>
                <w:lang w:val="sl-SI" w:eastAsia="en-GB"/>
              </w:rPr>
              <w:t xml:space="preserve"> S.N. is </w:t>
            </w:r>
            <w:proofErr w:type="spellStart"/>
            <w:r w:rsidRPr="00275FBD">
              <w:rPr>
                <w:rFonts w:ascii="Calibri" w:hAnsi="Calibri"/>
                <w:color w:val="000000" w:themeColor="text1"/>
                <w:sz w:val="18"/>
                <w:szCs w:val="18"/>
                <w:lang w:val="sl-SI" w:eastAsia="en-GB"/>
              </w:rPr>
              <w:t>raised</w:t>
            </w:r>
            <w:proofErr w:type="spellEnd"/>
            <w:r w:rsidRPr="00275FBD">
              <w:rPr>
                <w:rFonts w:ascii="Calibri" w:hAnsi="Calibri"/>
                <w:color w:val="000000" w:themeColor="text1"/>
                <w:sz w:val="18"/>
                <w:szCs w:val="18"/>
                <w:lang w:val="sl-SI" w:eastAsia="en-GB"/>
              </w:rPr>
              <w:t xml:space="preserve"> to 3.</w:t>
            </w:r>
          </w:p>
        </w:tc>
        <w:tc>
          <w:tcPr>
            <w:tcW w:w="993" w:type="dxa"/>
          </w:tcPr>
          <w:p w14:paraId="3E083E3E"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3.3.3</w:t>
            </w:r>
          </w:p>
        </w:tc>
        <w:tc>
          <w:tcPr>
            <w:tcW w:w="5244" w:type="dxa"/>
          </w:tcPr>
          <w:p w14:paraId="5D489635"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NEK </w:t>
            </w:r>
            <w:proofErr w:type="spellStart"/>
            <w:r w:rsidRPr="00275FBD">
              <w:rPr>
                <w:rFonts w:ascii="Calibri" w:hAnsi="Calibri"/>
                <w:color w:val="000000"/>
                <w:sz w:val="18"/>
                <w:szCs w:val="18"/>
                <w:lang w:val="sl-SI" w:eastAsia="en-GB"/>
              </w:rPr>
              <w:t>must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develop</w:t>
            </w:r>
            <w:proofErr w:type="spellEnd"/>
            <w:r w:rsidRPr="00275FBD">
              <w:rPr>
                <w:rFonts w:ascii="Calibri" w:hAnsi="Calibri"/>
                <w:color w:val="000000"/>
                <w:sz w:val="18"/>
                <w:szCs w:val="18"/>
                <w:lang w:val="sl-SI" w:eastAsia="en-GB"/>
              </w:rPr>
              <w:t xml:space="preserve"> the procedure to review </w:t>
            </w:r>
            <w:proofErr w:type="spellStart"/>
            <w:r w:rsidRPr="00275FBD">
              <w:rPr>
                <w:rFonts w:ascii="Calibri" w:hAnsi="Calibri"/>
                <w:color w:val="000000"/>
                <w:sz w:val="18"/>
                <w:szCs w:val="18"/>
                <w:lang w:val="sl-SI" w:eastAsia="en-GB"/>
              </w:rPr>
              <w:t>different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standards</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publications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issued</w:t>
            </w:r>
            <w:proofErr w:type="spellEnd"/>
            <w:r w:rsidRPr="00275FBD">
              <w:rPr>
                <w:rFonts w:ascii="Calibri" w:hAnsi="Calibri"/>
                <w:color w:val="000000"/>
                <w:sz w:val="18"/>
                <w:szCs w:val="18"/>
                <w:lang w:val="sl-SI" w:eastAsia="en-GB"/>
              </w:rPr>
              <w:t xml:space="preserve"> by the ICRP, IAEA, NRC, HERCA, WENRA, OECD NEA, ANSI, NEI, WANO and WOG/PWROG as a minimum for </w:t>
            </w:r>
            <w:proofErr w:type="spellStart"/>
            <w:r w:rsidRPr="00275FBD">
              <w:rPr>
                <w:rFonts w:ascii="Calibri" w:hAnsi="Calibri"/>
                <w:color w:val="000000"/>
                <w:sz w:val="18"/>
                <w:szCs w:val="18"/>
                <w:lang w:val="sl-SI" w:eastAsia="en-GB"/>
              </w:rPr>
              <w:t>upgrading</w:t>
            </w:r>
            <w:proofErr w:type="spellEnd"/>
            <w:r w:rsidRPr="00275FBD">
              <w:rPr>
                <w:rFonts w:ascii="Calibri" w:hAnsi="Calibri"/>
                <w:color w:val="000000"/>
                <w:sz w:val="18"/>
                <w:szCs w:val="18"/>
                <w:lang w:val="sl-SI" w:eastAsia="en-GB"/>
              </w:rPr>
              <w:t xml:space="preserve"> the NUID.</w:t>
            </w:r>
          </w:p>
        </w:tc>
        <w:tc>
          <w:tcPr>
            <w:tcW w:w="2694" w:type="dxa"/>
          </w:tcPr>
          <w:p w14:paraId="44B7463F"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4C33E94C" w14:textId="77777777" w:rsidTr="00935B67">
        <w:tc>
          <w:tcPr>
            <w:tcW w:w="1384" w:type="dxa"/>
            <w:shd w:val="clear" w:color="auto" w:fill="FBD4B4" w:themeFill="accent6" w:themeFillTint="66"/>
          </w:tcPr>
          <w:p w14:paraId="3D27F0DF"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4.5-008</w:t>
            </w:r>
          </w:p>
        </w:tc>
        <w:tc>
          <w:tcPr>
            <w:tcW w:w="3827" w:type="dxa"/>
          </w:tcPr>
          <w:p w14:paraId="4050815D" w14:textId="77777777" w:rsidR="00935B67" w:rsidRPr="00275FBD" w:rsidRDefault="00935B67" w:rsidP="00935B67">
            <w:pPr>
              <w:jc w:val="left"/>
              <w:rPr>
                <w:rFonts w:ascii="Calibri" w:hAnsi="Calibri"/>
                <w:b/>
                <w:bCs/>
                <w:color w:val="000000" w:themeColor="text1"/>
                <w:sz w:val="18"/>
                <w:szCs w:val="18"/>
                <w:lang w:val="sl-SI" w:eastAsia="en-GB"/>
              </w:rPr>
            </w:pPr>
            <w:proofErr w:type="spellStart"/>
            <w:r w:rsidRPr="00275FBD">
              <w:rPr>
                <w:rFonts w:ascii="Calibri" w:hAnsi="Calibri"/>
                <w:b/>
                <w:bCs/>
                <w:color w:val="000000" w:themeColor="text1"/>
                <w:sz w:val="18"/>
                <w:szCs w:val="18"/>
                <w:lang w:val="sl-SI" w:eastAsia="en-GB"/>
              </w:rPr>
              <w:t>Concepts</w:t>
            </w:r>
            <w:proofErr w:type="spellEnd"/>
            <w:r w:rsidRPr="00275FBD">
              <w:rPr>
                <w:rFonts w:ascii="Calibri" w:hAnsi="Calibri"/>
                <w:b/>
                <w:bCs/>
                <w:color w:val="000000" w:themeColor="text1"/>
                <w:sz w:val="18"/>
                <w:szCs w:val="18"/>
                <w:lang w:val="sl-SI" w:eastAsia="en-GB"/>
              </w:rPr>
              <w:t xml:space="preserve"> and </w:t>
            </w:r>
            <w:proofErr w:type="spellStart"/>
            <w:r w:rsidRPr="00275FBD">
              <w:rPr>
                <w:rFonts w:ascii="Calibri" w:hAnsi="Calibri"/>
                <w:b/>
                <w:bCs/>
                <w:color w:val="000000" w:themeColor="text1"/>
                <w:sz w:val="18"/>
                <w:szCs w:val="18"/>
                <w:lang w:val="sl-SI" w:eastAsia="en-GB"/>
              </w:rPr>
              <w:t>terminology</w:t>
            </w:r>
            <w:proofErr w:type="spellEnd"/>
            <w:r w:rsidRPr="00275FBD">
              <w:rPr>
                <w:rFonts w:ascii="Calibri" w:hAnsi="Calibri"/>
                <w:b/>
                <w:bCs/>
                <w:color w:val="000000" w:themeColor="text1"/>
                <w:sz w:val="18"/>
                <w:szCs w:val="18"/>
                <w:lang w:val="sl-SI" w:eastAsia="en-GB"/>
              </w:rPr>
              <w:t xml:space="preserve"> in the NZIR</w:t>
            </w:r>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Although</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new</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concepts</w:t>
            </w:r>
            <w:proofErr w:type="spellEnd"/>
            <w:r w:rsidRPr="00275FBD">
              <w:rPr>
                <w:rFonts w:ascii="Calibri" w:hAnsi="Calibri"/>
                <w:color w:val="000000" w:themeColor="text1"/>
                <w:sz w:val="18"/>
                <w:szCs w:val="18"/>
                <w:lang w:val="sl-SI" w:eastAsia="en-GB"/>
              </w:rPr>
              <w:t xml:space="preserve"> and </w:t>
            </w:r>
            <w:proofErr w:type="spellStart"/>
            <w:r w:rsidRPr="00275FBD">
              <w:rPr>
                <w:rFonts w:ascii="Calibri" w:hAnsi="Calibri"/>
                <w:color w:val="000000" w:themeColor="text1"/>
                <w:sz w:val="18"/>
                <w:szCs w:val="18"/>
                <w:lang w:val="sl-SI" w:eastAsia="en-GB"/>
              </w:rPr>
              <w:t>terminology</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introduced</w:t>
            </w:r>
            <w:proofErr w:type="spellEnd"/>
            <w:r w:rsidRPr="00275FBD">
              <w:rPr>
                <w:rFonts w:ascii="Calibri" w:hAnsi="Calibri"/>
                <w:color w:val="000000" w:themeColor="text1"/>
                <w:sz w:val="18"/>
                <w:szCs w:val="18"/>
                <w:lang w:val="sl-SI" w:eastAsia="en-GB"/>
              </w:rPr>
              <w:t xml:space="preserve"> with IAEA GSR Part 7 were </w:t>
            </w:r>
            <w:proofErr w:type="spellStart"/>
            <w:r w:rsidRPr="00275FBD">
              <w:rPr>
                <w:rFonts w:ascii="Calibri" w:hAnsi="Calibri"/>
                <w:color w:val="000000" w:themeColor="text1"/>
                <w:sz w:val="18"/>
                <w:szCs w:val="18"/>
                <w:lang w:val="sl-SI" w:eastAsia="en-GB"/>
              </w:rPr>
              <w:t>introduced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into</w:t>
            </w:r>
            <w:proofErr w:type="spellEnd"/>
            <w:r w:rsidRPr="00275FBD">
              <w:rPr>
                <w:rFonts w:ascii="Calibri" w:hAnsi="Calibri"/>
                <w:color w:val="000000" w:themeColor="text1"/>
                <w:sz w:val="18"/>
                <w:szCs w:val="18"/>
                <w:lang w:val="sl-SI" w:eastAsia="en-GB"/>
              </w:rPr>
              <w:t xml:space="preserve"> the NZIR, </w:t>
            </w:r>
            <w:proofErr w:type="spellStart"/>
            <w:r w:rsidRPr="00275FBD">
              <w:rPr>
                <w:rFonts w:ascii="Calibri" w:hAnsi="Calibri"/>
                <w:color w:val="000000" w:themeColor="text1"/>
                <w:sz w:val="18"/>
                <w:szCs w:val="18"/>
                <w:lang w:val="sl-SI" w:eastAsia="en-GB"/>
              </w:rPr>
              <w:t>certain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leftovers</w:t>
            </w:r>
            <w:proofErr w:type="spellEnd"/>
            <w:r w:rsidRPr="00275FBD">
              <w:rPr>
                <w:rFonts w:ascii="Calibri" w:hAnsi="Calibri"/>
                <w:color w:val="000000" w:themeColor="text1"/>
                <w:sz w:val="18"/>
                <w:szCs w:val="18"/>
                <w:lang w:val="sl-SI" w:eastAsia="en-GB"/>
              </w:rPr>
              <w:t xml:space="preserve"> were </w:t>
            </w:r>
            <w:proofErr w:type="spellStart"/>
            <w:r w:rsidRPr="00275FBD">
              <w:rPr>
                <w:rFonts w:ascii="Calibri" w:hAnsi="Calibri"/>
                <w:color w:val="000000" w:themeColor="text1"/>
                <w:sz w:val="18"/>
                <w:szCs w:val="18"/>
                <w:lang w:val="sl-SI" w:eastAsia="en-GB"/>
              </w:rPr>
              <w:t>noticed</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 xml:space="preserve">OSF element: </w:t>
            </w:r>
            <w:proofErr w:type="spellStart"/>
            <w:r w:rsidRPr="00275FBD">
              <w:rPr>
                <w:rFonts w:ascii="Calibri" w:hAnsi="Calibri"/>
                <w:color w:val="000000" w:themeColor="text1"/>
                <w:sz w:val="18"/>
                <w:szCs w:val="18"/>
                <w:lang w:val="sl-SI" w:eastAsia="en-GB"/>
              </w:rPr>
              <w:t>Change</w:t>
            </w:r>
            <w:proofErr w:type="spellEnd"/>
            <w:r w:rsidRPr="00275FBD">
              <w:rPr>
                <w:rFonts w:ascii="Calibri" w:hAnsi="Calibri"/>
                <w:color w:val="000000" w:themeColor="text1"/>
                <w:sz w:val="18"/>
                <w:szCs w:val="18"/>
                <w:lang w:val="sl-SI" w:eastAsia="en-GB"/>
              </w:rPr>
              <w:t xml:space="preserve"> Review </w:t>
            </w:r>
            <w:proofErr w:type="spellStart"/>
            <w:r w:rsidRPr="00275FBD">
              <w:rPr>
                <w:rFonts w:ascii="Calibri" w:hAnsi="Calibri"/>
                <w:color w:val="000000" w:themeColor="text1"/>
                <w:sz w:val="18"/>
                <w:szCs w:val="18"/>
                <w:lang w:val="sl-SI" w:eastAsia="en-GB"/>
              </w:rPr>
              <w:t>Process</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points</w:t>
            </w:r>
            <w:proofErr w:type="spellEnd"/>
            <w:r w:rsidRPr="00275FBD">
              <w:rPr>
                <w:rFonts w:ascii="Calibri" w:hAnsi="Calibri"/>
                <w:color w:val="000000" w:themeColor="text1"/>
                <w:sz w:val="18"/>
                <w:szCs w:val="18"/>
                <w:lang w:val="sl-SI" w:eastAsia="en-GB"/>
              </w:rPr>
              <w:t xml:space="preserve"> to the </w:t>
            </w:r>
            <w:proofErr w:type="spellStart"/>
            <w:r w:rsidRPr="00275FBD">
              <w:rPr>
                <w:rFonts w:ascii="Calibri" w:hAnsi="Calibri"/>
                <w:color w:val="000000" w:themeColor="text1"/>
                <w:sz w:val="18"/>
                <w:szCs w:val="18"/>
                <w:lang w:val="sl-SI" w:eastAsia="en-GB"/>
              </w:rPr>
              <w:t>need</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certain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corrections</w:t>
            </w:r>
            <w:proofErr w:type="spellEnd"/>
            <w:r w:rsidRPr="00275FBD">
              <w:rPr>
                <w:rFonts w:ascii="Calibri" w:hAnsi="Calibri"/>
                <w:color w:val="000000" w:themeColor="text1"/>
                <w:sz w:val="18"/>
                <w:szCs w:val="18"/>
                <w:lang w:val="sl-SI" w:eastAsia="en-GB"/>
              </w:rPr>
              <w:t xml:space="preserve"> with </w:t>
            </w:r>
            <w:proofErr w:type="spellStart"/>
            <w:r w:rsidRPr="00275FBD">
              <w:rPr>
                <w:rFonts w:ascii="Calibri" w:hAnsi="Calibri"/>
                <w:color w:val="000000" w:themeColor="text1"/>
                <w:sz w:val="18"/>
                <w:szCs w:val="18"/>
                <w:lang w:val="sl-SI" w:eastAsia="en-GB"/>
              </w:rPr>
              <w:t>regard</w:t>
            </w:r>
            <w:proofErr w:type="spellEnd"/>
            <w:r w:rsidRPr="00275FBD">
              <w:rPr>
                <w:rFonts w:ascii="Calibri" w:hAnsi="Calibri"/>
                <w:color w:val="000000" w:themeColor="text1"/>
                <w:sz w:val="18"/>
                <w:szCs w:val="18"/>
                <w:lang w:val="sl-SI" w:eastAsia="en-GB"/>
              </w:rPr>
              <w:t xml:space="preserve"> to </w:t>
            </w:r>
            <w:proofErr w:type="spellStart"/>
            <w:r w:rsidRPr="00275FBD">
              <w:rPr>
                <w:rFonts w:ascii="Calibri" w:hAnsi="Calibri"/>
                <w:color w:val="000000" w:themeColor="text1"/>
                <w:sz w:val="18"/>
                <w:szCs w:val="18"/>
                <w:lang w:val="sl-SI" w:eastAsia="en-GB"/>
              </w:rPr>
              <w:t>accordance</w:t>
            </w:r>
            <w:proofErr w:type="spellEnd"/>
            <w:r w:rsidRPr="00275FBD">
              <w:rPr>
                <w:rFonts w:ascii="Calibri" w:hAnsi="Calibri"/>
                <w:color w:val="000000" w:themeColor="text1"/>
                <w:sz w:val="18"/>
                <w:szCs w:val="18"/>
                <w:lang w:val="sl-SI" w:eastAsia="en-GB"/>
              </w:rPr>
              <w:t xml:space="preserve"> of NZIR with </w:t>
            </w:r>
            <w:proofErr w:type="spellStart"/>
            <w:r w:rsidRPr="00275FBD">
              <w:rPr>
                <w:rFonts w:ascii="Calibri" w:hAnsi="Calibri"/>
                <w:color w:val="000000" w:themeColor="text1"/>
                <w:sz w:val="18"/>
                <w:szCs w:val="18"/>
                <w:lang w:val="sl-SI" w:eastAsia="en-GB"/>
              </w:rPr>
              <w:t>new</w:t>
            </w:r>
            <w:proofErr w:type="spellEnd"/>
            <w:r w:rsidRPr="00275FBD">
              <w:rPr>
                <w:rFonts w:ascii="Calibri" w:hAnsi="Calibri"/>
                <w:color w:val="000000" w:themeColor="text1"/>
                <w:sz w:val="18"/>
                <w:szCs w:val="18"/>
                <w:lang w:val="sl-SI" w:eastAsia="en-GB"/>
              </w:rPr>
              <w:t xml:space="preserve"> IAEA </w:t>
            </w:r>
            <w:r w:rsidRPr="00275FBD">
              <w:rPr>
                <w:rFonts w:ascii="Calibri" w:hAnsi="Calibri"/>
                <w:color w:val="000000" w:themeColor="text1"/>
                <w:sz w:val="18"/>
                <w:szCs w:val="18"/>
                <w:lang w:val="sl-SI" w:eastAsia="en-GB"/>
              </w:rPr>
              <w:lastRenderedPageBreak/>
              <w:t xml:space="preserve">GSR Part 7. </w:t>
            </w:r>
            <w:proofErr w:type="spellStart"/>
            <w:r w:rsidRPr="00275FBD">
              <w:rPr>
                <w:rFonts w:ascii="Calibri" w:hAnsi="Calibri"/>
                <w:color w:val="000000" w:themeColor="text1"/>
                <w:sz w:val="18"/>
                <w:szCs w:val="18"/>
                <w:lang w:val="sl-SI" w:eastAsia="en-GB"/>
              </w:rPr>
              <w:t>Generally</w:t>
            </w:r>
            <w:proofErr w:type="spellEnd"/>
            <w:r w:rsidRPr="00275FBD">
              <w:rPr>
                <w:rFonts w:ascii="Calibri" w:hAnsi="Calibri"/>
                <w:color w:val="000000" w:themeColor="text1"/>
                <w:sz w:val="18"/>
                <w:szCs w:val="18"/>
                <w:lang w:val="sl-SI" w:eastAsia="en-GB"/>
              </w:rPr>
              <w:t xml:space="preserve">, the NZIR </w:t>
            </w:r>
            <w:proofErr w:type="spellStart"/>
            <w:r w:rsidRPr="00275FBD">
              <w:rPr>
                <w:rFonts w:ascii="Calibri" w:hAnsi="Calibri"/>
                <w:color w:val="000000" w:themeColor="text1"/>
                <w:sz w:val="18"/>
                <w:szCs w:val="18"/>
                <w:lang w:val="sl-SI" w:eastAsia="en-GB"/>
              </w:rPr>
              <w:t>has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been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revised</w:t>
            </w:r>
            <w:proofErr w:type="spellEnd"/>
            <w:r w:rsidRPr="00275FBD">
              <w:rPr>
                <w:rFonts w:ascii="Calibri" w:hAnsi="Calibri"/>
                <w:color w:val="000000" w:themeColor="text1"/>
                <w:sz w:val="18"/>
                <w:szCs w:val="18"/>
                <w:lang w:val="sl-SI" w:eastAsia="en-GB"/>
              </w:rPr>
              <w:t xml:space="preserve"> in </w:t>
            </w:r>
            <w:proofErr w:type="spellStart"/>
            <w:r w:rsidRPr="00275FBD">
              <w:rPr>
                <w:rFonts w:ascii="Calibri" w:hAnsi="Calibri"/>
                <w:color w:val="000000" w:themeColor="text1"/>
                <w:sz w:val="18"/>
                <w:szCs w:val="18"/>
                <w:lang w:val="sl-SI" w:eastAsia="en-GB"/>
              </w:rPr>
              <w:t>accordance</w:t>
            </w:r>
            <w:proofErr w:type="spellEnd"/>
            <w:r w:rsidRPr="00275FBD">
              <w:rPr>
                <w:rFonts w:ascii="Calibri" w:hAnsi="Calibri"/>
                <w:color w:val="000000" w:themeColor="text1"/>
                <w:sz w:val="18"/>
                <w:szCs w:val="18"/>
                <w:lang w:val="sl-SI" w:eastAsia="en-GB"/>
              </w:rPr>
              <w:t xml:space="preserve"> with IAEA GSR Part 7. NEK: </w:t>
            </w:r>
            <w:proofErr w:type="spellStart"/>
            <w:r w:rsidRPr="00275FBD">
              <w:rPr>
                <w:rFonts w:ascii="Calibri" w:hAnsi="Calibri"/>
                <w:color w:val="000000" w:themeColor="text1"/>
                <w:sz w:val="18"/>
                <w:szCs w:val="18"/>
                <w:lang w:val="sl-SI" w:eastAsia="en-GB"/>
              </w:rPr>
              <w:t>corrections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will</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made</w:t>
            </w:r>
            <w:proofErr w:type="spellEnd"/>
            <w:r w:rsidRPr="00275FBD">
              <w:rPr>
                <w:rFonts w:ascii="Calibri" w:hAnsi="Calibri"/>
                <w:color w:val="000000" w:themeColor="text1"/>
                <w:sz w:val="18"/>
                <w:szCs w:val="18"/>
                <w:lang w:val="sl-SI" w:eastAsia="en-GB"/>
              </w:rPr>
              <w:t>.</w:t>
            </w:r>
          </w:p>
        </w:tc>
        <w:tc>
          <w:tcPr>
            <w:tcW w:w="993" w:type="dxa"/>
          </w:tcPr>
          <w:p w14:paraId="6B7FAB44"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lastRenderedPageBreak/>
              <w:t>2.1.3</w:t>
            </w:r>
          </w:p>
        </w:tc>
        <w:tc>
          <w:tcPr>
            <w:tcW w:w="5244" w:type="dxa"/>
          </w:tcPr>
          <w:p w14:paraId="1BDA51C8"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GSR Part 7 is the </w:t>
            </w:r>
            <w:proofErr w:type="spellStart"/>
            <w:r w:rsidRPr="00275FBD">
              <w:rPr>
                <w:rFonts w:ascii="Calibri" w:hAnsi="Calibri"/>
                <w:color w:val="000000"/>
                <w:sz w:val="18"/>
                <w:szCs w:val="18"/>
                <w:lang w:val="sl-SI" w:eastAsia="en-GB"/>
              </w:rPr>
              <w:t>basic</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document</w:t>
            </w:r>
            <w:proofErr w:type="spellEnd"/>
            <w:r w:rsidRPr="00275FBD">
              <w:rPr>
                <w:rFonts w:ascii="Calibri" w:hAnsi="Calibri"/>
                <w:color w:val="000000"/>
                <w:sz w:val="18"/>
                <w:szCs w:val="18"/>
                <w:lang w:val="sl-SI" w:eastAsia="en-GB"/>
              </w:rPr>
              <w:t xml:space="preserve"> in the area of emergency </w:t>
            </w:r>
            <w:proofErr w:type="spellStart"/>
            <w:r w:rsidRPr="00275FBD">
              <w:rPr>
                <w:rFonts w:ascii="Calibri" w:hAnsi="Calibri"/>
                <w:color w:val="000000"/>
                <w:sz w:val="18"/>
                <w:szCs w:val="18"/>
                <w:lang w:val="sl-SI" w:eastAsia="en-GB"/>
              </w:rPr>
              <w:t>planning</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introduces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important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changes</w:t>
            </w:r>
            <w:proofErr w:type="spellEnd"/>
            <w:r w:rsidRPr="00275FBD">
              <w:rPr>
                <w:rFonts w:ascii="Calibri" w:hAnsi="Calibri"/>
                <w:color w:val="000000"/>
                <w:sz w:val="18"/>
                <w:szCs w:val="18"/>
                <w:lang w:val="sl-SI" w:eastAsia="en-GB"/>
              </w:rPr>
              <w:t xml:space="preserve"> in </w:t>
            </w:r>
            <w:proofErr w:type="spellStart"/>
            <w:r w:rsidRPr="00275FBD">
              <w:rPr>
                <w:rFonts w:ascii="Calibri" w:hAnsi="Calibri"/>
                <w:color w:val="000000"/>
                <w:sz w:val="18"/>
                <w:szCs w:val="18"/>
                <w:lang w:val="sl-SI" w:eastAsia="en-GB"/>
              </w:rPr>
              <w:t>concepts</w:t>
            </w:r>
            <w:proofErr w:type="spellEnd"/>
            <w:r w:rsidRPr="00275FBD">
              <w:rPr>
                <w:rFonts w:ascii="Calibri" w:hAnsi="Calibri"/>
                <w:color w:val="000000"/>
                <w:sz w:val="18"/>
                <w:szCs w:val="18"/>
                <w:lang w:val="sl-SI" w:eastAsia="en-GB"/>
              </w:rPr>
              <w:t xml:space="preserve"> and in </w:t>
            </w:r>
            <w:proofErr w:type="spellStart"/>
            <w:r w:rsidRPr="00275FBD">
              <w:rPr>
                <w:rFonts w:ascii="Calibri" w:hAnsi="Calibri"/>
                <w:color w:val="000000"/>
                <w:sz w:val="18"/>
                <w:szCs w:val="18"/>
                <w:lang w:val="sl-SI" w:eastAsia="en-GB"/>
              </w:rPr>
              <w:t>terminology</w:t>
            </w:r>
            <w:proofErr w:type="spellEnd"/>
            <w:r w:rsidRPr="00275FBD">
              <w:rPr>
                <w:rFonts w:ascii="Calibri" w:hAnsi="Calibri"/>
                <w:color w:val="000000"/>
                <w:sz w:val="18"/>
                <w:szCs w:val="18"/>
                <w:lang w:val="sl-SI" w:eastAsia="en-GB"/>
              </w:rPr>
              <w:t xml:space="preserve">. NEK </w:t>
            </w:r>
            <w:proofErr w:type="spellStart"/>
            <w:r w:rsidRPr="00275FBD">
              <w:rPr>
                <w:rFonts w:ascii="Calibri" w:hAnsi="Calibri"/>
                <w:color w:val="000000"/>
                <w:sz w:val="18"/>
                <w:szCs w:val="18"/>
                <w:lang w:val="sl-SI" w:eastAsia="en-GB"/>
              </w:rPr>
              <w:t>must</w:t>
            </w:r>
            <w:proofErr w:type="spellEnd"/>
            <w:r w:rsidRPr="00275FBD">
              <w:rPr>
                <w:rFonts w:ascii="Calibri" w:hAnsi="Calibri"/>
                <w:color w:val="000000"/>
                <w:sz w:val="18"/>
                <w:szCs w:val="18"/>
                <w:lang w:val="sl-SI" w:eastAsia="en-GB"/>
              </w:rPr>
              <w:t xml:space="preserve"> update NZIR according to the IAEA GSR Part 7.</w:t>
            </w:r>
          </w:p>
        </w:tc>
        <w:tc>
          <w:tcPr>
            <w:tcW w:w="2694" w:type="dxa"/>
          </w:tcPr>
          <w:p w14:paraId="218025B9"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667D3646" w14:textId="77777777" w:rsidTr="00935B67">
        <w:tc>
          <w:tcPr>
            <w:tcW w:w="1384" w:type="dxa"/>
            <w:shd w:val="clear" w:color="auto" w:fill="FBD4B4" w:themeFill="accent6" w:themeFillTint="66"/>
          </w:tcPr>
          <w:p w14:paraId="7E89E032"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4.5-010</w:t>
            </w:r>
          </w:p>
        </w:tc>
        <w:tc>
          <w:tcPr>
            <w:tcW w:w="3827" w:type="dxa"/>
          </w:tcPr>
          <w:p w14:paraId="0A6AEB55" w14:textId="77777777" w:rsidR="00935B67" w:rsidRPr="00275FBD" w:rsidRDefault="00935B67" w:rsidP="00935B67">
            <w:pPr>
              <w:jc w:val="left"/>
              <w:rPr>
                <w:rFonts w:ascii="Calibri" w:hAnsi="Calibri"/>
                <w:b/>
                <w:bCs/>
                <w:color w:val="000000" w:themeColor="text1"/>
                <w:sz w:val="18"/>
                <w:szCs w:val="18"/>
                <w:lang w:val="sl-SI" w:eastAsia="en-GB"/>
              </w:rPr>
            </w:pPr>
            <w:proofErr w:type="spellStart"/>
            <w:r w:rsidRPr="00275FBD">
              <w:rPr>
                <w:rFonts w:ascii="Calibri" w:hAnsi="Calibri"/>
                <w:b/>
                <w:bCs/>
                <w:color w:val="000000" w:themeColor="text1"/>
                <w:sz w:val="18"/>
                <w:szCs w:val="18"/>
                <w:lang w:val="sl-SI" w:eastAsia="en-GB"/>
              </w:rPr>
              <w:t>Transboundary</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aspects</w:t>
            </w:r>
            <w:proofErr w:type="spellEnd"/>
            <w:r w:rsidRPr="00275FBD">
              <w:rPr>
                <w:rFonts w:ascii="Calibri" w:hAnsi="Calibri"/>
                <w:b/>
                <w:bCs/>
                <w:color w:val="000000" w:themeColor="text1"/>
                <w:sz w:val="18"/>
                <w:szCs w:val="18"/>
                <w:lang w:val="sl-SI" w:eastAsia="en-GB"/>
              </w:rPr>
              <w:t xml:space="preserve"> in the NZIR</w:t>
            </w:r>
            <w:r w:rsidRPr="00275FBD">
              <w:rPr>
                <w:rFonts w:ascii="Calibri" w:hAnsi="Calibri"/>
                <w:color w:val="000000" w:themeColor="text1"/>
                <w:sz w:val="18"/>
                <w:szCs w:val="18"/>
                <w:lang w:val="sl-SI" w:eastAsia="en-GB"/>
              </w:rPr>
              <w:t xml:space="preserve">. NEK is </w:t>
            </w:r>
            <w:proofErr w:type="spellStart"/>
            <w:r w:rsidRPr="00275FBD">
              <w:rPr>
                <w:rFonts w:ascii="Calibri" w:hAnsi="Calibri"/>
                <w:color w:val="000000" w:themeColor="text1"/>
                <w:sz w:val="18"/>
                <w:szCs w:val="18"/>
                <w:lang w:val="sl-SI" w:eastAsia="en-GB"/>
              </w:rPr>
              <w:t>located</w:t>
            </w:r>
            <w:proofErr w:type="spellEnd"/>
            <w:r w:rsidRPr="00275FBD">
              <w:rPr>
                <w:rFonts w:ascii="Calibri" w:hAnsi="Calibri"/>
                <w:color w:val="000000" w:themeColor="text1"/>
                <w:sz w:val="18"/>
                <w:szCs w:val="18"/>
                <w:lang w:val="sl-SI" w:eastAsia="en-GB"/>
              </w:rPr>
              <w:t xml:space="preserve"> some 10 km from the national </w:t>
            </w:r>
            <w:proofErr w:type="spellStart"/>
            <w:r w:rsidRPr="00275FBD">
              <w:rPr>
                <w:rFonts w:ascii="Calibri" w:hAnsi="Calibri"/>
                <w:color w:val="000000" w:themeColor="text1"/>
                <w:sz w:val="18"/>
                <w:szCs w:val="18"/>
                <w:lang w:val="sl-SI" w:eastAsia="en-GB"/>
              </w:rPr>
              <w:t>borders</w:t>
            </w:r>
            <w:proofErr w:type="spellEnd"/>
            <w:r w:rsidRPr="00275FBD">
              <w:rPr>
                <w:rFonts w:ascii="Calibri" w:hAnsi="Calibri"/>
                <w:color w:val="000000" w:themeColor="text1"/>
                <w:sz w:val="18"/>
                <w:szCs w:val="18"/>
                <w:lang w:val="sl-SI" w:eastAsia="en-GB"/>
              </w:rPr>
              <w:t xml:space="preserve">, so the </w:t>
            </w:r>
            <w:proofErr w:type="spellStart"/>
            <w:r w:rsidRPr="00275FBD">
              <w:rPr>
                <w:rFonts w:ascii="Calibri" w:hAnsi="Calibri"/>
                <w:color w:val="000000" w:themeColor="text1"/>
                <w:sz w:val="18"/>
                <w:szCs w:val="18"/>
                <w:lang w:val="sl-SI" w:eastAsia="en-GB"/>
              </w:rPr>
              <w:t>transboundary</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aspects</w:t>
            </w:r>
            <w:proofErr w:type="spellEnd"/>
            <w:r w:rsidRPr="00275FBD">
              <w:rPr>
                <w:rFonts w:ascii="Calibri" w:hAnsi="Calibri"/>
                <w:color w:val="000000" w:themeColor="text1"/>
                <w:sz w:val="18"/>
                <w:szCs w:val="18"/>
                <w:lang w:val="sl-SI" w:eastAsia="en-GB"/>
              </w:rPr>
              <w:t xml:space="preserve"> of emergency </w:t>
            </w:r>
            <w:proofErr w:type="spellStart"/>
            <w:r w:rsidRPr="00275FBD">
              <w:rPr>
                <w:rFonts w:ascii="Calibri" w:hAnsi="Calibri"/>
                <w:color w:val="000000" w:themeColor="text1"/>
                <w:sz w:val="18"/>
                <w:szCs w:val="18"/>
                <w:lang w:val="sl-SI" w:eastAsia="en-GB"/>
              </w:rPr>
              <w:t>planning</w:t>
            </w:r>
            <w:proofErr w:type="spellEnd"/>
            <w:r w:rsidRPr="00275FBD">
              <w:rPr>
                <w:rFonts w:ascii="Calibri" w:hAnsi="Calibri"/>
                <w:color w:val="000000" w:themeColor="text1"/>
                <w:sz w:val="18"/>
                <w:szCs w:val="18"/>
                <w:lang w:val="sl-SI" w:eastAsia="en-GB"/>
              </w:rPr>
              <w:t xml:space="preserve"> are of </w:t>
            </w:r>
            <w:proofErr w:type="spellStart"/>
            <w:r w:rsidRPr="00275FBD">
              <w:rPr>
                <w:rFonts w:ascii="Calibri" w:hAnsi="Calibri"/>
                <w:color w:val="000000" w:themeColor="text1"/>
                <w:sz w:val="18"/>
                <w:szCs w:val="18"/>
                <w:lang w:val="sl-SI" w:eastAsia="en-GB"/>
              </w:rPr>
              <w:t>utmost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importance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This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reflected</w:t>
            </w:r>
            <w:proofErr w:type="spellEnd"/>
            <w:r w:rsidRPr="00275FBD">
              <w:rPr>
                <w:rFonts w:ascii="Calibri" w:hAnsi="Calibri"/>
                <w:color w:val="000000" w:themeColor="text1"/>
                <w:sz w:val="18"/>
                <w:szCs w:val="18"/>
                <w:lang w:val="sl-SI" w:eastAsia="en-GB"/>
              </w:rPr>
              <w:t xml:space="preserve"> in the NZIR more </w:t>
            </w:r>
            <w:proofErr w:type="spellStart"/>
            <w:r w:rsidRPr="00275FBD">
              <w:rPr>
                <w:rFonts w:ascii="Calibri" w:hAnsi="Calibri"/>
                <w:color w:val="000000" w:themeColor="text1"/>
                <w:sz w:val="18"/>
                <w:szCs w:val="18"/>
                <w:lang w:val="sl-SI" w:eastAsia="en-GB"/>
              </w:rPr>
              <w:t>clearly</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OSF element: Operational Quality Assurance Program.</w:t>
            </w:r>
            <w:r w:rsidRPr="00275FBD">
              <w:rPr>
                <w:rFonts w:ascii="Calibri" w:hAnsi="Calibri"/>
                <w:color w:val="000000" w:themeColor="text1"/>
                <w:sz w:val="18"/>
                <w:szCs w:val="18"/>
                <w:lang w:val="sl-SI" w:eastAsia="en-GB"/>
              </w:rPr>
              <w:br/>
              <w:t xml:space="preserve">(It is </w:t>
            </w:r>
            <w:proofErr w:type="spellStart"/>
            <w:r w:rsidRPr="00275FBD">
              <w:rPr>
                <w:rFonts w:ascii="Calibri" w:hAnsi="Calibri"/>
                <w:color w:val="000000" w:themeColor="text1"/>
                <w:sz w:val="18"/>
                <w:szCs w:val="18"/>
                <w:lang w:val="sl-SI" w:eastAsia="en-GB"/>
              </w:rPr>
              <w:t>understood</w:t>
            </w:r>
            <w:proofErr w:type="spellEnd"/>
            <w:r w:rsidRPr="00275FBD">
              <w:rPr>
                <w:rFonts w:ascii="Calibri" w:hAnsi="Calibri"/>
                <w:color w:val="000000" w:themeColor="text1"/>
                <w:sz w:val="18"/>
                <w:szCs w:val="18"/>
                <w:lang w:val="sl-SI" w:eastAsia="en-GB"/>
              </w:rPr>
              <w:t xml:space="preserve"> that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points</w:t>
            </w:r>
            <w:proofErr w:type="spellEnd"/>
            <w:r w:rsidRPr="00275FBD">
              <w:rPr>
                <w:rFonts w:ascii="Calibri" w:hAnsi="Calibri"/>
                <w:color w:val="000000" w:themeColor="text1"/>
                <w:sz w:val="18"/>
                <w:szCs w:val="18"/>
                <w:lang w:val="sl-SI" w:eastAsia="en-GB"/>
              </w:rPr>
              <w:t xml:space="preserve"> to the </w:t>
            </w:r>
            <w:proofErr w:type="spellStart"/>
            <w:r w:rsidRPr="00275FBD">
              <w:rPr>
                <w:rFonts w:ascii="Calibri" w:hAnsi="Calibri"/>
                <w:color w:val="000000" w:themeColor="text1"/>
                <w:sz w:val="18"/>
                <w:szCs w:val="18"/>
                <w:lang w:val="sl-SI" w:eastAsia="en-GB"/>
              </w:rPr>
              <w:t>failure</w:t>
            </w:r>
            <w:proofErr w:type="spellEnd"/>
            <w:r w:rsidRPr="00275FBD">
              <w:rPr>
                <w:rFonts w:ascii="Calibri" w:hAnsi="Calibri"/>
                <w:color w:val="000000" w:themeColor="text1"/>
                <w:sz w:val="18"/>
                <w:szCs w:val="18"/>
                <w:lang w:val="sl-SI" w:eastAsia="en-GB"/>
              </w:rPr>
              <w:t xml:space="preserve"> to </w:t>
            </w:r>
            <w:proofErr w:type="spellStart"/>
            <w:r w:rsidRPr="00275FBD">
              <w:rPr>
                <w:rFonts w:ascii="Calibri" w:hAnsi="Calibri"/>
                <w:color w:val="000000" w:themeColor="text1"/>
                <w:sz w:val="18"/>
                <w:szCs w:val="18"/>
                <w:lang w:val="sl-SI" w:eastAsia="en-GB"/>
              </w:rPr>
              <w:t>implement</w:t>
            </w:r>
            <w:proofErr w:type="spellEnd"/>
            <w:r w:rsidRPr="00275FBD">
              <w:rPr>
                <w:rFonts w:ascii="Calibri" w:hAnsi="Calibri"/>
                <w:color w:val="000000" w:themeColor="text1"/>
                <w:sz w:val="18"/>
                <w:szCs w:val="18"/>
                <w:lang w:val="sl-SI" w:eastAsia="en-GB"/>
              </w:rPr>
              <w:t xml:space="preserve"> some of the </w:t>
            </w:r>
            <w:proofErr w:type="spellStart"/>
            <w:r w:rsidRPr="00275FBD">
              <w:rPr>
                <w:rFonts w:ascii="Calibri" w:hAnsi="Calibri"/>
                <w:color w:val="000000" w:themeColor="text1"/>
                <w:sz w:val="18"/>
                <w:szCs w:val="18"/>
                <w:lang w:val="sl-SI" w:eastAsia="en-GB"/>
              </w:rPr>
              <w:t>findings</w:t>
            </w:r>
            <w:proofErr w:type="spellEnd"/>
            <w:r w:rsidRPr="00275FBD">
              <w:rPr>
                <w:rFonts w:ascii="Calibri" w:hAnsi="Calibri"/>
                <w:color w:val="000000" w:themeColor="text1"/>
                <w:sz w:val="18"/>
                <w:szCs w:val="18"/>
                <w:lang w:val="sl-SI" w:eastAsia="en-GB"/>
              </w:rPr>
              <w:t xml:space="preserve"> of the OSART mission. For </w:t>
            </w:r>
            <w:proofErr w:type="spellStart"/>
            <w:r w:rsidRPr="00275FBD">
              <w:rPr>
                <w:rFonts w:ascii="Calibri" w:hAnsi="Calibri"/>
                <w:color w:val="000000" w:themeColor="text1"/>
                <w:sz w:val="18"/>
                <w:szCs w:val="18"/>
                <w:lang w:val="sl-SI" w:eastAsia="en-GB"/>
              </w:rPr>
              <w:t>this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reason</w:t>
            </w:r>
            <w:proofErr w:type="spellEnd"/>
            <w:r w:rsidRPr="00275FBD">
              <w:rPr>
                <w:rFonts w:ascii="Calibri" w:hAnsi="Calibri"/>
                <w:color w:val="000000" w:themeColor="text1"/>
                <w:sz w:val="18"/>
                <w:szCs w:val="18"/>
                <w:lang w:val="sl-SI" w:eastAsia="en-GB"/>
              </w:rPr>
              <w:t xml:space="preserve">, the OSF element is </w:t>
            </w:r>
            <w:proofErr w:type="spellStart"/>
            <w:r w:rsidRPr="00275FBD">
              <w:rPr>
                <w:rFonts w:ascii="Calibri" w:hAnsi="Calibri"/>
                <w:color w:val="000000" w:themeColor="text1"/>
                <w:sz w:val="18"/>
                <w:szCs w:val="18"/>
                <w:lang w:val="sl-SI" w:eastAsia="en-GB"/>
              </w:rPr>
              <w:t>assigned</w:t>
            </w:r>
            <w:proofErr w:type="spellEnd"/>
            <w:r w:rsidRPr="00275FBD">
              <w:rPr>
                <w:rFonts w:ascii="Calibri" w:hAnsi="Calibri"/>
                <w:color w:val="000000" w:themeColor="text1"/>
                <w:sz w:val="18"/>
                <w:szCs w:val="18"/>
                <w:lang w:val="sl-SI" w:eastAsia="en-GB"/>
              </w:rPr>
              <w:t xml:space="preserve"> as </w:t>
            </w:r>
            <w:proofErr w:type="spellStart"/>
            <w:r w:rsidRPr="00275FBD">
              <w:rPr>
                <w:rFonts w:ascii="Calibri" w:hAnsi="Calibri"/>
                <w:color w:val="000000" w:themeColor="text1"/>
                <w:sz w:val="18"/>
                <w:szCs w:val="18"/>
                <w:lang w:val="sl-SI" w:eastAsia="en-GB"/>
              </w:rPr>
              <w:t>above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Based</w:t>
            </w:r>
            <w:proofErr w:type="spellEnd"/>
            <w:r w:rsidRPr="00275FBD">
              <w:rPr>
                <w:rFonts w:ascii="Calibri" w:hAnsi="Calibri"/>
                <w:color w:val="000000" w:themeColor="text1"/>
                <w:sz w:val="18"/>
                <w:szCs w:val="18"/>
                <w:lang w:val="sl-SI" w:eastAsia="en-GB"/>
              </w:rPr>
              <w:t xml:space="preserve"> on the </w:t>
            </w:r>
            <w:proofErr w:type="spellStart"/>
            <w:r w:rsidRPr="00275FBD">
              <w:rPr>
                <w:rFonts w:ascii="Calibri" w:hAnsi="Calibri"/>
                <w:color w:val="000000" w:themeColor="text1"/>
                <w:sz w:val="18"/>
                <w:szCs w:val="18"/>
                <w:lang w:val="sl-SI" w:eastAsia="en-GB"/>
              </w:rPr>
              <w:t>discussions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reviewers</w:t>
            </w:r>
            <w:proofErr w:type="spellEnd"/>
            <w:r w:rsidRPr="00275FBD">
              <w:rPr>
                <w:rFonts w:ascii="Calibri" w:hAnsi="Calibri"/>
                <w:color w:val="000000" w:themeColor="text1"/>
                <w:sz w:val="18"/>
                <w:szCs w:val="18"/>
                <w:lang w:val="sl-SI" w:eastAsia="en-GB"/>
              </w:rPr>
              <w:t xml:space="preserve"> - NEK) it </w:t>
            </w:r>
            <w:proofErr w:type="spellStart"/>
            <w:r w:rsidRPr="00275FBD">
              <w:rPr>
                <w:rFonts w:ascii="Calibri" w:hAnsi="Calibri"/>
                <w:color w:val="000000" w:themeColor="text1"/>
                <w:sz w:val="18"/>
                <w:szCs w:val="18"/>
                <w:lang w:val="sl-SI" w:eastAsia="en-GB"/>
              </w:rPr>
              <w:t>was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concluded</w:t>
            </w:r>
            <w:proofErr w:type="spellEnd"/>
            <w:r w:rsidRPr="00275FBD">
              <w:rPr>
                <w:rFonts w:ascii="Calibri" w:hAnsi="Calibri"/>
                <w:color w:val="000000" w:themeColor="text1"/>
                <w:sz w:val="18"/>
                <w:szCs w:val="18"/>
                <w:lang w:val="sl-SI" w:eastAsia="en-GB"/>
              </w:rPr>
              <w:t xml:space="preserve"> that most of </w:t>
            </w:r>
            <w:proofErr w:type="spellStart"/>
            <w:r w:rsidRPr="00275FBD">
              <w:rPr>
                <w:rFonts w:ascii="Calibri" w:hAnsi="Calibri"/>
                <w:color w:val="000000" w:themeColor="text1"/>
                <w:sz w:val="18"/>
                <w:szCs w:val="18"/>
                <w:lang w:val="sl-SI" w:eastAsia="en-GB"/>
              </w:rPr>
              <w:t>what</w:t>
            </w:r>
            <w:proofErr w:type="spellEnd"/>
            <w:r w:rsidRPr="00275FBD">
              <w:rPr>
                <w:rFonts w:ascii="Calibri" w:hAnsi="Calibri"/>
                <w:color w:val="000000" w:themeColor="text1"/>
                <w:sz w:val="18"/>
                <w:szCs w:val="18"/>
                <w:lang w:val="sl-SI" w:eastAsia="en-GB"/>
              </w:rPr>
              <w:t xml:space="preserve"> is </w:t>
            </w:r>
            <w:proofErr w:type="spellStart"/>
            <w:r w:rsidRPr="00275FBD">
              <w:rPr>
                <w:rFonts w:ascii="Calibri" w:hAnsi="Calibri"/>
                <w:color w:val="000000" w:themeColor="text1"/>
                <w:sz w:val="18"/>
                <w:szCs w:val="18"/>
                <w:lang w:val="sl-SI" w:eastAsia="en-GB"/>
              </w:rPr>
              <w:t>proposed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under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this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are </w:t>
            </w:r>
            <w:proofErr w:type="spellStart"/>
            <w:r w:rsidRPr="00275FBD">
              <w:rPr>
                <w:rFonts w:ascii="Calibri" w:hAnsi="Calibri"/>
                <w:color w:val="000000" w:themeColor="text1"/>
                <w:sz w:val="18"/>
                <w:szCs w:val="18"/>
                <w:lang w:val="sl-SI" w:eastAsia="en-GB"/>
              </w:rPr>
              <w:t>actually</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small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corrections</w:t>
            </w:r>
            <w:proofErr w:type="spellEnd"/>
            <w:r w:rsidRPr="00275FBD">
              <w:rPr>
                <w:rFonts w:ascii="Calibri" w:hAnsi="Calibri"/>
                <w:color w:val="000000" w:themeColor="text1"/>
                <w:sz w:val="18"/>
                <w:szCs w:val="18"/>
                <w:lang w:val="sl-SI" w:eastAsia="en-GB"/>
              </w:rPr>
              <w:t xml:space="preserve"> or </w:t>
            </w:r>
            <w:proofErr w:type="spellStart"/>
            <w:r w:rsidRPr="00275FBD">
              <w:rPr>
                <w:rFonts w:ascii="Calibri" w:hAnsi="Calibri"/>
                <w:color w:val="000000" w:themeColor="text1"/>
                <w:sz w:val="18"/>
                <w:szCs w:val="18"/>
                <w:lang w:val="sl-SI" w:eastAsia="en-GB"/>
              </w:rPr>
              <w:t>additional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short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descriptions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which</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can</w:t>
            </w:r>
            <w:proofErr w:type="spellEnd"/>
            <w:r w:rsidRPr="00275FBD">
              <w:rPr>
                <w:rFonts w:ascii="Calibri" w:hAnsi="Calibri"/>
                <w:color w:val="000000" w:themeColor="text1"/>
                <w:sz w:val="18"/>
                <w:szCs w:val="18"/>
                <w:lang w:val="sl-SI" w:eastAsia="en-GB"/>
              </w:rPr>
              <w:t xml:space="preserve"> be done </w:t>
            </w:r>
            <w:proofErr w:type="spellStart"/>
            <w:r w:rsidRPr="00275FBD">
              <w:rPr>
                <w:rFonts w:ascii="Calibri" w:hAnsi="Calibri"/>
                <w:color w:val="000000" w:themeColor="text1"/>
                <w:sz w:val="18"/>
                <w:szCs w:val="18"/>
                <w:lang w:val="sl-SI" w:eastAsia="en-GB"/>
              </w:rPr>
              <w:t>without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influencing</w:t>
            </w:r>
            <w:proofErr w:type="spellEnd"/>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structure</w:t>
            </w:r>
            <w:proofErr w:type="spellEnd"/>
            <w:r w:rsidRPr="00275FBD">
              <w:rPr>
                <w:rFonts w:ascii="Calibri" w:hAnsi="Calibri"/>
                <w:color w:val="000000" w:themeColor="text1"/>
                <w:sz w:val="18"/>
                <w:szCs w:val="18"/>
                <w:lang w:val="sl-SI" w:eastAsia="en-GB"/>
              </w:rPr>
              <w:t xml:space="preserve"> of the NZIR.</w:t>
            </w:r>
          </w:p>
        </w:tc>
        <w:tc>
          <w:tcPr>
            <w:tcW w:w="993" w:type="dxa"/>
          </w:tcPr>
          <w:p w14:paraId="42D2D772"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3.1.3</w:t>
            </w:r>
          </w:p>
        </w:tc>
        <w:tc>
          <w:tcPr>
            <w:tcW w:w="5244" w:type="dxa"/>
          </w:tcPr>
          <w:p w14:paraId="2DA019C4"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The </w:t>
            </w:r>
            <w:proofErr w:type="spellStart"/>
            <w:r w:rsidRPr="00275FBD">
              <w:rPr>
                <w:rFonts w:ascii="Calibri" w:hAnsi="Calibri"/>
                <w:color w:val="000000"/>
                <w:sz w:val="18"/>
                <w:szCs w:val="18"/>
                <w:lang w:val="sl-SI" w:eastAsia="en-GB"/>
              </w:rPr>
              <w:t>potential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emergencies</w:t>
            </w:r>
            <w:proofErr w:type="spellEnd"/>
            <w:r w:rsidRPr="00275FBD">
              <w:rPr>
                <w:rFonts w:ascii="Calibri" w:hAnsi="Calibri"/>
                <w:color w:val="000000"/>
                <w:sz w:val="18"/>
                <w:szCs w:val="18"/>
                <w:lang w:val="sl-SI" w:eastAsia="en-GB"/>
              </w:rPr>
              <w:t xml:space="preserve"> in NEK </w:t>
            </w:r>
            <w:proofErr w:type="spellStart"/>
            <w:r w:rsidRPr="00275FBD">
              <w:rPr>
                <w:rFonts w:ascii="Calibri" w:hAnsi="Calibri"/>
                <w:color w:val="000000"/>
                <w:sz w:val="18"/>
                <w:szCs w:val="18"/>
                <w:lang w:val="sl-SI" w:eastAsia="en-GB"/>
              </w:rPr>
              <w:t>must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consider</w:t>
            </w:r>
            <w:proofErr w:type="spellEnd"/>
            <w:r w:rsidRPr="00275FBD">
              <w:rPr>
                <w:rFonts w:ascii="Calibri" w:hAnsi="Calibri"/>
                <w:color w:val="000000"/>
                <w:sz w:val="18"/>
                <w:szCs w:val="18"/>
                <w:lang w:val="sl-SI" w:eastAsia="en-GB"/>
              </w:rPr>
              <w:t xml:space="preserve"> the </w:t>
            </w:r>
            <w:proofErr w:type="spellStart"/>
            <w:r w:rsidRPr="00275FBD">
              <w:rPr>
                <w:rFonts w:ascii="Calibri" w:hAnsi="Calibri"/>
                <w:color w:val="000000"/>
                <w:sz w:val="18"/>
                <w:szCs w:val="18"/>
                <w:lang w:val="sl-SI" w:eastAsia="en-GB"/>
              </w:rPr>
              <w:t>transboundary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aspects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which</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must</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included</w:t>
            </w:r>
            <w:proofErr w:type="spellEnd"/>
            <w:r w:rsidRPr="00275FBD">
              <w:rPr>
                <w:rFonts w:ascii="Calibri" w:hAnsi="Calibri"/>
                <w:color w:val="000000"/>
                <w:sz w:val="18"/>
                <w:szCs w:val="18"/>
                <w:lang w:val="sl-SI" w:eastAsia="en-GB"/>
              </w:rPr>
              <w:t xml:space="preserve"> in the NZIR (</w:t>
            </w:r>
            <w:proofErr w:type="spellStart"/>
            <w:r w:rsidRPr="00275FBD">
              <w:rPr>
                <w:rFonts w:ascii="Calibri" w:hAnsi="Calibri"/>
                <w:color w:val="000000"/>
                <w:sz w:val="18"/>
                <w:szCs w:val="18"/>
                <w:lang w:val="sl-SI" w:eastAsia="en-GB"/>
              </w:rPr>
              <w:t>planning</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zones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descriptions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location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description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coordination</w:t>
            </w:r>
            <w:proofErr w:type="spellEnd"/>
            <w:r w:rsidRPr="00275FBD">
              <w:rPr>
                <w:rFonts w:ascii="Calibri" w:hAnsi="Calibri"/>
                <w:color w:val="000000"/>
                <w:sz w:val="18"/>
                <w:szCs w:val="18"/>
                <w:lang w:val="sl-SI" w:eastAsia="en-GB"/>
              </w:rPr>
              <w:t xml:space="preserve"> with competent </w:t>
            </w:r>
            <w:proofErr w:type="spellStart"/>
            <w:r w:rsidRPr="00275FBD">
              <w:rPr>
                <w:rFonts w:ascii="Calibri" w:hAnsi="Calibri"/>
                <w:color w:val="000000"/>
                <w:sz w:val="18"/>
                <w:szCs w:val="18"/>
                <w:lang w:val="sl-SI" w:eastAsia="en-GB"/>
              </w:rPr>
              <w:t>authorities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notification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public</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information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information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exchange</w:t>
            </w:r>
            <w:proofErr w:type="spellEnd"/>
            <w:r w:rsidRPr="00275FBD">
              <w:rPr>
                <w:rFonts w:ascii="Calibri" w:hAnsi="Calibri"/>
                <w:color w:val="000000"/>
                <w:sz w:val="18"/>
                <w:szCs w:val="18"/>
                <w:lang w:val="sl-SI" w:eastAsia="en-GB"/>
              </w:rPr>
              <w:t xml:space="preserve"> during the emergency and </w:t>
            </w:r>
            <w:proofErr w:type="spellStart"/>
            <w:r w:rsidRPr="00275FBD">
              <w:rPr>
                <w:rFonts w:ascii="Calibri" w:hAnsi="Calibri"/>
                <w:color w:val="000000"/>
                <w:sz w:val="18"/>
                <w:szCs w:val="18"/>
                <w:lang w:val="sl-SI" w:eastAsia="en-GB"/>
              </w:rPr>
              <w:t>off</w:t>
            </w:r>
            <w:proofErr w:type="spellEnd"/>
            <w:r w:rsidRPr="00275FBD">
              <w:rPr>
                <w:rFonts w:ascii="Calibri" w:hAnsi="Calibri"/>
                <w:color w:val="000000"/>
                <w:sz w:val="18"/>
                <w:szCs w:val="18"/>
                <w:lang w:val="sl-SI" w:eastAsia="en-GB"/>
              </w:rPr>
              <w:t xml:space="preserve">-site </w:t>
            </w:r>
            <w:proofErr w:type="spellStart"/>
            <w:r w:rsidRPr="00275FBD">
              <w:rPr>
                <w:rFonts w:ascii="Calibri" w:hAnsi="Calibri"/>
                <w:color w:val="000000"/>
                <w:sz w:val="18"/>
                <w:szCs w:val="18"/>
                <w:lang w:val="sl-SI" w:eastAsia="en-GB"/>
              </w:rPr>
              <w:t>protective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measures</w:t>
            </w:r>
            <w:proofErr w:type="spellEnd"/>
            <w:r w:rsidRPr="00275FBD">
              <w:rPr>
                <w:rFonts w:ascii="Calibri" w:hAnsi="Calibri"/>
                <w:color w:val="000000"/>
                <w:sz w:val="18"/>
                <w:szCs w:val="18"/>
                <w:lang w:val="sl-SI" w:eastAsia="en-GB"/>
              </w:rPr>
              <w:t>).</w:t>
            </w:r>
          </w:p>
        </w:tc>
        <w:tc>
          <w:tcPr>
            <w:tcW w:w="2694" w:type="dxa"/>
          </w:tcPr>
          <w:p w14:paraId="72093683"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4B0EDF74" w14:textId="77777777" w:rsidTr="00935B67">
        <w:tc>
          <w:tcPr>
            <w:tcW w:w="1384" w:type="dxa"/>
            <w:shd w:val="clear" w:color="auto" w:fill="FBD4B4" w:themeFill="accent6" w:themeFillTint="66"/>
          </w:tcPr>
          <w:p w14:paraId="6C9810D7"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sz w:val="18"/>
                <w:szCs w:val="18"/>
                <w:lang w:val="sl-SI" w:eastAsia="en-GB"/>
              </w:rPr>
              <w:t>PSR3 4.5-012</w:t>
            </w:r>
          </w:p>
        </w:tc>
        <w:tc>
          <w:tcPr>
            <w:tcW w:w="3827" w:type="dxa"/>
            <w:vAlign w:val="center"/>
          </w:tcPr>
          <w:p w14:paraId="20CAFA26"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UPS </w:t>
            </w:r>
            <w:proofErr w:type="spellStart"/>
            <w:r w:rsidRPr="00275FBD">
              <w:rPr>
                <w:rFonts w:ascii="Calibri" w:hAnsi="Calibri"/>
                <w:color w:val="000000"/>
                <w:sz w:val="18"/>
                <w:szCs w:val="18"/>
                <w:lang w:val="sl-SI" w:eastAsia="en-GB"/>
              </w:rPr>
              <w:t>functionality</w:t>
            </w:r>
            <w:proofErr w:type="spellEnd"/>
            <w:r w:rsidRPr="00275FBD">
              <w:rPr>
                <w:rFonts w:ascii="Calibri" w:hAnsi="Calibri"/>
                <w:color w:val="000000"/>
                <w:sz w:val="18"/>
                <w:szCs w:val="18"/>
                <w:lang w:val="sl-SI" w:eastAsia="en-GB"/>
              </w:rPr>
              <w:t xml:space="preserve"> in the TPC and ZPC; </w:t>
            </w:r>
            <w:proofErr w:type="spellStart"/>
            <w:r w:rsidRPr="00275FBD">
              <w:rPr>
                <w:rFonts w:ascii="Calibri" w:hAnsi="Calibri"/>
                <w:color w:val="000000"/>
                <w:sz w:val="18"/>
                <w:szCs w:val="18"/>
                <w:lang w:val="sl-SI" w:eastAsia="en-GB"/>
              </w:rPr>
              <w:t>Systems</w:t>
            </w:r>
            <w:proofErr w:type="spellEnd"/>
            <w:r w:rsidRPr="00275FBD">
              <w:rPr>
                <w:rFonts w:ascii="Calibri" w:hAnsi="Calibri"/>
                <w:color w:val="000000"/>
                <w:sz w:val="18"/>
                <w:szCs w:val="18"/>
                <w:lang w:val="sl-SI" w:eastAsia="en-GB"/>
              </w:rPr>
              <w:t xml:space="preserve"> / </w:t>
            </w:r>
            <w:proofErr w:type="spellStart"/>
            <w:r w:rsidRPr="00275FBD">
              <w:rPr>
                <w:rFonts w:ascii="Calibri" w:hAnsi="Calibri"/>
                <w:color w:val="000000"/>
                <w:sz w:val="18"/>
                <w:szCs w:val="18"/>
                <w:lang w:val="sl-SI" w:eastAsia="en-GB"/>
              </w:rPr>
              <w:t>functions</w:t>
            </w:r>
            <w:proofErr w:type="spellEnd"/>
            <w:r w:rsidRPr="00275FBD">
              <w:rPr>
                <w:rFonts w:ascii="Calibri" w:hAnsi="Calibri"/>
                <w:color w:val="000000"/>
                <w:sz w:val="18"/>
                <w:szCs w:val="18"/>
                <w:lang w:val="sl-SI" w:eastAsia="en-GB"/>
              </w:rPr>
              <w:t xml:space="preserve">: Emergency </w:t>
            </w:r>
            <w:proofErr w:type="spellStart"/>
            <w:r w:rsidRPr="00275FBD">
              <w:rPr>
                <w:rFonts w:ascii="Calibri" w:hAnsi="Calibri"/>
                <w:color w:val="000000"/>
                <w:sz w:val="18"/>
                <w:szCs w:val="18"/>
                <w:lang w:val="sl-SI" w:eastAsia="en-GB"/>
              </w:rPr>
              <w:t>planning</w:t>
            </w:r>
            <w:proofErr w:type="spellEnd"/>
            <w:r w:rsidRPr="00275FBD">
              <w:rPr>
                <w:rFonts w:ascii="Calibri" w:hAnsi="Calibri"/>
                <w:color w:val="000000"/>
                <w:sz w:val="18"/>
                <w:szCs w:val="18"/>
                <w:lang w:val="sl-SI" w:eastAsia="en-GB"/>
              </w:rPr>
              <w:t xml:space="preserve"> / response; Risk / DOD </w:t>
            </w:r>
            <w:proofErr w:type="spellStart"/>
            <w:r w:rsidRPr="00275FBD">
              <w:rPr>
                <w:rFonts w:ascii="Calibri" w:hAnsi="Calibri"/>
                <w:color w:val="000000"/>
                <w:sz w:val="18"/>
                <w:szCs w:val="18"/>
                <w:lang w:val="sl-SI" w:eastAsia="en-GB"/>
              </w:rPr>
              <w:t>significance</w:t>
            </w:r>
            <w:proofErr w:type="spellEnd"/>
            <w:r w:rsidRPr="00275FBD">
              <w:rPr>
                <w:rFonts w:ascii="Calibri" w:hAnsi="Calibri"/>
                <w:color w:val="000000"/>
                <w:sz w:val="18"/>
                <w:szCs w:val="18"/>
                <w:lang w:val="sl-SI" w:eastAsia="en-GB"/>
              </w:rPr>
              <w:t>: TL.</w:t>
            </w:r>
          </w:p>
        </w:tc>
        <w:tc>
          <w:tcPr>
            <w:tcW w:w="993" w:type="dxa"/>
          </w:tcPr>
          <w:p w14:paraId="25EB48D1"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3.3.3</w:t>
            </w:r>
          </w:p>
        </w:tc>
        <w:tc>
          <w:tcPr>
            <w:tcW w:w="5244" w:type="dxa"/>
          </w:tcPr>
          <w:p w14:paraId="4E553891"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NEK </w:t>
            </w:r>
            <w:proofErr w:type="spellStart"/>
            <w:r w:rsidRPr="00275FBD">
              <w:rPr>
                <w:rFonts w:ascii="Calibri" w:hAnsi="Calibri"/>
                <w:color w:val="000000"/>
                <w:sz w:val="18"/>
                <w:szCs w:val="18"/>
                <w:lang w:val="sl-SI" w:eastAsia="en-GB"/>
              </w:rPr>
              <w:t>must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analyze</w:t>
            </w:r>
            <w:proofErr w:type="spellEnd"/>
            <w:r w:rsidRPr="00275FBD">
              <w:rPr>
                <w:rFonts w:ascii="Calibri" w:hAnsi="Calibri"/>
                <w:color w:val="000000"/>
                <w:sz w:val="18"/>
                <w:szCs w:val="18"/>
                <w:lang w:val="sl-SI" w:eastAsia="en-GB"/>
              </w:rPr>
              <w:t xml:space="preserve"> the </w:t>
            </w:r>
            <w:proofErr w:type="spellStart"/>
            <w:r w:rsidRPr="00275FBD">
              <w:rPr>
                <w:rFonts w:ascii="Calibri" w:hAnsi="Calibri"/>
                <w:color w:val="000000"/>
                <w:sz w:val="18"/>
                <w:szCs w:val="18"/>
                <w:lang w:val="sl-SI" w:eastAsia="en-GB"/>
              </w:rPr>
              <w:t>needs</w:t>
            </w:r>
            <w:proofErr w:type="spellEnd"/>
            <w:r w:rsidRPr="00275FBD">
              <w:rPr>
                <w:rFonts w:ascii="Calibri" w:hAnsi="Calibri"/>
                <w:color w:val="000000"/>
                <w:sz w:val="18"/>
                <w:szCs w:val="18"/>
                <w:lang w:val="sl-SI" w:eastAsia="en-GB"/>
              </w:rPr>
              <w:t xml:space="preserve"> for the UPS for </w:t>
            </w:r>
            <w:proofErr w:type="spellStart"/>
            <w:r w:rsidRPr="00275FBD">
              <w:rPr>
                <w:rFonts w:ascii="Calibri" w:hAnsi="Calibri"/>
                <w:color w:val="000000"/>
                <w:sz w:val="18"/>
                <w:szCs w:val="18"/>
                <w:lang w:val="sl-SI" w:eastAsia="en-GB"/>
              </w:rPr>
              <w:t>each</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position</w:t>
            </w:r>
            <w:proofErr w:type="spellEnd"/>
            <w:r w:rsidRPr="00275FBD">
              <w:rPr>
                <w:rFonts w:ascii="Calibri" w:hAnsi="Calibri"/>
                <w:color w:val="000000"/>
                <w:sz w:val="18"/>
                <w:szCs w:val="18"/>
                <w:lang w:val="sl-SI" w:eastAsia="en-GB"/>
              </w:rPr>
              <w:t xml:space="preserve"> in the TPC and ZPC. The alternative (</w:t>
            </w:r>
            <w:proofErr w:type="spellStart"/>
            <w:r w:rsidRPr="00275FBD">
              <w:rPr>
                <w:rFonts w:ascii="Calibri" w:hAnsi="Calibri"/>
                <w:color w:val="000000"/>
                <w:sz w:val="18"/>
                <w:szCs w:val="18"/>
                <w:lang w:val="sl-SI" w:eastAsia="en-GB"/>
              </w:rPr>
              <w:t>backup</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power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supply</w:t>
            </w:r>
            <w:proofErr w:type="spellEnd"/>
            <w:r w:rsidRPr="00275FBD">
              <w:rPr>
                <w:rFonts w:ascii="Calibri" w:hAnsi="Calibri"/>
                <w:color w:val="000000"/>
                <w:sz w:val="18"/>
                <w:szCs w:val="18"/>
                <w:lang w:val="sl-SI" w:eastAsia="en-GB"/>
              </w:rPr>
              <w:t xml:space="preserve"> according to the </w:t>
            </w:r>
            <w:proofErr w:type="spellStart"/>
            <w:r w:rsidRPr="00275FBD">
              <w:rPr>
                <w:rFonts w:ascii="Calibri" w:hAnsi="Calibri"/>
                <w:color w:val="000000"/>
                <w:sz w:val="18"/>
                <w:szCs w:val="18"/>
                <w:lang w:val="sl-SI" w:eastAsia="en-GB"/>
              </w:rPr>
              <w:t>analysis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must</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available</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provided</w:t>
            </w:r>
            <w:proofErr w:type="spellEnd"/>
            <w:r w:rsidRPr="00275FBD">
              <w:rPr>
                <w:rFonts w:ascii="Calibri" w:hAnsi="Calibri"/>
                <w:color w:val="000000"/>
                <w:sz w:val="18"/>
                <w:szCs w:val="18"/>
                <w:lang w:val="sl-SI" w:eastAsia="en-GB"/>
              </w:rPr>
              <w:t xml:space="preserve"> for all the </w:t>
            </w:r>
            <w:proofErr w:type="spellStart"/>
            <w:r w:rsidRPr="00275FBD">
              <w:rPr>
                <w:rFonts w:ascii="Calibri" w:hAnsi="Calibri"/>
                <w:color w:val="000000"/>
                <w:sz w:val="18"/>
                <w:szCs w:val="18"/>
                <w:lang w:val="sl-SI" w:eastAsia="en-GB"/>
              </w:rPr>
              <w:t>positions</w:t>
            </w:r>
            <w:proofErr w:type="spellEnd"/>
            <w:r w:rsidRPr="00275FBD">
              <w:rPr>
                <w:rFonts w:ascii="Calibri" w:hAnsi="Calibri"/>
                <w:color w:val="000000"/>
                <w:sz w:val="18"/>
                <w:szCs w:val="18"/>
                <w:lang w:val="sl-SI" w:eastAsia="en-GB"/>
              </w:rPr>
              <w:t xml:space="preserve"> in TPC and ZPC.</w:t>
            </w:r>
          </w:p>
        </w:tc>
        <w:tc>
          <w:tcPr>
            <w:tcW w:w="2694" w:type="dxa"/>
          </w:tcPr>
          <w:p w14:paraId="3667E6D2"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7FCBFA13" w14:textId="77777777" w:rsidTr="00935B67">
        <w:tc>
          <w:tcPr>
            <w:tcW w:w="1384" w:type="dxa"/>
            <w:tcBorders>
              <w:bottom w:val="single" w:sz="4" w:space="0" w:color="auto"/>
            </w:tcBorders>
            <w:shd w:val="clear" w:color="auto" w:fill="FBD4B4" w:themeFill="accent6" w:themeFillTint="66"/>
          </w:tcPr>
          <w:p w14:paraId="149F44D4"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4.5-015</w:t>
            </w:r>
          </w:p>
        </w:tc>
        <w:tc>
          <w:tcPr>
            <w:tcW w:w="3827" w:type="dxa"/>
            <w:tcBorders>
              <w:bottom w:val="single" w:sz="4" w:space="0" w:color="auto"/>
            </w:tcBorders>
          </w:tcPr>
          <w:p w14:paraId="3D202AC5" w14:textId="77777777" w:rsidR="00935B67" w:rsidRPr="00275FBD" w:rsidRDefault="00935B67" w:rsidP="00935B67">
            <w:pPr>
              <w:jc w:val="left"/>
              <w:rPr>
                <w:rFonts w:ascii="Calibri" w:hAnsi="Calibri"/>
                <w:b/>
                <w:bCs/>
                <w:color w:val="000000" w:themeColor="text1"/>
                <w:sz w:val="18"/>
                <w:szCs w:val="18"/>
                <w:lang w:val="sl-SI" w:eastAsia="en-GB"/>
              </w:rPr>
            </w:pPr>
            <w:r w:rsidRPr="00275FBD">
              <w:rPr>
                <w:rFonts w:ascii="Calibri" w:hAnsi="Calibri"/>
                <w:b/>
                <w:bCs/>
                <w:color w:val="000000" w:themeColor="text1"/>
                <w:sz w:val="18"/>
                <w:szCs w:val="18"/>
                <w:lang w:val="sl-SI" w:eastAsia="en-GB"/>
              </w:rPr>
              <w:t>On-site/</w:t>
            </w:r>
            <w:proofErr w:type="spellStart"/>
            <w:r w:rsidRPr="00275FBD">
              <w:rPr>
                <w:rFonts w:ascii="Calibri" w:hAnsi="Calibri"/>
                <w:b/>
                <w:bCs/>
                <w:color w:val="000000" w:themeColor="text1"/>
                <w:sz w:val="18"/>
                <w:szCs w:val="18"/>
                <w:lang w:val="sl-SI" w:eastAsia="en-GB"/>
              </w:rPr>
              <w:t>off</w:t>
            </w:r>
            <w:proofErr w:type="spellEnd"/>
            <w:r w:rsidRPr="00275FBD">
              <w:rPr>
                <w:rFonts w:ascii="Calibri" w:hAnsi="Calibri"/>
                <w:b/>
                <w:bCs/>
                <w:color w:val="000000" w:themeColor="text1"/>
                <w:sz w:val="18"/>
                <w:szCs w:val="18"/>
                <w:lang w:val="sl-SI" w:eastAsia="en-GB"/>
              </w:rPr>
              <w:t xml:space="preserve">-site </w:t>
            </w:r>
            <w:proofErr w:type="spellStart"/>
            <w:r w:rsidRPr="00275FBD">
              <w:rPr>
                <w:rFonts w:ascii="Calibri" w:hAnsi="Calibri"/>
                <w:b/>
                <w:bCs/>
                <w:color w:val="000000" w:themeColor="text1"/>
                <w:sz w:val="18"/>
                <w:szCs w:val="18"/>
                <w:lang w:val="sl-SI" w:eastAsia="en-GB"/>
              </w:rPr>
              <w:t>coordination</w:t>
            </w:r>
            <w:proofErr w:type="spellEnd"/>
            <w:r w:rsidRPr="00275FBD">
              <w:rPr>
                <w:rFonts w:ascii="Calibri" w:hAnsi="Calibri"/>
                <w:b/>
                <w:bCs/>
                <w:color w:val="000000" w:themeColor="text1"/>
                <w:sz w:val="18"/>
                <w:szCs w:val="18"/>
                <w:lang w:val="sl-SI" w:eastAsia="en-GB"/>
              </w:rPr>
              <w:t xml:space="preserve"> and </w:t>
            </w:r>
            <w:proofErr w:type="spellStart"/>
            <w:r w:rsidRPr="00275FBD">
              <w:rPr>
                <w:rFonts w:ascii="Calibri" w:hAnsi="Calibri"/>
                <w:b/>
                <w:bCs/>
                <w:color w:val="000000" w:themeColor="text1"/>
                <w:sz w:val="18"/>
                <w:szCs w:val="18"/>
                <w:lang w:val="sl-SI" w:eastAsia="en-GB"/>
              </w:rPr>
              <w:t>cooperation</w:t>
            </w:r>
            <w:proofErr w:type="spellEnd"/>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co-ordination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between</w:t>
            </w:r>
            <w:proofErr w:type="spellEnd"/>
            <w:r w:rsidRPr="00275FBD">
              <w:rPr>
                <w:rFonts w:ascii="Calibri" w:hAnsi="Calibri"/>
                <w:color w:val="000000" w:themeColor="text1"/>
                <w:sz w:val="18"/>
                <w:szCs w:val="18"/>
                <w:lang w:val="sl-SI" w:eastAsia="en-GB"/>
              </w:rPr>
              <w:t xml:space="preserve"> NEK and the Slovenian </w:t>
            </w:r>
            <w:proofErr w:type="spellStart"/>
            <w:r w:rsidRPr="00275FBD">
              <w:rPr>
                <w:rFonts w:ascii="Calibri" w:hAnsi="Calibri"/>
                <w:color w:val="000000" w:themeColor="text1"/>
                <w:sz w:val="18"/>
                <w:szCs w:val="18"/>
                <w:lang w:val="sl-SI" w:eastAsia="en-GB"/>
              </w:rPr>
              <w:t>off</w:t>
            </w:r>
            <w:proofErr w:type="spellEnd"/>
            <w:r w:rsidRPr="00275FBD">
              <w:rPr>
                <w:rFonts w:ascii="Calibri" w:hAnsi="Calibri"/>
                <w:color w:val="000000" w:themeColor="text1"/>
                <w:sz w:val="18"/>
                <w:szCs w:val="18"/>
                <w:lang w:val="sl-SI" w:eastAsia="en-GB"/>
              </w:rPr>
              <w:t xml:space="preserve">-site competent </w:t>
            </w:r>
            <w:proofErr w:type="spellStart"/>
            <w:r w:rsidRPr="00275FBD">
              <w:rPr>
                <w:rFonts w:ascii="Calibri" w:hAnsi="Calibri"/>
                <w:color w:val="000000" w:themeColor="text1"/>
                <w:sz w:val="18"/>
                <w:szCs w:val="18"/>
                <w:lang w:val="sl-SI" w:eastAsia="en-GB"/>
              </w:rPr>
              <w:t>authorities</w:t>
            </w:r>
            <w:proofErr w:type="spellEnd"/>
            <w:r w:rsidRPr="00275FBD">
              <w:rPr>
                <w:rFonts w:ascii="Calibri" w:hAnsi="Calibri"/>
                <w:color w:val="000000" w:themeColor="text1"/>
                <w:sz w:val="18"/>
                <w:szCs w:val="18"/>
                <w:lang w:val="sl-SI" w:eastAsia="en-GB"/>
              </w:rPr>
              <w:t xml:space="preserve"> is </w:t>
            </w:r>
            <w:proofErr w:type="spellStart"/>
            <w:r w:rsidRPr="00275FBD">
              <w:rPr>
                <w:rFonts w:ascii="Calibri" w:hAnsi="Calibri"/>
                <w:color w:val="000000" w:themeColor="text1"/>
                <w:sz w:val="18"/>
                <w:szCs w:val="18"/>
                <w:lang w:val="sl-SI" w:eastAsia="en-GB"/>
              </w:rPr>
              <w:t>maintained</w:t>
            </w:r>
            <w:proofErr w:type="spellEnd"/>
            <w:r w:rsidRPr="00275FBD">
              <w:rPr>
                <w:rFonts w:ascii="Calibri" w:hAnsi="Calibri"/>
                <w:color w:val="000000" w:themeColor="text1"/>
                <w:sz w:val="18"/>
                <w:szCs w:val="18"/>
                <w:lang w:val="sl-SI" w:eastAsia="en-GB"/>
              </w:rPr>
              <w:t xml:space="preserve"> by </w:t>
            </w:r>
            <w:proofErr w:type="spellStart"/>
            <w:r w:rsidRPr="00275FBD">
              <w:rPr>
                <w:rFonts w:ascii="Calibri" w:hAnsi="Calibri"/>
                <w:color w:val="000000" w:themeColor="text1"/>
                <w:sz w:val="18"/>
                <w:szCs w:val="18"/>
                <w:lang w:val="sl-SI" w:eastAsia="en-GB"/>
              </w:rPr>
              <w:t>organizing</w:t>
            </w:r>
            <w:proofErr w:type="spellEnd"/>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working</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meetings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where</w:t>
            </w:r>
            <w:proofErr w:type="spellEnd"/>
            <w:r w:rsidRPr="00275FBD">
              <w:rPr>
                <w:rFonts w:ascii="Calibri" w:hAnsi="Calibri"/>
                <w:color w:val="000000" w:themeColor="text1"/>
                <w:sz w:val="18"/>
                <w:szCs w:val="18"/>
                <w:lang w:val="sl-SI" w:eastAsia="en-GB"/>
              </w:rPr>
              <w:t xml:space="preserve"> all the </w:t>
            </w:r>
            <w:proofErr w:type="spellStart"/>
            <w:r w:rsidRPr="00275FBD">
              <w:rPr>
                <w:rFonts w:ascii="Calibri" w:hAnsi="Calibri"/>
                <w:color w:val="000000" w:themeColor="text1"/>
                <w:sz w:val="18"/>
                <w:szCs w:val="18"/>
                <w:lang w:val="sl-SI" w:eastAsia="en-GB"/>
              </w:rPr>
              <w:t>issues</w:t>
            </w:r>
            <w:proofErr w:type="spellEnd"/>
            <w:r w:rsidRPr="00275FBD">
              <w:rPr>
                <w:rFonts w:ascii="Calibri" w:hAnsi="Calibri"/>
                <w:color w:val="000000" w:themeColor="text1"/>
                <w:sz w:val="18"/>
                <w:szCs w:val="18"/>
                <w:lang w:val="sl-SI" w:eastAsia="en-GB"/>
              </w:rPr>
              <w:t xml:space="preserve"> are </w:t>
            </w:r>
            <w:proofErr w:type="spellStart"/>
            <w:r w:rsidRPr="00275FBD">
              <w:rPr>
                <w:rFonts w:ascii="Calibri" w:hAnsi="Calibri"/>
                <w:color w:val="000000" w:themeColor="text1"/>
                <w:sz w:val="18"/>
                <w:szCs w:val="18"/>
                <w:lang w:val="sl-SI" w:eastAsia="en-GB"/>
              </w:rPr>
              <w:t>discussed</w:t>
            </w:r>
            <w:proofErr w:type="spellEnd"/>
            <w:r w:rsidRPr="00275FBD">
              <w:rPr>
                <w:rFonts w:ascii="Calibri" w:hAnsi="Calibri"/>
                <w:color w:val="000000" w:themeColor="text1"/>
                <w:sz w:val="18"/>
                <w:szCs w:val="18"/>
                <w:lang w:val="sl-SI" w:eastAsia="en-GB"/>
              </w:rPr>
              <w:t xml:space="preserve"> and the </w:t>
            </w:r>
            <w:proofErr w:type="spellStart"/>
            <w:r w:rsidRPr="00275FBD">
              <w:rPr>
                <w:rFonts w:ascii="Calibri" w:hAnsi="Calibri"/>
                <w:color w:val="000000" w:themeColor="text1"/>
                <w:sz w:val="18"/>
                <w:szCs w:val="18"/>
                <w:lang w:val="sl-SI" w:eastAsia="en-GB"/>
              </w:rPr>
              <w:t>plans</w:t>
            </w:r>
            <w:proofErr w:type="spellEnd"/>
            <w:r w:rsidRPr="00275FBD">
              <w:rPr>
                <w:rFonts w:ascii="Calibri" w:hAnsi="Calibri"/>
                <w:color w:val="000000" w:themeColor="text1"/>
                <w:sz w:val="18"/>
                <w:szCs w:val="18"/>
                <w:lang w:val="sl-SI" w:eastAsia="en-GB"/>
              </w:rPr>
              <w:t xml:space="preserve"> are </w:t>
            </w:r>
            <w:proofErr w:type="spellStart"/>
            <w:r w:rsidRPr="00275FBD">
              <w:rPr>
                <w:rFonts w:ascii="Calibri" w:hAnsi="Calibri"/>
                <w:color w:val="000000" w:themeColor="text1"/>
                <w:sz w:val="18"/>
                <w:szCs w:val="18"/>
                <w:lang w:val="sl-SI" w:eastAsia="en-GB"/>
              </w:rPr>
              <w:t>aligned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if</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needed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Similar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mechanisms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don’t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exist</w:t>
            </w:r>
            <w:proofErr w:type="spellEnd"/>
            <w:r w:rsidRPr="00275FBD">
              <w:rPr>
                <w:rFonts w:ascii="Calibri" w:hAnsi="Calibri"/>
                <w:color w:val="000000" w:themeColor="text1"/>
                <w:sz w:val="18"/>
                <w:szCs w:val="18"/>
                <w:lang w:val="sl-SI" w:eastAsia="en-GB"/>
              </w:rPr>
              <w:t xml:space="preserve"> for the </w:t>
            </w:r>
            <w:proofErr w:type="spellStart"/>
            <w:r w:rsidRPr="00275FBD">
              <w:rPr>
                <w:rFonts w:ascii="Calibri" w:hAnsi="Calibri"/>
                <w:color w:val="000000" w:themeColor="text1"/>
                <w:sz w:val="18"/>
                <w:szCs w:val="18"/>
                <w:lang w:val="sl-SI" w:eastAsia="en-GB"/>
              </w:rPr>
              <w:t>Croatian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authorities</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OSF element: Operational Quality Assurance Program.</w:t>
            </w:r>
            <w:r w:rsidRPr="00275FBD">
              <w:rPr>
                <w:rFonts w:ascii="Calibri" w:hAnsi="Calibri"/>
                <w:color w:val="000000" w:themeColor="text1"/>
                <w:sz w:val="18"/>
                <w:szCs w:val="18"/>
                <w:lang w:val="sl-SI" w:eastAsia="en-GB"/>
              </w:rPr>
              <w:br/>
              <w:t xml:space="preserve">The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is </w:t>
            </w:r>
            <w:proofErr w:type="spellStart"/>
            <w:r w:rsidRPr="00275FBD">
              <w:rPr>
                <w:rFonts w:ascii="Calibri" w:hAnsi="Calibri"/>
                <w:color w:val="000000" w:themeColor="text1"/>
                <w:sz w:val="18"/>
                <w:szCs w:val="18"/>
                <w:lang w:val="sl-SI" w:eastAsia="en-GB"/>
              </w:rPr>
              <w:t>considered</w:t>
            </w:r>
            <w:proofErr w:type="spellEnd"/>
            <w:r w:rsidRPr="00275FBD">
              <w:rPr>
                <w:rFonts w:ascii="Calibri" w:hAnsi="Calibri"/>
                <w:color w:val="000000" w:themeColor="text1"/>
                <w:sz w:val="18"/>
                <w:szCs w:val="18"/>
                <w:lang w:val="sl-SI" w:eastAsia="en-GB"/>
              </w:rPr>
              <w:t xml:space="preserve"> to be </w:t>
            </w:r>
            <w:proofErr w:type="spellStart"/>
            <w:r w:rsidRPr="00275FBD">
              <w:rPr>
                <w:rFonts w:ascii="Calibri" w:hAnsi="Calibri"/>
                <w:color w:val="000000" w:themeColor="text1"/>
                <w:sz w:val="18"/>
                <w:szCs w:val="18"/>
                <w:lang w:val="sl-SI" w:eastAsia="en-GB"/>
              </w:rPr>
              <w:t>related</w:t>
            </w:r>
            <w:proofErr w:type="spellEnd"/>
            <w:r w:rsidRPr="00275FBD">
              <w:rPr>
                <w:rFonts w:ascii="Calibri" w:hAnsi="Calibri"/>
                <w:color w:val="000000" w:themeColor="text1"/>
                <w:sz w:val="18"/>
                <w:szCs w:val="18"/>
                <w:lang w:val="sl-SI" w:eastAsia="en-GB"/>
              </w:rPr>
              <w:t xml:space="preserve"> to PSR3 4.5-010 and is </w:t>
            </w:r>
            <w:proofErr w:type="spellStart"/>
            <w:r w:rsidRPr="00275FBD">
              <w:rPr>
                <w:rFonts w:ascii="Calibri" w:hAnsi="Calibri"/>
                <w:color w:val="000000" w:themeColor="text1"/>
                <w:sz w:val="18"/>
                <w:szCs w:val="18"/>
                <w:lang w:val="sl-SI" w:eastAsia="en-GB"/>
              </w:rPr>
              <w:t>ranked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accordingly</w:t>
            </w:r>
            <w:proofErr w:type="spellEnd"/>
            <w:r w:rsidRPr="00275FBD">
              <w:rPr>
                <w:rFonts w:ascii="Calibri" w:hAnsi="Calibri"/>
                <w:color w:val="000000" w:themeColor="text1"/>
                <w:sz w:val="18"/>
                <w:szCs w:val="18"/>
                <w:lang w:val="sl-SI" w:eastAsia="en-GB"/>
              </w:rPr>
              <w:t>.</w:t>
            </w:r>
          </w:p>
        </w:tc>
        <w:tc>
          <w:tcPr>
            <w:tcW w:w="993" w:type="dxa"/>
            <w:tcBorders>
              <w:bottom w:val="single" w:sz="4" w:space="0" w:color="auto"/>
            </w:tcBorders>
          </w:tcPr>
          <w:p w14:paraId="1615926C"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3.1.3</w:t>
            </w:r>
          </w:p>
        </w:tc>
        <w:tc>
          <w:tcPr>
            <w:tcW w:w="5244" w:type="dxa"/>
            <w:tcBorders>
              <w:bottom w:val="single" w:sz="4" w:space="0" w:color="auto"/>
            </w:tcBorders>
          </w:tcPr>
          <w:p w14:paraId="549EFE51"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NEK </w:t>
            </w:r>
            <w:proofErr w:type="spellStart"/>
            <w:r w:rsidRPr="00275FBD">
              <w:rPr>
                <w:rFonts w:ascii="Calibri" w:hAnsi="Calibri"/>
                <w:color w:val="000000"/>
                <w:sz w:val="18"/>
                <w:szCs w:val="18"/>
                <w:lang w:val="sl-SI" w:eastAsia="en-GB"/>
              </w:rPr>
              <w:t>must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establish</w:t>
            </w:r>
            <w:proofErr w:type="spellEnd"/>
            <w:r w:rsidRPr="00275FBD">
              <w:rPr>
                <w:rFonts w:ascii="Calibri" w:hAnsi="Calibri"/>
                <w:color w:val="000000"/>
                <w:sz w:val="18"/>
                <w:szCs w:val="18"/>
                <w:lang w:val="sl-SI" w:eastAsia="en-GB"/>
              </w:rPr>
              <w:t xml:space="preserve"> the </w:t>
            </w:r>
            <w:proofErr w:type="spellStart"/>
            <w:r w:rsidRPr="00275FBD">
              <w:rPr>
                <w:rFonts w:ascii="Calibri" w:hAnsi="Calibri"/>
                <w:color w:val="000000"/>
                <w:sz w:val="18"/>
                <w:szCs w:val="18"/>
                <w:lang w:val="sl-SI" w:eastAsia="en-GB"/>
              </w:rPr>
              <w:t>cooperation</w:t>
            </w:r>
            <w:proofErr w:type="spellEnd"/>
            <w:r w:rsidRPr="00275FBD">
              <w:rPr>
                <w:rFonts w:ascii="Calibri" w:hAnsi="Calibri"/>
                <w:color w:val="000000"/>
                <w:sz w:val="18"/>
                <w:szCs w:val="18"/>
                <w:lang w:val="sl-SI" w:eastAsia="en-GB"/>
              </w:rPr>
              <w:t xml:space="preserve"> with </w:t>
            </w:r>
            <w:proofErr w:type="spellStart"/>
            <w:r w:rsidRPr="00275FBD">
              <w:rPr>
                <w:rFonts w:ascii="Calibri" w:hAnsi="Calibri"/>
                <w:color w:val="000000"/>
                <w:sz w:val="18"/>
                <w:szCs w:val="18"/>
                <w:lang w:val="sl-SI" w:eastAsia="en-GB"/>
              </w:rPr>
              <w:t>off</w:t>
            </w:r>
            <w:proofErr w:type="spellEnd"/>
            <w:r w:rsidRPr="00275FBD">
              <w:rPr>
                <w:rFonts w:ascii="Calibri" w:hAnsi="Calibri"/>
                <w:color w:val="000000"/>
                <w:sz w:val="18"/>
                <w:szCs w:val="18"/>
                <w:lang w:val="sl-SI" w:eastAsia="en-GB"/>
              </w:rPr>
              <w:t xml:space="preserve">-site competent </w:t>
            </w:r>
            <w:proofErr w:type="spellStart"/>
            <w:r w:rsidRPr="00275FBD">
              <w:rPr>
                <w:rFonts w:ascii="Calibri" w:hAnsi="Calibri"/>
                <w:color w:val="000000"/>
                <w:sz w:val="18"/>
                <w:szCs w:val="18"/>
                <w:lang w:val="sl-SI" w:eastAsia="en-GB"/>
              </w:rPr>
              <w:t>Croatian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authorities</w:t>
            </w:r>
            <w:proofErr w:type="spellEnd"/>
            <w:r w:rsidRPr="00275FBD">
              <w:rPr>
                <w:rFonts w:ascii="Calibri" w:hAnsi="Calibri"/>
                <w:color w:val="000000"/>
                <w:sz w:val="18"/>
                <w:szCs w:val="18"/>
                <w:lang w:val="sl-SI" w:eastAsia="en-GB"/>
              </w:rPr>
              <w:t>.</w:t>
            </w:r>
          </w:p>
        </w:tc>
        <w:tc>
          <w:tcPr>
            <w:tcW w:w="2694" w:type="dxa"/>
            <w:tcBorders>
              <w:bottom w:val="single" w:sz="4" w:space="0" w:color="auto"/>
            </w:tcBorders>
          </w:tcPr>
          <w:p w14:paraId="728F5565"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76E7DCB0" w14:textId="77777777" w:rsidTr="00935B67">
        <w:tc>
          <w:tcPr>
            <w:tcW w:w="1384" w:type="dxa"/>
            <w:tcBorders>
              <w:top w:val="single" w:sz="4" w:space="0" w:color="auto"/>
            </w:tcBorders>
            <w:shd w:val="clear" w:color="auto" w:fill="92CDDC" w:themeFill="accent5" w:themeFillTint="99"/>
          </w:tcPr>
          <w:p w14:paraId="4F45AACE"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sz w:val="18"/>
                <w:szCs w:val="18"/>
                <w:lang w:val="sl-SI" w:eastAsia="en-GB"/>
              </w:rPr>
              <w:lastRenderedPageBreak/>
              <w:t>PSR3 5.1-002</w:t>
            </w:r>
          </w:p>
        </w:tc>
        <w:tc>
          <w:tcPr>
            <w:tcW w:w="3827" w:type="dxa"/>
            <w:tcBorders>
              <w:top w:val="single" w:sz="4" w:space="0" w:color="auto"/>
            </w:tcBorders>
          </w:tcPr>
          <w:p w14:paraId="3EB67D13"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b/>
                <w:bCs/>
                <w:color w:val="000000" w:themeColor="text1"/>
                <w:sz w:val="18"/>
                <w:szCs w:val="18"/>
                <w:lang w:val="sl-SI" w:eastAsia="en-GB"/>
              </w:rPr>
              <w:t xml:space="preserve">In some </w:t>
            </w:r>
            <w:proofErr w:type="spellStart"/>
            <w:r w:rsidRPr="00275FBD">
              <w:rPr>
                <w:rFonts w:ascii="Calibri" w:hAnsi="Calibri"/>
                <w:b/>
                <w:bCs/>
                <w:color w:val="000000" w:themeColor="text1"/>
                <w:sz w:val="18"/>
                <w:szCs w:val="18"/>
                <w:lang w:val="sl-SI" w:eastAsia="en-GB"/>
              </w:rPr>
              <w:t>places</w:t>
            </w:r>
            <w:proofErr w:type="spellEnd"/>
            <w:r w:rsidRPr="00275FBD">
              <w:rPr>
                <w:rFonts w:ascii="Calibri" w:hAnsi="Calibri"/>
                <w:b/>
                <w:bCs/>
                <w:color w:val="000000" w:themeColor="text1"/>
                <w:sz w:val="18"/>
                <w:szCs w:val="18"/>
                <w:lang w:val="sl-SI" w:eastAsia="en-GB"/>
              </w:rPr>
              <w:t xml:space="preserve"> in the USAR [15], the anglo-</w:t>
            </w:r>
            <w:proofErr w:type="spellStart"/>
            <w:r w:rsidRPr="00275FBD">
              <w:rPr>
                <w:rFonts w:ascii="Calibri" w:hAnsi="Calibri"/>
                <w:b/>
                <w:bCs/>
                <w:color w:val="000000" w:themeColor="text1"/>
                <w:sz w:val="18"/>
                <w:szCs w:val="18"/>
                <w:lang w:val="sl-SI" w:eastAsia="en-GB"/>
              </w:rPr>
              <w:t>saxon</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units</w:t>
            </w:r>
            <w:proofErr w:type="spellEnd"/>
            <w:r w:rsidRPr="00275FBD">
              <w:rPr>
                <w:rFonts w:ascii="Calibri" w:hAnsi="Calibri"/>
                <w:b/>
                <w:bCs/>
                <w:color w:val="000000" w:themeColor="text1"/>
                <w:sz w:val="18"/>
                <w:szCs w:val="18"/>
                <w:lang w:val="sl-SI" w:eastAsia="en-GB"/>
              </w:rPr>
              <w:t xml:space="preserve"> are used</w:t>
            </w:r>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revision</w:t>
            </w:r>
            <w:proofErr w:type="spellEnd"/>
            <w:r w:rsidRPr="00275FBD">
              <w:rPr>
                <w:rFonts w:ascii="Calibri" w:hAnsi="Calibri"/>
                <w:color w:val="000000" w:themeColor="text1"/>
                <w:sz w:val="18"/>
                <w:szCs w:val="18"/>
                <w:lang w:val="sl-SI" w:eastAsia="en-GB"/>
              </w:rPr>
              <w:t xml:space="preserve"> of the </w:t>
            </w:r>
            <w:proofErr w:type="spellStart"/>
            <w:r w:rsidRPr="00275FBD">
              <w:rPr>
                <w:rFonts w:ascii="Calibri" w:hAnsi="Calibri"/>
                <w:color w:val="000000" w:themeColor="text1"/>
                <w:sz w:val="18"/>
                <w:szCs w:val="18"/>
                <w:lang w:val="sl-SI" w:eastAsia="en-GB"/>
              </w:rPr>
              <w:t>chapters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relevant</w:t>
            </w:r>
            <w:proofErr w:type="spellEnd"/>
            <w:r w:rsidRPr="00275FBD">
              <w:rPr>
                <w:rFonts w:ascii="Calibri" w:hAnsi="Calibri"/>
                <w:color w:val="000000" w:themeColor="text1"/>
                <w:sz w:val="18"/>
                <w:szCs w:val="18"/>
                <w:lang w:val="sl-SI" w:eastAsia="en-GB"/>
              </w:rPr>
              <w:t xml:space="preserve"> for SF 15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establish</w:t>
            </w:r>
            <w:proofErr w:type="spellEnd"/>
            <w:r w:rsidRPr="00275FBD">
              <w:rPr>
                <w:rFonts w:ascii="Calibri" w:hAnsi="Calibri"/>
                <w:color w:val="000000" w:themeColor="text1"/>
                <w:sz w:val="18"/>
                <w:szCs w:val="18"/>
                <w:lang w:val="sl-SI" w:eastAsia="en-GB"/>
              </w:rPr>
              <w:t xml:space="preserve"> SI </w:t>
            </w:r>
            <w:proofErr w:type="spellStart"/>
            <w:r w:rsidRPr="00275FBD">
              <w:rPr>
                <w:rFonts w:ascii="Calibri" w:hAnsi="Calibri"/>
                <w:color w:val="000000" w:themeColor="text1"/>
                <w:sz w:val="18"/>
                <w:szCs w:val="18"/>
                <w:lang w:val="sl-SI" w:eastAsia="en-GB"/>
              </w:rPr>
              <w:t>units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throughout</w:t>
            </w:r>
            <w:proofErr w:type="spellEnd"/>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document</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 xml:space="preserve">OSF element: </w:t>
            </w:r>
            <w:proofErr w:type="spellStart"/>
            <w:r w:rsidRPr="00275FBD">
              <w:rPr>
                <w:rFonts w:ascii="Calibri" w:hAnsi="Calibri"/>
                <w:color w:val="000000" w:themeColor="text1"/>
                <w:sz w:val="18"/>
                <w:szCs w:val="18"/>
                <w:lang w:val="sl-SI" w:eastAsia="en-GB"/>
              </w:rPr>
              <w:t>Change</w:t>
            </w:r>
            <w:proofErr w:type="spellEnd"/>
            <w:r w:rsidRPr="00275FBD">
              <w:rPr>
                <w:rFonts w:ascii="Calibri" w:hAnsi="Calibri"/>
                <w:color w:val="000000" w:themeColor="text1"/>
                <w:sz w:val="18"/>
                <w:szCs w:val="18"/>
                <w:lang w:val="sl-SI" w:eastAsia="en-GB"/>
              </w:rPr>
              <w:t xml:space="preserve"> Review </w:t>
            </w:r>
            <w:proofErr w:type="spellStart"/>
            <w:r w:rsidRPr="00275FBD">
              <w:rPr>
                <w:rFonts w:ascii="Calibri" w:hAnsi="Calibri"/>
                <w:color w:val="000000" w:themeColor="text1"/>
                <w:sz w:val="18"/>
                <w:szCs w:val="18"/>
                <w:lang w:val="sl-SI" w:eastAsia="en-GB"/>
              </w:rPr>
              <w:t>Process</w:t>
            </w:r>
            <w:proofErr w:type="spellEnd"/>
            <w:r w:rsidRPr="00275FBD">
              <w:rPr>
                <w:rFonts w:ascii="Calibri" w:hAnsi="Calibri"/>
                <w:color w:val="000000" w:themeColor="text1"/>
                <w:sz w:val="18"/>
                <w:szCs w:val="18"/>
                <w:lang w:val="sl-SI" w:eastAsia="en-GB"/>
              </w:rPr>
              <w:t>.</w:t>
            </w:r>
          </w:p>
        </w:tc>
        <w:tc>
          <w:tcPr>
            <w:tcW w:w="993" w:type="dxa"/>
            <w:tcBorders>
              <w:top w:val="single" w:sz="4" w:space="0" w:color="auto"/>
            </w:tcBorders>
          </w:tcPr>
          <w:p w14:paraId="79E90C61"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3.3.3</w:t>
            </w:r>
          </w:p>
        </w:tc>
        <w:tc>
          <w:tcPr>
            <w:tcW w:w="5244" w:type="dxa"/>
            <w:tcBorders>
              <w:top w:val="single" w:sz="4" w:space="0" w:color="auto"/>
            </w:tcBorders>
          </w:tcPr>
          <w:p w14:paraId="7C8CD434"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SI </w:t>
            </w:r>
            <w:proofErr w:type="spellStart"/>
            <w:r w:rsidRPr="00275FBD">
              <w:rPr>
                <w:rFonts w:ascii="Calibri" w:hAnsi="Calibri"/>
                <w:color w:val="000000"/>
                <w:sz w:val="18"/>
                <w:szCs w:val="18"/>
                <w:lang w:val="sl-SI" w:eastAsia="en-GB"/>
              </w:rPr>
              <w:t>units</w:t>
            </w:r>
            <w:proofErr w:type="spellEnd"/>
            <w:r w:rsidRPr="00275FBD">
              <w:rPr>
                <w:rFonts w:ascii="Calibri" w:hAnsi="Calibri"/>
                <w:color w:val="000000"/>
                <w:sz w:val="18"/>
                <w:szCs w:val="18"/>
                <w:lang w:val="sl-SI" w:eastAsia="en-GB"/>
              </w:rPr>
              <w:t xml:space="preserve"> are </w:t>
            </w:r>
            <w:proofErr w:type="spellStart"/>
            <w:r w:rsidRPr="00275FBD">
              <w:rPr>
                <w:rFonts w:ascii="Calibri" w:hAnsi="Calibri"/>
                <w:color w:val="000000"/>
                <w:sz w:val="18"/>
                <w:szCs w:val="18"/>
                <w:lang w:val="sl-SI" w:eastAsia="en-GB"/>
              </w:rPr>
              <w:t>required</w:t>
            </w:r>
            <w:proofErr w:type="spellEnd"/>
            <w:r w:rsidRPr="00275FBD">
              <w:rPr>
                <w:rFonts w:ascii="Calibri" w:hAnsi="Calibri"/>
                <w:color w:val="000000"/>
                <w:sz w:val="18"/>
                <w:szCs w:val="18"/>
                <w:lang w:val="sl-SI" w:eastAsia="en-GB"/>
              </w:rPr>
              <w:t xml:space="preserve"> by </w:t>
            </w:r>
            <w:proofErr w:type="spellStart"/>
            <w:r w:rsidRPr="00275FBD">
              <w:rPr>
                <w:rFonts w:ascii="Calibri" w:hAnsi="Calibri"/>
                <w:color w:val="000000"/>
                <w:sz w:val="18"/>
                <w:szCs w:val="18"/>
                <w:lang w:val="sl-SI" w:eastAsia="en-GB"/>
              </w:rPr>
              <w:t>law</w:t>
            </w:r>
            <w:proofErr w:type="spellEnd"/>
            <w:r w:rsidRPr="00275FBD">
              <w:rPr>
                <w:rFonts w:ascii="Calibri" w:hAnsi="Calibri"/>
                <w:color w:val="000000"/>
                <w:sz w:val="18"/>
                <w:szCs w:val="18"/>
                <w:lang w:val="sl-SI" w:eastAsia="en-GB"/>
              </w:rPr>
              <w:t xml:space="preserve"> to be used in Slovenia.</w:t>
            </w:r>
          </w:p>
        </w:tc>
        <w:tc>
          <w:tcPr>
            <w:tcW w:w="2694" w:type="dxa"/>
            <w:tcBorders>
              <w:top w:val="single" w:sz="4" w:space="0" w:color="auto"/>
            </w:tcBorders>
          </w:tcPr>
          <w:p w14:paraId="41B5CF8B"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7A356010" w14:textId="77777777" w:rsidTr="00935B67">
        <w:tc>
          <w:tcPr>
            <w:tcW w:w="1384" w:type="dxa"/>
            <w:shd w:val="clear" w:color="auto" w:fill="92CDDC" w:themeFill="accent5" w:themeFillTint="99"/>
          </w:tcPr>
          <w:p w14:paraId="380A39EF"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sz w:val="18"/>
                <w:szCs w:val="18"/>
                <w:lang w:val="sl-SI" w:eastAsia="en-GB"/>
              </w:rPr>
              <w:t>PSR3 5.1-003</w:t>
            </w:r>
          </w:p>
        </w:tc>
        <w:tc>
          <w:tcPr>
            <w:tcW w:w="3827" w:type="dxa"/>
          </w:tcPr>
          <w:p w14:paraId="7B5D522C"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b/>
                <w:bCs/>
                <w:color w:val="000000" w:themeColor="text1"/>
                <w:sz w:val="18"/>
                <w:szCs w:val="18"/>
                <w:lang w:val="sl-SI" w:eastAsia="en-GB"/>
              </w:rPr>
              <w:t xml:space="preserve">Some of the </w:t>
            </w:r>
            <w:proofErr w:type="spellStart"/>
            <w:r w:rsidRPr="00275FBD">
              <w:rPr>
                <w:rFonts w:ascii="Calibri" w:hAnsi="Calibri"/>
                <w:b/>
                <w:bCs/>
                <w:color w:val="000000" w:themeColor="text1"/>
                <w:sz w:val="18"/>
                <w:szCs w:val="18"/>
                <w:lang w:val="sl-SI" w:eastAsia="en-GB"/>
              </w:rPr>
              <w:t>document</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should</w:t>
            </w:r>
            <w:proofErr w:type="spellEnd"/>
            <w:r w:rsidRPr="00275FBD">
              <w:rPr>
                <w:rFonts w:ascii="Calibri" w:hAnsi="Calibri"/>
                <w:b/>
                <w:bCs/>
                <w:color w:val="000000" w:themeColor="text1"/>
                <w:sz w:val="18"/>
                <w:szCs w:val="18"/>
                <w:lang w:val="sl-SI" w:eastAsia="en-GB"/>
              </w:rPr>
              <w:t xml:space="preserve"> be </w:t>
            </w:r>
            <w:proofErr w:type="spellStart"/>
            <w:r w:rsidRPr="00275FBD">
              <w:rPr>
                <w:rFonts w:ascii="Calibri" w:hAnsi="Calibri"/>
                <w:b/>
                <w:bCs/>
                <w:color w:val="000000" w:themeColor="text1"/>
                <w:sz w:val="18"/>
                <w:szCs w:val="18"/>
                <w:lang w:val="sl-SI" w:eastAsia="en-GB"/>
              </w:rPr>
              <w:t>revised</w:t>
            </w:r>
            <w:proofErr w:type="spellEnd"/>
            <w:r w:rsidRPr="00275FBD">
              <w:rPr>
                <w:rFonts w:ascii="Calibri" w:hAnsi="Calibri"/>
                <w:b/>
                <w:bCs/>
                <w:color w:val="000000" w:themeColor="text1"/>
                <w:sz w:val="18"/>
                <w:szCs w:val="18"/>
                <w:lang w:val="sl-SI" w:eastAsia="en-GB"/>
              </w:rPr>
              <w:t>.</w:t>
            </w:r>
            <w:r w:rsidRPr="00275FBD">
              <w:rPr>
                <w:rFonts w:ascii="Calibri" w:hAnsi="Calibri"/>
                <w:color w:val="000000" w:themeColor="text1"/>
                <w:sz w:val="18"/>
                <w:szCs w:val="18"/>
                <w:lang w:val="sl-SI" w:eastAsia="en-GB"/>
              </w:rPr>
              <w:br/>
              <w:t xml:space="preserve">OSF element: </w:t>
            </w:r>
            <w:proofErr w:type="spellStart"/>
            <w:r w:rsidRPr="00275FBD">
              <w:rPr>
                <w:rFonts w:ascii="Calibri" w:hAnsi="Calibri"/>
                <w:color w:val="000000" w:themeColor="text1"/>
                <w:sz w:val="18"/>
                <w:szCs w:val="18"/>
                <w:lang w:val="sl-SI" w:eastAsia="en-GB"/>
              </w:rPr>
              <w:t>Change</w:t>
            </w:r>
            <w:proofErr w:type="spellEnd"/>
            <w:r w:rsidRPr="00275FBD">
              <w:rPr>
                <w:rFonts w:ascii="Calibri" w:hAnsi="Calibri"/>
                <w:color w:val="000000" w:themeColor="text1"/>
                <w:sz w:val="18"/>
                <w:szCs w:val="18"/>
                <w:lang w:val="sl-SI" w:eastAsia="en-GB"/>
              </w:rPr>
              <w:t xml:space="preserve"> Review </w:t>
            </w:r>
            <w:proofErr w:type="spellStart"/>
            <w:r w:rsidRPr="00275FBD">
              <w:rPr>
                <w:rFonts w:ascii="Calibri" w:hAnsi="Calibri"/>
                <w:color w:val="000000" w:themeColor="text1"/>
                <w:sz w:val="18"/>
                <w:szCs w:val="18"/>
                <w:lang w:val="sl-SI" w:eastAsia="en-GB"/>
              </w:rPr>
              <w:t>Process</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 xml:space="preserve">It is </w:t>
            </w:r>
            <w:proofErr w:type="spellStart"/>
            <w:r w:rsidRPr="00275FBD">
              <w:rPr>
                <w:rFonts w:ascii="Calibri" w:hAnsi="Calibri"/>
                <w:color w:val="000000" w:themeColor="text1"/>
                <w:sz w:val="18"/>
                <w:szCs w:val="18"/>
                <w:lang w:val="sl-SI" w:eastAsia="en-GB"/>
              </w:rPr>
              <w:t>understood</w:t>
            </w:r>
            <w:proofErr w:type="spellEnd"/>
            <w:r w:rsidRPr="00275FBD">
              <w:rPr>
                <w:rFonts w:ascii="Calibri" w:hAnsi="Calibri"/>
                <w:color w:val="000000" w:themeColor="text1"/>
                <w:sz w:val="18"/>
                <w:szCs w:val="18"/>
                <w:lang w:val="sl-SI" w:eastAsia="en-GB"/>
              </w:rPr>
              <w:t xml:space="preserve"> that the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is </w:t>
            </w:r>
            <w:proofErr w:type="spellStart"/>
            <w:r w:rsidRPr="00275FBD">
              <w:rPr>
                <w:rFonts w:ascii="Calibri" w:hAnsi="Calibri"/>
                <w:color w:val="000000" w:themeColor="text1"/>
                <w:sz w:val="18"/>
                <w:szCs w:val="18"/>
                <w:lang w:val="sl-SI" w:eastAsia="en-GB"/>
              </w:rPr>
              <w:t>about</w:t>
            </w:r>
            <w:proofErr w:type="spellEnd"/>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need</w:t>
            </w:r>
            <w:proofErr w:type="spellEnd"/>
            <w:r w:rsidRPr="00275FBD">
              <w:rPr>
                <w:rFonts w:ascii="Calibri" w:hAnsi="Calibri"/>
                <w:color w:val="000000" w:themeColor="text1"/>
                <w:sz w:val="18"/>
                <w:szCs w:val="18"/>
                <w:lang w:val="sl-SI" w:eastAsia="en-GB"/>
              </w:rPr>
              <w:t xml:space="preserve"> to update / </w:t>
            </w:r>
            <w:proofErr w:type="spellStart"/>
            <w:r w:rsidRPr="00275FBD">
              <w:rPr>
                <w:rFonts w:ascii="Calibri" w:hAnsi="Calibri"/>
                <w:color w:val="000000" w:themeColor="text1"/>
                <w:sz w:val="18"/>
                <w:szCs w:val="18"/>
                <w:lang w:val="sl-SI" w:eastAsia="en-GB"/>
              </w:rPr>
              <w:t>accord</w:t>
            </w:r>
            <w:proofErr w:type="spellEnd"/>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terminology</w:t>
            </w:r>
            <w:proofErr w:type="spellEnd"/>
            <w:r w:rsidRPr="00275FBD">
              <w:rPr>
                <w:rFonts w:ascii="Calibri" w:hAnsi="Calibri"/>
                <w:color w:val="000000" w:themeColor="text1"/>
                <w:sz w:val="18"/>
                <w:szCs w:val="18"/>
                <w:lang w:val="sl-SI" w:eastAsia="en-GB"/>
              </w:rPr>
              <w:t xml:space="preserve"> and </w:t>
            </w:r>
            <w:proofErr w:type="spellStart"/>
            <w:r w:rsidRPr="00275FBD">
              <w:rPr>
                <w:rFonts w:ascii="Calibri" w:hAnsi="Calibri"/>
                <w:color w:val="000000" w:themeColor="text1"/>
                <w:sz w:val="18"/>
                <w:szCs w:val="18"/>
                <w:lang w:val="sl-SI" w:eastAsia="en-GB"/>
              </w:rPr>
              <w:t>references</w:t>
            </w:r>
            <w:proofErr w:type="spellEnd"/>
            <w:r w:rsidRPr="00275FBD">
              <w:rPr>
                <w:rFonts w:ascii="Calibri" w:hAnsi="Calibri"/>
                <w:color w:val="000000" w:themeColor="text1"/>
                <w:sz w:val="18"/>
                <w:szCs w:val="18"/>
                <w:lang w:val="sl-SI" w:eastAsia="en-GB"/>
              </w:rPr>
              <w:t xml:space="preserve"> to RETS. </w:t>
            </w:r>
            <w:proofErr w:type="spellStart"/>
            <w:r w:rsidRPr="00275FBD">
              <w:rPr>
                <w:rFonts w:ascii="Calibri" w:hAnsi="Calibri"/>
                <w:color w:val="000000" w:themeColor="text1"/>
                <w:sz w:val="18"/>
                <w:szCs w:val="18"/>
                <w:lang w:val="sl-SI" w:eastAsia="en-GB"/>
              </w:rPr>
              <w:t>Since</w:t>
            </w:r>
            <w:proofErr w:type="spellEnd"/>
            <w:r w:rsidRPr="00275FBD">
              <w:rPr>
                <w:rFonts w:ascii="Calibri" w:hAnsi="Calibri"/>
                <w:color w:val="000000" w:themeColor="text1"/>
                <w:sz w:val="18"/>
                <w:szCs w:val="18"/>
                <w:lang w:val="sl-SI" w:eastAsia="en-GB"/>
              </w:rPr>
              <w:t xml:space="preserve"> the same </w:t>
            </w:r>
            <w:proofErr w:type="spellStart"/>
            <w:r w:rsidRPr="00275FBD">
              <w:rPr>
                <w:rFonts w:ascii="Calibri" w:hAnsi="Calibri"/>
                <w:color w:val="000000" w:themeColor="text1"/>
                <w:sz w:val="18"/>
                <w:szCs w:val="18"/>
                <w:lang w:val="sl-SI" w:eastAsia="en-GB"/>
              </w:rPr>
              <w:t>subject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was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involved</w:t>
            </w:r>
            <w:proofErr w:type="spellEnd"/>
            <w:r w:rsidRPr="00275FBD">
              <w:rPr>
                <w:rFonts w:ascii="Calibri" w:hAnsi="Calibri"/>
                <w:color w:val="000000" w:themeColor="text1"/>
                <w:sz w:val="18"/>
                <w:szCs w:val="18"/>
                <w:lang w:val="sl-SI" w:eastAsia="en-GB"/>
              </w:rPr>
              <w:t xml:space="preserve"> in the </w:t>
            </w:r>
            <w:proofErr w:type="spellStart"/>
            <w:r w:rsidRPr="00275FBD">
              <w:rPr>
                <w:rFonts w:ascii="Calibri" w:hAnsi="Calibri"/>
                <w:color w:val="000000" w:themeColor="text1"/>
                <w:sz w:val="18"/>
                <w:szCs w:val="18"/>
                <w:lang w:val="sl-SI" w:eastAsia="en-GB"/>
              </w:rPr>
              <w:t>previous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PSRs</w:t>
            </w:r>
            <w:proofErr w:type="spellEnd"/>
            <w:r w:rsidRPr="00275FBD">
              <w:rPr>
                <w:rFonts w:ascii="Calibri" w:hAnsi="Calibri"/>
                <w:color w:val="000000" w:themeColor="text1"/>
                <w:sz w:val="18"/>
                <w:szCs w:val="18"/>
                <w:lang w:val="sl-SI" w:eastAsia="en-GB"/>
              </w:rPr>
              <w:t xml:space="preserve"> (at </w:t>
            </w:r>
            <w:proofErr w:type="spellStart"/>
            <w:r w:rsidRPr="00275FBD">
              <w:rPr>
                <w:rFonts w:ascii="Calibri" w:hAnsi="Calibri"/>
                <w:color w:val="000000" w:themeColor="text1"/>
                <w:sz w:val="18"/>
                <w:szCs w:val="18"/>
                <w:lang w:val="sl-SI" w:eastAsia="en-GB"/>
              </w:rPr>
              <w:t>least</w:t>
            </w:r>
            <w:proofErr w:type="spellEnd"/>
            <w:r w:rsidRPr="00275FBD">
              <w:rPr>
                <w:rFonts w:ascii="Calibri" w:hAnsi="Calibri"/>
                <w:color w:val="000000" w:themeColor="text1"/>
                <w:sz w:val="18"/>
                <w:szCs w:val="18"/>
                <w:lang w:val="sl-SI" w:eastAsia="en-GB"/>
              </w:rPr>
              <w:t xml:space="preserve"> in PSR2), the prior risk </w:t>
            </w:r>
            <w:proofErr w:type="spellStart"/>
            <w:r w:rsidRPr="00275FBD">
              <w:rPr>
                <w:rFonts w:ascii="Calibri" w:hAnsi="Calibri"/>
                <w:color w:val="000000" w:themeColor="text1"/>
                <w:sz w:val="18"/>
                <w:szCs w:val="18"/>
                <w:lang w:val="sl-SI" w:eastAsia="en-GB"/>
              </w:rPr>
              <w:t>information</w:t>
            </w:r>
            <w:proofErr w:type="spellEnd"/>
            <w:r w:rsidRPr="00275FBD">
              <w:rPr>
                <w:rFonts w:ascii="Calibri" w:hAnsi="Calibri"/>
                <w:color w:val="000000" w:themeColor="text1"/>
                <w:sz w:val="18"/>
                <w:szCs w:val="18"/>
                <w:lang w:val="sl-SI" w:eastAsia="en-GB"/>
              </w:rPr>
              <w:t xml:space="preserve"> is </w:t>
            </w:r>
            <w:proofErr w:type="spellStart"/>
            <w:r w:rsidRPr="00275FBD">
              <w:rPr>
                <w:rFonts w:ascii="Calibri" w:hAnsi="Calibri"/>
                <w:color w:val="000000" w:themeColor="text1"/>
                <w:sz w:val="18"/>
                <w:szCs w:val="18"/>
                <w:lang w:val="sl-SI" w:eastAsia="en-GB"/>
              </w:rPr>
              <w:t>assigned</w:t>
            </w:r>
            <w:proofErr w:type="spellEnd"/>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value</w:t>
            </w:r>
            <w:proofErr w:type="spellEnd"/>
            <w:r w:rsidRPr="00275FBD">
              <w:rPr>
                <w:rFonts w:ascii="Calibri" w:hAnsi="Calibri"/>
                <w:color w:val="000000" w:themeColor="text1"/>
                <w:sz w:val="18"/>
                <w:szCs w:val="18"/>
                <w:lang w:val="sl-SI" w:eastAsia="en-GB"/>
              </w:rPr>
              <w:t xml:space="preserve"> of 3.</w:t>
            </w:r>
          </w:p>
        </w:tc>
        <w:tc>
          <w:tcPr>
            <w:tcW w:w="993" w:type="dxa"/>
          </w:tcPr>
          <w:p w14:paraId="462665B5"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3.3.3</w:t>
            </w:r>
          </w:p>
        </w:tc>
        <w:tc>
          <w:tcPr>
            <w:tcW w:w="5244" w:type="dxa"/>
          </w:tcPr>
          <w:p w14:paraId="4A18B708"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RETS </w:t>
            </w:r>
            <w:proofErr w:type="spellStart"/>
            <w:r w:rsidRPr="00275FBD">
              <w:rPr>
                <w:rFonts w:ascii="Calibri" w:hAnsi="Calibri"/>
                <w:color w:val="000000"/>
                <w:sz w:val="18"/>
                <w:szCs w:val="18"/>
                <w:lang w:val="sl-SI" w:eastAsia="en-GB"/>
              </w:rPr>
              <w:t>should</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revised</w:t>
            </w:r>
            <w:proofErr w:type="spellEnd"/>
            <w:r w:rsidRPr="00275FBD">
              <w:rPr>
                <w:rFonts w:ascii="Calibri" w:hAnsi="Calibri"/>
                <w:color w:val="000000"/>
                <w:sz w:val="18"/>
                <w:szCs w:val="18"/>
                <w:lang w:val="sl-SI" w:eastAsia="en-GB"/>
              </w:rPr>
              <w:t xml:space="preserve"> according to the </w:t>
            </w:r>
            <w:proofErr w:type="spellStart"/>
            <w:r w:rsidRPr="00275FBD">
              <w:rPr>
                <w:rFonts w:ascii="Calibri" w:hAnsi="Calibri"/>
                <w:color w:val="000000"/>
                <w:sz w:val="18"/>
                <w:szCs w:val="18"/>
                <w:lang w:val="sl-SI" w:eastAsia="en-GB"/>
              </w:rPr>
              <w:t>remarks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This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can</w:t>
            </w:r>
            <w:proofErr w:type="spellEnd"/>
            <w:r w:rsidRPr="00275FBD">
              <w:rPr>
                <w:rFonts w:ascii="Calibri" w:hAnsi="Calibri"/>
                <w:color w:val="000000"/>
                <w:sz w:val="18"/>
                <w:szCs w:val="18"/>
                <w:lang w:val="sl-SI" w:eastAsia="en-GB"/>
              </w:rPr>
              <w:t xml:space="preserve"> be done </w:t>
            </w:r>
            <w:proofErr w:type="spellStart"/>
            <w:r w:rsidRPr="00275FBD">
              <w:rPr>
                <w:rFonts w:ascii="Calibri" w:hAnsi="Calibri"/>
                <w:color w:val="000000"/>
                <w:sz w:val="18"/>
                <w:szCs w:val="18"/>
                <w:lang w:val="sl-SI" w:eastAsia="en-GB"/>
              </w:rPr>
              <w:t>simultaneously</w:t>
            </w:r>
            <w:proofErr w:type="spellEnd"/>
            <w:r w:rsidRPr="00275FBD">
              <w:rPr>
                <w:rFonts w:ascii="Calibri" w:hAnsi="Calibri"/>
                <w:color w:val="000000"/>
                <w:sz w:val="18"/>
                <w:szCs w:val="18"/>
                <w:lang w:val="sl-SI" w:eastAsia="en-GB"/>
              </w:rPr>
              <w:t xml:space="preserve"> with the </w:t>
            </w:r>
            <w:proofErr w:type="spellStart"/>
            <w:r w:rsidRPr="00275FBD">
              <w:rPr>
                <w:rFonts w:ascii="Calibri" w:hAnsi="Calibri"/>
                <w:color w:val="000000"/>
                <w:sz w:val="18"/>
                <w:szCs w:val="18"/>
                <w:lang w:val="sl-SI" w:eastAsia="en-GB"/>
              </w:rPr>
              <w:t>resolution</w:t>
            </w:r>
            <w:proofErr w:type="spellEnd"/>
            <w:r w:rsidRPr="00275FBD">
              <w:rPr>
                <w:rFonts w:ascii="Calibri" w:hAnsi="Calibri"/>
                <w:color w:val="000000"/>
                <w:sz w:val="18"/>
                <w:szCs w:val="18"/>
                <w:lang w:val="sl-SI" w:eastAsia="en-GB"/>
              </w:rPr>
              <w:t xml:space="preserve"> of ZKP 022-1552, as </w:t>
            </w:r>
            <w:proofErr w:type="spellStart"/>
            <w:r w:rsidRPr="00275FBD">
              <w:rPr>
                <w:rFonts w:ascii="Calibri" w:hAnsi="Calibri"/>
                <w:color w:val="000000"/>
                <w:sz w:val="18"/>
                <w:szCs w:val="18"/>
                <w:lang w:val="sl-SI" w:eastAsia="en-GB"/>
              </w:rPr>
              <w:t>agreed</w:t>
            </w:r>
            <w:proofErr w:type="spellEnd"/>
            <w:r w:rsidRPr="00275FBD">
              <w:rPr>
                <w:rFonts w:ascii="Calibri" w:hAnsi="Calibri"/>
                <w:color w:val="000000"/>
                <w:sz w:val="18"/>
                <w:szCs w:val="18"/>
                <w:lang w:val="sl-SI" w:eastAsia="en-GB"/>
              </w:rPr>
              <w:t xml:space="preserve"> after the meeting in </w:t>
            </w:r>
            <w:proofErr w:type="spellStart"/>
            <w:r w:rsidRPr="00275FBD">
              <w:rPr>
                <w:rFonts w:ascii="Calibri" w:hAnsi="Calibri"/>
                <w:color w:val="000000"/>
                <w:sz w:val="18"/>
                <w:szCs w:val="18"/>
                <w:lang w:val="sl-SI" w:eastAsia="en-GB"/>
              </w:rPr>
              <w:t>July</w:t>
            </w:r>
            <w:proofErr w:type="spellEnd"/>
            <w:r w:rsidRPr="00275FBD">
              <w:rPr>
                <w:rFonts w:ascii="Calibri" w:hAnsi="Calibri"/>
                <w:color w:val="000000"/>
                <w:sz w:val="18"/>
                <w:szCs w:val="18"/>
                <w:lang w:val="sl-SI" w:eastAsia="en-GB"/>
              </w:rPr>
              <w:t xml:space="preserve"> 2022, </w:t>
            </w:r>
            <w:proofErr w:type="spellStart"/>
            <w:r w:rsidRPr="00275FBD">
              <w:rPr>
                <w:rFonts w:ascii="Calibri" w:hAnsi="Calibri"/>
                <w:color w:val="000000"/>
                <w:sz w:val="18"/>
                <w:szCs w:val="18"/>
                <w:lang w:val="sl-SI" w:eastAsia="en-GB"/>
              </w:rPr>
              <w:t>since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both</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cover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roughly</w:t>
            </w:r>
            <w:proofErr w:type="spellEnd"/>
            <w:r w:rsidRPr="00275FBD">
              <w:rPr>
                <w:rFonts w:ascii="Calibri" w:hAnsi="Calibri"/>
                <w:color w:val="000000"/>
                <w:sz w:val="18"/>
                <w:szCs w:val="18"/>
                <w:lang w:val="sl-SI" w:eastAsia="en-GB"/>
              </w:rPr>
              <w:t xml:space="preserve"> the same </w:t>
            </w:r>
            <w:proofErr w:type="spellStart"/>
            <w:r w:rsidRPr="00275FBD">
              <w:rPr>
                <w:rFonts w:ascii="Calibri" w:hAnsi="Calibri"/>
                <w:color w:val="000000"/>
                <w:sz w:val="18"/>
                <w:szCs w:val="18"/>
                <w:lang w:val="sl-SI" w:eastAsia="en-GB"/>
              </w:rPr>
              <w:t>topic</w:t>
            </w:r>
            <w:proofErr w:type="spellEnd"/>
            <w:r w:rsidRPr="00275FBD">
              <w:rPr>
                <w:rFonts w:ascii="Calibri" w:hAnsi="Calibri"/>
                <w:color w:val="000000"/>
                <w:sz w:val="18"/>
                <w:szCs w:val="18"/>
                <w:lang w:val="sl-SI" w:eastAsia="en-GB"/>
              </w:rPr>
              <w:t>.</w:t>
            </w:r>
          </w:p>
        </w:tc>
        <w:tc>
          <w:tcPr>
            <w:tcW w:w="2694" w:type="dxa"/>
          </w:tcPr>
          <w:p w14:paraId="3132856C"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5DDFA0A9" w14:textId="77777777" w:rsidTr="00935B67">
        <w:tc>
          <w:tcPr>
            <w:tcW w:w="1384" w:type="dxa"/>
            <w:tcBorders>
              <w:bottom w:val="single" w:sz="4" w:space="0" w:color="auto"/>
            </w:tcBorders>
            <w:shd w:val="clear" w:color="auto" w:fill="92CDDC" w:themeFill="accent5" w:themeFillTint="99"/>
          </w:tcPr>
          <w:p w14:paraId="6CB3523A"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sz w:val="18"/>
                <w:szCs w:val="18"/>
                <w:lang w:val="sl-SI" w:eastAsia="en-GB"/>
              </w:rPr>
              <w:t>PSR3 5.1-004</w:t>
            </w:r>
          </w:p>
        </w:tc>
        <w:tc>
          <w:tcPr>
            <w:tcW w:w="3827" w:type="dxa"/>
            <w:tcBorders>
              <w:bottom w:val="single" w:sz="4" w:space="0" w:color="auto"/>
            </w:tcBorders>
          </w:tcPr>
          <w:p w14:paraId="3666640C"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b/>
                <w:bCs/>
                <w:color w:val="000000" w:themeColor="text1"/>
                <w:sz w:val="18"/>
                <w:szCs w:val="18"/>
                <w:lang w:val="sl-SI" w:eastAsia="en-GB"/>
              </w:rPr>
              <w:t xml:space="preserve">The </w:t>
            </w:r>
            <w:proofErr w:type="spellStart"/>
            <w:r w:rsidRPr="00275FBD">
              <w:rPr>
                <w:rFonts w:ascii="Calibri" w:hAnsi="Calibri"/>
                <w:b/>
                <w:bCs/>
                <w:color w:val="000000" w:themeColor="text1"/>
                <w:sz w:val="18"/>
                <w:szCs w:val="18"/>
                <w:lang w:val="sl-SI" w:eastAsia="en-GB"/>
              </w:rPr>
              <w:t>meteorological</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parameters</w:t>
            </w:r>
            <w:proofErr w:type="spellEnd"/>
            <w:r w:rsidRPr="00275FBD">
              <w:rPr>
                <w:rFonts w:ascii="Calibri" w:hAnsi="Calibri"/>
                <w:b/>
                <w:bCs/>
                <w:color w:val="000000" w:themeColor="text1"/>
                <w:sz w:val="18"/>
                <w:szCs w:val="18"/>
                <w:lang w:val="sl-SI" w:eastAsia="en-GB"/>
              </w:rPr>
              <w:t xml:space="preserve"> were not </w:t>
            </w:r>
            <w:proofErr w:type="spellStart"/>
            <w:r w:rsidRPr="00275FBD">
              <w:rPr>
                <w:rFonts w:ascii="Calibri" w:hAnsi="Calibri"/>
                <w:b/>
                <w:bCs/>
                <w:color w:val="000000" w:themeColor="text1"/>
                <w:sz w:val="18"/>
                <w:szCs w:val="18"/>
                <w:lang w:val="sl-SI" w:eastAsia="en-GB"/>
              </w:rPr>
              <w:t>updated</w:t>
            </w:r>
            <w:proofErr w:type="spellEnd"/>
            <w:r w:rsidRPr="00275FBD">
              <w:rPr>
                <w:rFonts w:ascii="Calibri" w:hAnsi="Calibri"/>
                <w:b/>
                <w:bCs/>
                <w:color w:val="000000" w:themeColor="text1"/>
                <w:sz w:val="18"/>
                <w:szCs w:val="18"/>
                <w:lang w:val="sl-SI" w:eastAsia="en-GB"/>
              </w:rPr>
              <w:t xml:space="preserve"> in the </w:t>
            </w:r>
            <w:proofErr w:type="spellStart"/>
            <w:r w:rsidRPr="00275FBD">
              <w:rPr>
                <w:rFonts w:ascii="Calibri" w:hAnsi="Calibri"/>
                <w:b/>
                <w:bCs/>
                <w:color w:val="000000" w:themeColor="text1"/>
                <w:sz w:val="18"/>
                <w:szCs w:val="18"/>
                <w:lang w:val="sl-SI" w:eastAsia="en-GB"/>
              </w:rPr>
              <w:t>USAR’s</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Chapter</w:t>
            </w:r>
            <w:proofErr w:type="spellEnd"/>
            <w:r w:rsidRPr="00275FBD">
              <w:rPr>
                <w:rFonts w:ascii="Calibri" w:hAnsi="Calibri"/>
                <w:b/>
                <w:bCs/>
                <w:color w:val="000000" w:themeColor="text1"/>
                <w:sz w:val="18"/>
                <w:szCs w:val="18"/>
                <w:lang w:val="sl-SI" w:eastAsia="en-GB"/>
              </w:rPr>
              <w:t xml:space="preserve"> 2</w:t>
            </w:r>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details</w:t>
            </w:r>
            <w:proofErr w:type="spellEnd"/>
            <w:r w:rsidRPr="00275FBD">
              <w:rPr>
                <w:rFonts w:ascii="Calibri" w:hAnsi="Calibri"/>
                <w:color w:val="000000" w:themeColor="text1"/>
                <w:sz w:val="18"/>
                <w:szCs w:val="18"/>
                <w:lang w:val="sl-SI" w:eastAsia="en-GB"/>
              </w:rPr>
              <w:t xml:space="preserve"> are </w:t>
            </w:r>
            <w:proofErr w:type="spellStart"/>
            <w:r w:rsidRPr="00275FBD">
              <w:rPr>
                <w:rFonts w:ascii="Calibri" w:hAnsi="Calibri"/>
                <w:color w:val="000000" w:themeColor="text1"/>
                <w:sz w:val="18"/>
                <w:szCs w:val="18"/>
                <w:lang w:val="sl-SI" w:eastAsia="en-GB"/>
              </w:rPr>
              <w:t>described</w:t>
            </w:r>
            <w:proofErr w:type="spellEnd"/>
            <w:r w:rsidRPr="00275FBD">
              <w:rPr>
                <w:rFonts w:ascii="Calibri" w:hAnsi="Calibri"/>
                <w:color w:val="000000" w:themeColor="text1"/>
                <w:sz w:val="18"/>
                <w:szCs w:val="18"/>
                <w:lang w:val="sl-SI" w:eastAsia="en-GB"/>
              </w:rPr>
              <w:t xml:space="preserve"> in PSR 5.1-02. It </w:t>
            </w:r>
            <w:proofErr w:type="spellStart"/>
            <w:r w:rsidRPr="00275FBD">
              <w:rPr>
                <w:rFonts w:ascii="Calibri" w:hAnsi="Calibri"/>
                <w:color w:val="000000" w:themeColor="text1"/>
                <w:sz w:val="18"/>
                <w:szCs w:val="18"/>
                <w:lang w:val="sl-SI" w:eastAsia="en-GB"/>
              </w:rPr>
              <w:t>was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agreed</w:t>
            </w:r>
            <w:proofErr w:type="spellEnd"/>
            <w:r w:rsidRPr="00275FBD">
              <w:rPr>
                <w:rFonts w:ascii="Calibri" w:hAnsi="Calibri"/>
                <w:color w:val="000000" w:themeColor="text1"/>
                <w:sz w:val="18"/>
                <w:szCs w:val="18"/>
                <w:lang w:val="sl-SI" w:eastAsia="en-GB"/>
              </w:rPr>
              <w:t xml:space="preserve"> with SNSA that NEK </w:t>
            </w:r>
            <w:proofErr w:type="spellStart"/>
            <w:r w:rsidRPr="00275FBD">
              <w:rPr>
                <w:rFonts w:ascii="Calibri" w:hAnsi="Calibri"/>
                <w:color w:val="000000" w:themeColor="text1"/>
                <w:sz w:val="18"/>
                <w:szCs w:val="18"/>
                <w:lang w:val="sl-SI" w:eastAsia="en-GB"/>
              </w:rPr>
              <w:t>shall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establish</w:t>
            </w:r>
            <w:proofErr w:type="spellEnd"/>
            <w:r w:rsidRPr="00275FBD">
              <w:rPr>
                <w:rFonts w:ascii="Calibri" w:hAnsi="Calibri"/>
                <w:color w:val="000000" w:themeColor="text1"/>
                <w:sz w:val="18"/>
                <w:szCs w:val="18"/>
                <w:lang w:val="sl-SI" w:eastAsia="en-GB"/>
              </w:rPr>
              <w:t xml:space="preserve"> the programme/procedure for </w:t>
            </w:r>
            <w:proofErr w:type="spellStart"/>
            <w:r w:rsidRPr="00275FBD">
              <w:rPr>
                <w:rFonts w:ascii="Calibri" w:hAnsi="Calibri"/>
                <w:color w:val="000000" w:themeColor="text1"/>
                <w:sz w:val="18"/>
                <w:szCs w:val="18"/>
                <w:lang w:val="sl-SI" w:eastAsia="en-GB"/>
              </w:rPr>
              <w:t>updating</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meteo</w:t>
            </w:r>
            <w:proofErr w:type="spellEnd"/>
            <w:r w:rsidRPr="00275FBD">
              <w:rPr>
                <w:rFonts w:ascii="Calibri" w:hAnsi="Calibri"/>
                <w:color w:val="000000" w:themeColor="text1"/>
                <w:sz w:val="18"/>
                <w:szCs w:val="18"/>
                <w:lang w:val="sl-SI" w:eastAsia="en-GB"/>
              </w:rPr>
              <w:t xml:space="preserve"> data.</w:t>
            </w:r>
            <w:r w:rsidRPr="00275FBD">
              <w:rPr>
                <w:rFonts w:ascii="Calibri" w:hAnsi="Calibri"/>
                <w:color w:val="000000" w:themeColor="text1"/>
                <w:sz w:val="18"/>
                <w:szCs w:val="18"/>
                <w:lang w:val="sl-SI" w:eastAsia="en-GB"/>
              </w:rPr>
              <w:br/>
              <w:t xml:space="preserve">OSF element: </w:t>
            </w:r>
            <w:proofErr w:type="spellStart"/>
            <w:r w:rsidRPr="00275FBD">
              <w:rPr>
                <w:rFonts w:ascii="Calibri" w:hAnsi="Calibri"/>
                <w:color w:val="000000" w:themeColor="text1"/>
                <w:sz w:val="18"/>
                <w:szCs w:val="18"/>
                <w:lang w:val="sl-SI" w:eastAsia="en-GB"/>
              </w:rPr>
              <w:t>Change</w:t>
            </w:r>
            <w:proofErr w:type="spellEnd"/>
            <w:r w:rsidRPr="00275FBD">
              <w:rPr>
                <w:rFonts w:ascii="Calibri" w:hAnsi="Calibri"/>
                <w:color w:val="000000" w:themeColor="text1"/>
                <w:sz w:val="18"/>
                <w:szCs w:val="18"/>
                <w:lang w:val="sl-SI" w:eastAsia="en-GB"/>
              </w:rPr>
              <w:t xml:space="preserve"> Review </w:t>
            </w:r>
            <w:proofErr w:type="spellStart"/>
            <w:r w:rsidRPr="00275FBD">
              <w:rPr>
                <w:rFonts w:ascii="Calibri" w:hAnsi="Calibri"/>
                <w:color w:val="000000" w:themeColor="text1"/>
                <w:sz w:val="18"/>
                <w:szCs w:val="18"/>
                <w:lang w:val="sl-SI" w:eastAsia="en-GB"/>
              </w:rPr>
              <w:t>Process</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 xml:space="preserve">It is </w:t>
            </w:r>
            <w:proofErr w:type="spellStart"/>
            <w:r w:rsidRPr="00275FBD">
              <w:rPr>
                <w:rFonts w:ascii="Calibri" w:hAnsi="Calibri"/>
                <w:color w:val="000000" w:themeColor="text1"/>
                <w:sz w:val="18"/>
                <w:szCs w:val="18"/>
                <w:lang w:val="sl-SI" w:eastAsia="en-GB"/>
              </w:rPr>
              <w:t>understood</w:t>
            </w:r>
            <w:proofErr w:type="spellEnd"/>
            <w:r w:rsidRPr="00275FBD">
              <w:rPr>
                <w:rFonts w:ascii="Calibri" w:hAnsi="Calibri"/>
                <w:color w:val="000000" w:themeColor="text1"/>
                <w:sz w:val="18"/>
                <w:szCs w:val="18"/>
                <w:lang w:val="sl-SI" w:eastAsia="en-GB"/>
              </w:rPr>
              <w:t xml:space="preserve"> that NEK </w:t>
            </w:r>
            <w:proofErr w:type="spellStart"/>
            <w:r w:rsidRPr="00275FBD">
              <w:rPr>
                <w:rFonts w:ascii="Calibri" w:hAnsi="Calibri"/>
                <w:color w:val="000000" w:themeColor="text1"/>
                <w:sz w:val="18"/>
                <w:szCs w:val="18"/>
                <w:lang w:val="sl-SI" w:eastAsia="en-GB"/>
              </w:rPr>
              <w:t>will</w:t>
            </w:r>
            <w:proofErr w:type="spellEnd"/>
            <w:r w:rsidRPr="00275FBD">
              <w:rPr>
                <w:rFonts w:ascii="Calibri" w:hAnsi="Calibri"/>
                <w:color w:val="000000" w:themeColor="text1"/>
                <w:sz w:val="18"/>
                <w:szCs w:val="18"/>
                <w:lang w:val="sl-SI" w:eastAsia="en-GB"/>
              </w:rPr>
              <w:t xml:space="preserve"> update </w:t>
            </w:r>
            <w:proofErr w:type="spellStart"/>
            <w:r w:rsidRPr="00275FBD">
              <w:rPr>
                <w:rFonts w:ascii="Calibri" w:hAnsi="Calibri"/>
                <w:color w:val="000000" w:themeColor="text1"/>
                <w:sz w:val="18"/>
                <w:szCs w:val="18"/>
                <w:lang w:val="sl-SI" w:eastAsia="en-GB"/>
              </w:rPr>
              <w:t>meteorological</w:t>
            </w:r>
            <w:proofErr w:type="spellEnd"/>
            <w:r w:rsidRPr="00275FBD">
              <w:rPr>
                <w:rFonts w:ascii="Calibri" w:hAnsi="Calibri"/>
                <w:color w:val="000000" w:themeColor="text1"/>
                <w:sz w:val="18"/>
                <w:szCs w:val="18"/>
                <w:lang w:val="sl-SI" w:eastAsia="en-GB"/>
              </w:rPr>
              <w:t xml:space="preserve"> data on the </w:t>
            </w:r>
            <w:proofErr w:type="spellStart"/>
            <w:r w:rsidRPr="00275FBD">
              <w:rPr>
                <w:rFonts w:ascii="Calibri" w:hAnsi="Calibri"/>
                <w:color w:val="000000" w:themeColor="text1"/>
                <w:sz w:val="18"/>
                <w:szCs w:val="18"/>
                <w:lang w:val="sl-SI" w:eastAsia="en-GB"/>
              </w:rPr>
              <w:t>decade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basis</w:t>
            </w:r>
            <w:proofErr w:type="spellEnd"/>
            <w:r w:rsidRPr="00275FBD">
              <w:rPr>
                <w:rFonts w:ascii="Calibri" w:hAnsi="Calibri"/>
                <w:color w:val="000000" w:themeColor="text1"/>
                <w:sz w:val="18"/>
                <w:szCs w:val="18"/>
                <w:lang w:val="sl-SI" w:eastAsia="en-GB"/>
              </w:rPr>
              <w:t xml:space="preserve">. Some </w:t>
            </w:r>
            <w:proofErr w:type="spellStart"/>
            <w:r w:rsidRPr="00275FBD">
              <w:rPr>
                <w:rFonts w:ascii="Calibri" w:hAnsi="Calibri"/>
                <w:color w:val="000000" w:themeColor="text1"/>
                <w:sz w:val="18"/>
                <w:szCs w:val="18"/>
                <w:lang w:val="sl-SI" w:eastAsia="en-GB"/>
              </w:rPr>
              <w:t>older</w:t>
            </w:r>
            <w:proofErr w:type="spellEnd"/>
            <w:r w:rsidRPr="00275FBD">
              <w:rPr>
                <w:rFonts w:ascii="Calibri" w:hAnsi="Calibri"/>
                <w:color w:val="000000" w:themeColor="text1"/>
                <w:sz w:val="18"/>
                <w:szCs w:val="18"/>
                <w:lang w:val="sl-SI" w:eastAsia="en-GB"/>
              </w:rPr>
              <w:t xml:space="preserve"> data </w:t>
            </w:r>
            <w:proofErr w:type="spellStart"/>
            <w:r w:rsidRPr="00275FBD">
              <w:rPr>
                <w:rFonts w:ascii="Calibri" w:hAnsi="Calibri"/>
                <w:color w:val="000000" w:themeColor="text1"/>
                <w:sz w:val="18"/>
                <w:szCs w:val="18"/>
                <w:lang w:val="sl-SI" w:eastAsia="en-GB"/>
              </w:rPr>
              <w:t>will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remain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historical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Similar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from PSR2 </w:t>
            </w:r>
            <w:proofErr w:type="spellStart"/>
            <w:r w:rsidRPr="00275FBD">
              <w:rPr>
                <w:rFonts w:ascii="Calibri" w:hAnsi="Calibri"/>
                <w:color w:val="000000" w:themeColor="text1"/>
                <w:sz w:val="18"/>
                <w:szCs w:val="18"/>
                <w:lang w:val="sl-SI" w:eastAsia="en-GB"/>
              </w:rPr>
              <w:t>was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solved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however</w:t>
            </w:r>
            <w:proofErr w:type="spellEnd"/>
            <w:r w:rsidRPr="00275FBD">
              <w:rPr>
                <w:rFonts w:ascii="Calibri" w:hAnsi="Calibri"/>
                <w:color w:val="000000" w:themeColor="text1"/>
                <w:sz w:val="18"/>
                <w:szCs w:val="18"/>
                <w:lang w:val="sl-SI" w:eastAsia="en-GB"/>
              </w:rPr>
              <w:t xml:space="preserve"> the same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was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found</w:t>
            </w:r>
            <w:proofErr w:type="spellEnd"/>
            <w:r w:rsidRPr="00275FBD">
              <w:rPr>
                <w:rFonts w:ascii="Calibri" w:hAnsi="Calibri"/>
                <w:color w:val="000000" w:themeColor="text1"/>
                <w:sz w:val="18"/>
                <w:szCs w:val="18"/>
                <w:lang w:val="sl-SI" w:eastAsia="en-GB"/>
              </w:rPr>
              <w:t xml:space="preserve"> by the </w:t>
            </w:r>
            <w:proofErr w:type="spellStart"/>
            <w:r w:rsidRPr="00275FBD">
              <w:rPr>
                <w:rFonts w:ascii="Calibri" w:hAnsi="Calibri"/>
                <w:color w:val="000000" w:themeColor="text1"/>
                <w:sz w:val="18"/>
                <w:szCs w:val="18"/>
                <w:lang w:val="sl-SI" w:eastAsia="en-GB"/>
              </w:rPr>
              <w:t>reviewer</w:t>
            </w:r>
            <w:proofErr w:type="spellEnd"/>
            <w:r w:rsidRPr="00275FBD">
              <w:rPr>
                <w:rFonts w:ascii="Calibri" w:hAnsi="Calibri"/>
                <w:color w:val="000000" w:themeColor="text1"/>
                <w:sz w:val="18"/>
                <w:szCs w:val="18"/>
                <w:lang w:val="sl-SI" w:eastAsia="en-GB"/>
              </w:rPr>
              <w:t xml:space="preserve"> in PSR3 review. The programme/procedure for </w:t>
            </w:r>
            <w:proofErr w:type="spellStart"/>
            <w:r w:rsidRPr="00275FBD">
              <w:rPr>
                <w:rFonts w:ascii="Calibri" w:hAnsi="Calibri"/>
                <w:color w:val="000000" w:themeColor="text1"/>
                <w:sz w:val="18"/>
                <w:szCs w:val="18"/>
                <w:lang w:val="sl-SI" w:eastAsia="en-GB"/>
              </w:rPr>
              <w:t>updating</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meteo</w:t>
            </w:r>
            <w:proofErr w:type="spellEnd"/>
            <w:r w:rsidRPr="00275FBD">
              <w:rPr>
                <w:rFonts w:ascii="Calibri" w:hAnsi="Calibri"/>
                <w:color w:val="000000" w:themeColor="text1"/>
                <w:sz w:val="18"/>
                <w:szCs w:val="18"/>
                <w:lang w:val="sl-SI" w:eastAsia="en-GB"/>
              </w:rPr>
              <w:t xml:space="preserve"> data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established</w:t>
            </w:r>
            <w:proofErr w:type="spellEnd"/>
            <w:r w:rsidRPr="00275FBD">
              <w:rPr>
                <w:rFonts w:ascii="Calibri" w:hAnsi="Calibri"/>
                <w:color w:val="000000" w:themeColor="text1"/>
                <w:sz w:val="18"/>
                <w:szCs w:val="18"/>
                <w:lang w:val="sl-SI" w:eastAsia="en-GB"/>
              </w:rPr>
              <w:t xml:space="preserve"> by NEK.</w:t>
            </w:r>
            <w:r w:rsidRPr="00275FBD">
              <w:rPr>
                <w:rFonts w:ascii="Calibri" w:hAnsi="Calibri"/>
                <w:color w:val="000000" w:themeColor="text1"/>
                <w:sz w:val="18"/>
                <w:szCs w:val="18"/>
                <w:lang w:val="sl-SI" w:eastAsia="en-GB"/>
              </w:rPr>
              <w:br/>
            </w:r>
            <w:proofErr w:type="spellStart"/>
            <w:r w:rsidRPr="00275FBD">
              <w:rPr>
                <w:rFonts w:ascii="Calibri" w:hAnsi="Calibri"/>
                <w:color w:val="000000" w:themeColor="text1"/>
                <w:sz w:val="18"/>
                <w:szCs w:val="18"/>
                <w:lang w:val="sl-SI" w:eastAsia="en-GB"/>
              </w:rPr>
              <w:t>Since</w:t>
            </w:r>
            <w:proofErr w:type="spellEnd"/>
            <w:r w:rsidRPr="00275FBD">
              <w:rPr>
                <w:rFonts w:ascii="Calibri" w:hAnsi="Calibri"/>
                <w:color w:val="000000" w:themeColor="text1"/>
                <w:sz w:val="18"/>
                <w:szCs w:val="18"/>
                <w:lang w:val="sl-SI" w:eastAsia="en-GB"/>
              </w:rPr>
              <w:t xml:space="preserve"> the same </w:t>
            </w:r>
            <w:proofErr w:type="spellStart"/>
            <w:r w:rsidRPr="00275FBD">
              <w:rPr>
                <w:rFonts w:ascii="Calibri" w:hAnsi="Calibri"/>
                <w:color w:val="000000" w:themeColor="text1"/>
                <w:sz w:val="18"/>
                <w:szCs w:val="18"/>
                <w:lang w:val="sl-SI" w:eastAsia="en-GB"/>
              </w:rPr>
              <w:t>kind</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was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found</w:t>
            </w:r>
            <w:proofErr w:type="spellEnd"/>
            <w:r w:rsidRPr="00275FBD">
              <w:rPr>
                <w:rFonts w:ascii="Calibri" w:hAnsi="Calibri"/>
                <w:color w:val="000000" w:themeColor="text1"/>
                <w:sz w:val="18"/>
                <w:szCs w:val="18"/>
                <w:lang w:val="sl-SI" w:eastAsia="en-GB"/>
              </w:rPr>
              <w:t xml:space="preserve"> in PSR2, prior risk </w:t>
            </w:r>
            <w:proofErr w:type="spellStart"/>
            <w:r w:rsidRPr="00275FBD">
              <w:rPr>
                <w:rFonts w:ascii="Calibri" w:hAnsi="Calibri"/>
                <w:color w:val="000000" w:themeColor="text1"/>
                <w:sz w:val="18"/>
                <w:szCs w:val="18"/>
                <w:lang w:val="sl-SI" w:eastAsia="en-GB"/>
              </w:rPr>
              <w:t>information</w:t>
            </w:r>
            <w:proofErr w:type="spellEnd"/>
            <w:r w:rsidRPr="00275FBD">
              <w:rPr>
                <w:rFonts w:ascii="Calibri" w:hAnsi="Calibri"/>
                <w:color w:val="000000" w:themeColor="text1"/>
                <w:sz w:val="18"/>
                <w:szCs w:val="18"/>
                <w:lang w:val="sl-SI" w:eastAsia="en-GB"/>
              </w:rPr>
              <w:t xml:space="preserve"> is </w:t>
            </w:r>
            <w:proofErr w:type="spellStart"/>
            <w:r w:rsidRPr="00275FBD">
              <w:rPr>
                <w:rFonts w:ascii="Calibri" w:hAnsi="Calibri"/>
                <w:color w:val="000000" w:themeColor="text1"/>
                <w:sz w:val="18"/>
                <w:szCs w:val="18"/>
                <w:lang w:val="sl-SI" w:eastAsia="en-GB"/>
              </w:rPr>
              <w:t>ranked</w:t>
            </w:r>
            <w:proofErr w:type="spellEnd"/>
            <w:r w:rsidRPr="00275FBD">
              <w:rPr>
                <w:rFonts w:ascii="Calibri" w:hAnsi="Calibri"/>
                <w:color w:val="000000" w:themeColor="text1"/>
                <w:sz w:val="18"/>
                <w:szCs w:val="18"/>
                <w:lang w:val="sl-SI" w:eastAsia="en-GB"/>
              </w:rPr>
              <w:t xml:space="preserve"> as 3.</w:t>
            </w:r>
          </w:p>
        </w:tc>
        <w:tc>
          <w:tcPr>
            <w:tcW w:w="993" w:type="dxa"/>
            <w:tcBorders>
              <w:bottom w:val="single" w:sz="4" w:space="0" w:color="auto"/>
            </w:tcBorders>
          </w:tcPr>
          <w:p w14:paraId="1118E645"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3.3.3</w:t>
            </w:r>
          </w:p>
        </w:tc>
        <w:tc>
          <w:tcPr>
            <w:tcW w:w="5244" w:type="dxa"/>
            <w:tcBorders>
              <w:bottom w:val="single" w:sz="4" w:space="0" w:color="auto"/>
            </w:tcBorders>
          </w:tcPr>
          <w:p w14:paraId="0346AA9B"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The </w:t>
            </w:r>
            <w:proofErr w:type="spellStart"/>
            <w:r w:rsidRPr="00275FBD">
              <w:rPr>
                <w:rFonts w:ascii="Calibri" w:hAnsi="Calibri"/>
                <w:color w:val="000000"/>
                <w:sz w:val="18"/>
                <w:szCs w:val="18"/>
                <w:lang w:val="sl-SI" w:eastAsia="en-GB"/>
              </w:rPr>
              <w:t>repeated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finding</w:t>
            </w:r>
            <w:proofErr w:type="spellEnd"/>
            <w:r w:rsidRPr="00275FBD">
              <w:rPr>
                <w:rFonts w:ascii="Calibri" w:hAnsi="Calibri"/>
                <w:color w:val="000000"/>
                <w:sz w:val="18"/>
                <w:szCs w:val="18"/>
                <w:lang w:val="sl-SI" w:eastAsia="en-GB"/>
              </w:rPr>
              <w:t xml:space="preserve"> is </w:t>
            </w:r>
            <w:proofErr w:type="spellStart"/>
            <w:r w:rsidRPr="00275FBD">
              <w:rPr>
                <w:rFonts w:ascii="Calibri" w:hAnsi="Calibri"/>
                <w:color w:val="000000"/>
                <w:sz w:val="18"/>
                <w:szCs w:val="18"/>
                <w:lang w:val="sl-SI" w:eastAsia="en-GB"/>
              </w:rPr>
              <w:t>due</w:t>
            </w:r>
            <w:proofErr w:type="spellEnd"/>
            <w:r w:rsidRPr="00275FBD">
              <w:rPr>
                <w:rFonts w:ascii="Calibri" w:hAnsi="Calibri"/>
                <w:color w:val="000000"/>
                <w:sz w:val="18"/>
                <w:szCs w:val="18"/>
                <w:lang w:val="sl-SI" w:eastAsia="en-GB"/>
              </w:rPr>
              <w:t xml:space="preserve"> to the </w:t>
            </w:r>
            <w:proofErr w:type="spellStart"/>
            <w:r w:rsidRPr="00275FBD">
              <w:rPr>
                <w:rFonts w:ascii="Calibri" w:hAnsi="Calibri"/>
                <w:color w:val="000000"/>
                <w:sz w:val="18"/>
                <w:szCs w:val="18"/>
                <w:lang w:val="sl-SI" w:eastAsia="en-GB"/>
              </w:rPr>
              <w:t>fact</w:t>
            </w:r>
            <w:proofErr w:type="spellEnd"/>
            <w:r w:rsidRPr="00275FBD">
              <w:rPr>
                <w:rFonts w:ascii="Calibri" w:hAnsi="Calibri"/>
                <w:color w:val="000000"/>
                <w:sz w:val="18"/>
                <w:szCs w:val="18"/>
                <w:lang w:val="sl-SI" w:eastAsia="en-GB"/>
              </w:rPr>
              <w:t xml:space="preserve"> that </w:t>
            </w:r>
            <w:proofErr w:type="spellStart"/>
            <w:r w:rsidRPr="00275FBD">
              <w:rPr>
                <w:rFonts w:ascii="Calibri" w:hAnsi="Calibri"/>
                <w:color w:val="000000"/>
                <w:sz w:val="18"/>
                <w:szCs w:val="18"/>
                <w:lang w:val="sl-SI" w:eastAsia="en-GB"/>
              </w:rPr>
              <w:t>this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was</w:t>
            </w:r>
            <w:proofErr w:type="spellEnd"/>
            <w:r w:rsidRPr="00275FBD">
              <w:rPr>
                <w:rFonts w:ascii="Calibri" w:hAnsi="Calibri"/>
                <w:color w:val="000000"/>
                <w:sz w:val="18"/>
                <w:szCs w:val="18"/>
                <w:lang w:val="sl-SI" w:eastAsia="en-GB"/>
              </w:rPr>
              <w:t xml:space="preserve"> not </w:t>
            </w:r>
            <w:proofErr w:type="spellStart"/>
            <w:r w:rsidRPr="00275FBD">
              <w:rPr>
                <w:rFonts w:ascii="Calibri" w:hAnsi="Calibri"/>
                <w:color w:val="000000"/>
                <w:sz w:val="18"/>
                <w:szCs w:val="18"/>
                <w:lang w:val="sl-SI" w:eastAsia="en-GB"/>
              </w:rPr>
              <w:t>approached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systematically</w:t>
            </w:r>
            <w:proofErr w:type="spellEnd"/>
            <w:r w:rsidRPr="00275FBD">
              <w:rPr>
                <w:rFonts w:ascii="Calibri" w:hAnsi="Calibri"/>
                <w:color w:val="000000"/>
                <w:sz w:val="18"/>
                <w:szCs w:val="18"/>
                <w:lang w:val="sl-SI" w:eastAsia="en-GB"/>
              </w:rPr>
              <w:t xml:space="preserve">. A update of program/procedure </w:t>
            </w:r>
            <w:proofErr w:type="spellStart"/>
            <w:r w:rsidRPr="00275FBD">
              <w:rPr>
                <w:rFonts w:ascii="Calibri" w:hAnsi="Calibri"/>
                <w:color w:val="000000"/>
                <w:sz w:val="18"/>
                <w:szCs w:val="18"/>
                <w:lang w:val="sl-SI" w:eastAsia="en-GB"/>
              </w:rPr>
              <w:t>would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ensure</w:t>
            </w:r>
            <w:proofErr w:type="spellEnd"/>
            <w:r w:rsidRPr="00275FBD">
              <w:rPr>
                <w:rFonts w:ascii="Calibri" w:hAnsi="Calibri"/>
                <w:color w:val="000000"/>
                <w:sz w:val="18"/>
                <w:szCs w:val="18"/>
                <w:lang w:val="sl-SI" w:eastAsia="en-GB"/>
              </w:rPr>
              <w:t xml:space="preserve"> that </w:t>
            </w:r>
            <w:proofErr w:type="spellStart"/>
            <w:r w:rsidRPr="00275FBD">
              <w:rPr>
                <w:rFonts w:ascii="Calibri" w:hAnsi="Calibri"/>
                <w:color w:val="000000"/>
                <w:sz w:val="18"/>
                <w:szCs w:val="18"/>
                <w:lang w:val="sl-SI" w:eastAsia="en-GB"/>
              </w:rPr>
              <w:t>this</w:t>
            </w:r>
            <w:proofErr w:type="spellEnd"/>
            <w:r w:rsidRPr="00275FBD">
              <w:rPr>
                <w:rFonts w:ascii="Calibri" w:hAnsi="Calibri"/>
                <w:color w:val="000000"/>
                <w:sz w:val="18"/>
                <w:szCs w:val="18"/>
                <w:lang w:val="sl-SI" w:eastAsia="en-GB"/>
              </w:rPr>
              <w:t xml:space="preserve"> is not </w:t>
            </w:r>
            <w:proofErr w:type="spellStart"/>
            <w:r w:rsidRPr="00275FBD">
              <w:rPr>
                <w:rFonts w:ascii="Calibri" w:hAnsi="Calibri"/>
                <w:color w:val="000000"/>
                <w:sz w:val="18"/>
                <w:szCs w:val="18"/>
                <w:lang w:val="sl-SI" w:eastAsia="en-GB"/>
              </w:rPr>
              <w:t>repeated</w:t>
            </w:r>
            <w:proofErr w:type="spellEnd"/>
            <w:r w:rsidRPr="00275FBD">
              <w:rPr>
                <w:rFonts w:ascii="Calibri" w:hAnsi="Calibri"/>
                <w:color w:val="000000"/>
                <w:sz w:val="18"/>
                <w:szCs w:val="18"/>
                <w:lang w:val="sl-SI" w:eastAsia="en-GB"/>
              </w:rPr>
              <w:t xml:space="preserve"> in PSR4.</w:t>
            </w:r>
          </w:p>
        </w:tc>
        <w:tc>
          <w:tcPr>
            <w:tcW w:w="2694" w:type="dxa"/>
            <w:tcBorders>
              <w:bottom w:val="single" w:sz="4" w:space="0" w:color="auto"/>
            </w:tcBorders>
          </w:tcPr>
          <w:p w14:paraId="490B9F00"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2D8F8D66" w14:textId="77777777" w:rsidTr="00935B67">
        <w:tc>
          <w:tcPr>
            <w:tcW w:w="1384" w:type="dxa"/>
            <w:tcBorders>
              <w:top w:val="single" w:sz="4" w:space="0" w:color="auto"/>
            </w:tcBorders>
            <w:shd w:val="clear" w:color="auto" w:fill="DEA400"/>
          </w:tcPr>
          <w:p w14:paraId="6723662F"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7.1-002</w:t>
            </w:r>
          </w:p>
        </w:tc>
        <w:tc>
          <w:tcPr>
            <w:tcW w:w="3827" w:type="dxa"/>
            <w:tcBorders>
              <w:top w:val="single" w:sz="4" w:space="0" w:color="auto"/>
            </w:tcBorders>
          </w:tcPr>
          <w:p w14:paraId="5413FD67" w14:textId="77777777" w:rsidR="00935B67" w:rsidRPr="00275FBD" w:rsidRDefault="00935B67" w:rsidP="00935B67">
            <w:pPr>
              <w:jc w:val="left"/>
              <w:rPr>
                <w:rFonts w:ascii="Calibri" w:hAnsi="Calibri"/>
                <w:b/>
                <w:bCs/>
                <w:color w:val="000000" w:themeColor="text1"/>
                <w:sz w:val="18"/>
                <w:szCs w:val="18"/>
                <w:lang w:val="sl-SI" w:eastAsia="en-GB"/>
              </w:rPr>
            </w:pPr>
            <w:proofErr w:type="spellStart"/>
            <w:r w:rsidRPr="00275FBD">
              <w:rPr>
                <w:rFonts w:ascii="Calibri" w:hAnsi="Calibri"/>
                <w:b/>
                <w:bCs/>
                <w:color w:val="000000" w:themeColor="text1"/>
                <w:sz w:val="18"/>
                <w:szCs w:val="18"/>
                <w:lang w:val="sl-SI" w:eastAsia="en-GB"/>
              </w:rPr>
              <w:t>Prevention</w:t>
            </w:r>
            <w:proofErr w:type="spellEnd"/>
            <w:r w:rsidRPr="00275FBD">
              <w:rPr>
                <w:rFonts w:ascii="Calibri" w:hAnsi="Calibri"/>
                <w:b/>
                <w:bCs/>
                <w:color w:val="000000" w:themeColor="text1"/>
                <w:sz w:val="18"/>
                <w:szCs w:val="18"/>
                <w:lang w:val="sl-SI" w:eastAsia="en-GB"/>
              </w:rPr>
              <w:t xml:space="preserve"> of future </w:t>
            </w:r>
            <w:proofErr w:type="spellStart"/>
            <w:r w:rsidRPr="00275FBD">
              <w:rPr>
                <w:rFonts w:ascii="Calibri" w:hAnsi="Calibri"/>
                <w:b/>
                <w:bCs/>
                <w:color w:val="000000" w:themeColor="text1"/>
                <w:sz w:val="18"/>
                <w:szCs w:val="18"/>
                <w:lang w:val="sl-SI" w:eastAsia="en-GB"/>
              </w:rPr>
              <w:t>legacy</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sites</w:t>
            </w:r>
            <w:proofErr w:type="spellEnd"/>
            <w:r w:rsidRPr="00275FBD">
              <w:rPr>
                <w:rFonts w:ascii="Calibri" w:hAnsi="Calibri"/>
                <w:color w:val="000000" w:themeColor="text1"/>
                <w:sz w:val="18"/>
                <w:szCs w:val="18"/>
                <w:lang w:val="sl-SI" w:eastAsia="en-GB"/>
              </w:rPr>
              <w:t xml:space="preserve">. At </w:t>
            </w:r>
            <w:proofErr w:type="spellStart"/>
            <w:r w:rsidRPr="00275FBD">
              <w:rPr>
                <w:rFonts w:ascii="Calibri" w:hAnsi="Calibri"/>
                <w:color w:val="000000" w:themeColor="text1"/>
                <w:sz w:val="18"/>
                <w:szCs w:val="18"/>
                <w:lang w:val="sl-SI" w:eastAsia="en-GB"/>
              </w:rPr>
              <w:t>regard</w:t>
            </w:r>
            <w:proofErr w:type="spellEnd"/>
            <w:r w:rsidRPr="00275FBD">
              <w:rPr>
                <w:rFonts w:ascii="Calibri" w:hAnsi="Calibri"/>
                <w:color w:val="000000" w:themeColor="text1"/>
                <w:sz w:val="18"/>
                <w:szCs w:val="18"/>
                <w:lang w:val="sl-SI" w:eastAsia="en-GB"/>
              </w:rPr>
              <w:t xml:space="preserve"> of 10 CFR part 20 </w:t>
            </w:r>
            <w:proofErr w:type="spellStart"/>
            <w:r w:rsidRPr="00275FBD">
              <w:rPr>
                <w:rFonts w:ascii="Calibri" w:hAnsi="Calibri"/>
                <w:color w:val="000000" w:themeColor="text1"/>
                <w:sz w:val="18"/>
                <w:szCs w:val="18"/>
                <w:lang w:val="sl-SI" w:eastAsia="en-GB"/>
              </w:rPr>
              <w:t>changes</w:t>
            </w:r>
            <w:proofErr w:type="spellEnd"/>
            <w:r w:rsidRPr="00275FBD">
              <w:rPr>
                <w:rFonts w:ascii="Calibri" w:hAnsi="Calibri"/>
                <w:color w:val="000000" w:themeColor="text1"/>
                <w:sz w:val="18"/>
                <w:szCs w:val="18"/>
                <w:lang w:val="sl-SI" w:eastAsia="en-GB"/>
              </w:rPr>
              <w:t xml:space="preserve"> in 2011 </w:t>
            </w:r>
            <w:proofErr w:type="spellStart"/>
            <w:r w:rsidRPr="00275FBD">
              <w:rPr>
                <w:rFonts w:ascii="Calibri" w:hAnsi="Calibri"/>
                <w:color w:val="000000" w:themeColor="text1"/>
                <w:sz w:val="18"/>
                <w:szCs w:val="18"/>
                <w:lang w:val="sl-SI" w:eastAsia="en-GB"/>
              </w:rPr>
              <w:t>provisions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have</w:t>
            </w:r>
            <w:proofErr w:type="spellEnd"/>
            <w:r w:rsidRPr="00275FBD">
              <w:rPr>
                <w:rFonts w:ascii="Calibri" w:hAnsi="Calibri"/>
                <w:color w:val="000000" w:themeColor="text1"/>
                <w:sz w:val="18"/>
                <w:szCs w:val="18"/>
                <w:lang w:val="sl-SI" w:eastAsia="en-GB"/>
              </w:rPr>
              <w:t xml:space="preserve"> to be set to </w:t>
            </w:r>
            <w:proofErr w:type="spellStart"/>
            <w:r w:rsidRPr="00275FBD">
              <w:rPr>
                <w:rFonts w:ascii="Calibri" w:hAnsi="Calibri"/>
                <w:color w:val="000000" w:themeColor="text1"/>
                <w:sz w:val="18"/>
                <w:szCs w:val="18"/>
                <w:lang w:val="sl-SI" w:eastAsia="en-GB"/>
              </w:rPr>
              <w:t>report</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subsurface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contamination</w:t>
            </w:r>
            <w:proofErr w:type="spellEnd"/>
            <w:r w:rsidRPr="00275FBD">
              <w:rPr>
                <w:rFonts w:ascii="Calibri" w:hAnsi="Calibri"/>
                <w:color w:val="000000" w:themeColor="text1"/>
                <w:sz w:val="18"/>
                <w:szCs w:val="18"/>
                <w:lang w:val="sl-SI" w:eastAsia="en-GB"/>
              </w:rPr>
              <w:t xml:space="preserve"> during </w:t>
            </w:r>
            <w:proofErr w:type="spellStart"/>
            <w:r w:rsidRPr="00275FBD">
              <w:rPr>
                <w:rFonts w:ascii="Calibri" w:hAnsi="Calibri"/>
                <w:color w:val="000000" w:themeColor="text1"/>
                <w:sz w:val="18"/>
                <w:szCs w:val="18"/>
                <w:lang w:val="sl-SI" w:eastAsia="en-GB"/>
              </w:rPr>
              <w:t>facility</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operations</w:t>
            </w:r>
            <w:proofErr w:type="spellEnd"/>
            <w:r w:rsidRPr="00275FBD">
              <w:rPr>
                <w:rFonts w:ascii="Calibri" w:hAnsi="Calibri"/>
                <w:color w:val="000000" w:themeColor="text1"/>
                <w:sz w:val="18"/>
                <w:szCs w:val="18"/>
                <w:lang w:val="sl-SI" w:eastAsia="en-GB"/>
              </w:rPr>
              <w:t xml:space="preserve"> that </w:t>
            </w:r>
            <w:proofErr w:type="spellStart"/>
            <w:r w:rsidRPr="00275FBD">
              <w:rPr>
                <w:rFonts w:ascii="Calibri" w:hAnsi="Calibri"/>
                <w:color w:val="000000" w:themeColor="text1"/>
                <w:sz w:val="18"/>
                <w:szCs w:val="18"/>
                <w:lang w:val="sl-SI" w:eastAsia="en-GB"/>
              </w:rPr>
              <w:t>has</w:t>
            </w:r>
            <w:proofErr w:type="spellEnd"/>
            <w:r w:rsidRPr="00275FBD">
              <w:rPr>
                <w:rFonts w:ascii="Calibri" w:hAnsi="Calibri"/>
                <w:color w:val="000000" w:themeColor="text1"/>
                <w:sz w:val="18"/>
                <w:szCs w:val="18"/>
                <w:lang w:val="sl-SI" w:eastAsia="en-GB"/>
              </w:rPr>
              <w:t xml:space="preserve"> a </w:t>
            </w:r>
            <w:proofErr w:type="spellStart"/>
            <w:r w:rsidRPr="00275FBD">
              <w:rPr>
                <w:rFonts w:ascii="Calibri" w:hAnsi="Calibri"/>
                <w:color w:val="000000" w:themeColor="text1"/>
                <w:sz w:val="18"/>
                <w:szCs w:val="18"/>
                <w:lang w:val="sl-SI" w:eastAsia="en-GB"/>
              </w:rPr>
              <w:t>potential</w:t>
            </w:r>
            <w:proofErr w:type="spellEnd"/>
            <w:r w:rsidRPr="00275FBD">
              <w:rPr>
                <w:rFonts w:ascii="Calibri" w:hAnsi="Calibri"/>
                <w:color w:val="000000" w:themeColor="text1"/>
                <w:sz w:val="18"/>
                <w:szCs w:val="18"/>
                <w:lang w:val="sl-SI" w:eastAsia="en-GB"/>
              </w:rPr>
              <w:t xml:space="preserve"> to </w:t>
            </w:r>
            <w:proofErr w:type="spellStart"/>
            <w:r w:rsidRPr="00275FBD">
              <w:rPr>
                <w:rFonts w:ascii="Calibri" w:hAnsi="Calibri"/>
                <w:color w:val="000000" w:themeColor="text1"/>
                <w:sz w:val="18"/>
                <w:szCs w:val="18"/>
                <w:lang w:val="sl-SI" w:eastAsia="en-GB"/>
              </w:rPr>
              <w:t>complicate</w:t>
            </w:r>
            <w:proofErr w:type="spellEnd"/>
            <w:r w:rsidRPr="00275FBD">
              <w:rPr>
                <w:rFonts w:ascii="Calibri" w:hAnsi="Calibri"/>
                <w:color w:val="000000" w:themeColor="text1"/>
                <w:sz w:val="18"/>
                <w:szCs w:val="18"/>
                <w:lang w:val="sl-SI" w:eastAsia="en-GB"/>
              </w:rPr>
              <w:t xml:space="preserve"> future </w:t>
            </w:r>
            <w:proofErr w:type="spellStart"/>
            <w:r w:rsidRPr="00275FBD">
              <w:rPr>
                <w:rFonts w:ascii="Calibri" w:hAnsi="Calibri"/>
                <w:color w:val="000000" w:themeColor="text1"/>
                <w:sz w:val="18"/>
                <w:szCs w:val="18"/>
                <w:lang w:val="sl-SI" w:eastAsia="en-GB"/>
              </w:rPr>
              <w:t>decommissioning</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efforts</w:t>
            </w:r>
            <w:proofErr w:type="spellEnd"/>
            <w:r w:rsidRPr="00275FBD">
              <w:rPr>
                <w:rFonts w:ascii="Calibri" w:hAnsi="Calibri"/>
                <w:color w:val="000000" w:themeColor="text1"/>
                <w:sz w:val="18"/>
                <w:szCs w:val="18"/>
                <w:lang w:val="sl-SI" w:eastAsia="en-GB"/>
              </w:rPr>
              <w:t xml:space="preserve"> and that </w:t>
            </w:r>
            <w:proofErr w:type="spellStart"/>
            <w:r w:rsidRPr="00275FBD">
              <w:rPr>
                <w:rFonts w:ascii="Calibri" w:hAnsi="Calibri"/>
                <w:color w:val="000000" w:themeColor="text1"/>
                <w:sz w:val="18"/>
                <w:szCs w:val="18"/>
                <w:lang w:val="sl-SI" w:eastAsia="en-GB"/>
              </w:rPr>
              <w:t>funding</w:t>
            </w:r>
            <w:proofErr w:type="spellEnd"/>
            <w:r w:rsidRPr="00275FBD">
              <w:rPr>
                <w:rFonts w:ascii="Calibri" w:hAnsi="Calibri"/>
                <w:color w:val="000000" w:themeColor="text1"/>
                <w:sz w:val="18"/>
                <w:szCs w:val="18"/>
                <w:lang w:val="sl-SI" w:eastAsia="en-GB"/>
              </w:rPr>
              <w:t xml:space="preserve"> for site </w:t>
            </w:r>
            <w:proofErr w:type="spellStart"/>
            <w:r w:rsidRPr="00275FBD">
              <w:rPr>
                <w:rFonts w:ascii="Calibri" w:hAnsi="Calibri"/>
                <w:color w:val="000000" w:themeColor="text1"/>
                <w:sz w:val="18"/>
                <w:szCs w:val="18"/>
                <w:lang w:val="sl-SI" w:eastAsia="en-GB"/>
              </w:rPr>
              <w:t>decontamination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shall</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lastRenderedPageBreak/>
              <w:t>guaranteed</w:t>
            </w:r>
            <w:proofErr w:type="spellEnd"/>
            <w:r w:rsidRPr="00275FBD">
              <w:rPr>
                <w:rFonts w:ascii="Calibri" w:hAnsi="Calibri"/>
                <w:color w:val="000000" w:themeColor="text1"/>
                <w:sz w:val="18"/>
                <w:szCs w:val="18"/>
                <w:lang w:val="sl-SI" w:eastAsia="en-GB"/>
              </w:rPr>
              <w:t xml:space="preserve">. At </w:t>
            </w:r>
            <w:proofErr w:type="spellStart"/>
            <w:r w:rsidRPr="00275FBD">
              <w:rPr>
                <w:rFonts w:ascii="Calibri" w:hAnsi="Calibri"/>
                <w:color w:val="000000" w:themeColor="text1"/>
                <w:sz w:val="18"/>
                <w:szCs w:val="18"/>
                <w:lang w:val="sl-SI" w:eastAsia="en-GB"/>
              </w:rPr>
              <w:t>regard</w:t>
            </w:r>
            <w:proofErr w:type="spellEnd"/>
            <w:r w:rsidRPr="00275FBD">
              <w:rPr>
                <w:rFonts w:ascii="Calibri" w:hAnsi="Calibri"/>
                <w:color w:val="000000" w:themeColor="text1"/>
                <w:sz w:val="18"/>
                <w:szCs w:val="18"/>
                <w:lang w:val="sl-SI" w:eastAsia="en-GB"/>
              </w:rPr>
              <w:t xml:space="preserve"> of the </w:t>
            </w:r>
            <w:proofErr w:type="spellStart"/>
            <w:r w:rsidRPr="00275FBD">
              <w:rPr>
                <w:rFonts w:ascii="Calibri" w:hAnsi="Calibri"/>
                <w:color w:val="000000" w:themeColor="text1"/>
                <w:sz w:val="18"/>
                <w:szCs w:val="18"/>
                <w:lang w:val="sl-SI" w:eastAsia="en-GB"/>
              </w:rPr>
              <w:t>latter</w:t>
            </w:r>
            <w:proofErr w:type="spellEnd"/>
            <w:r w:rsidRPr="00275FBD">
              <w:rPr>
                <w:rFonts w:ascii="Calibri" w:hAnsi="Calibri"/>
                <w:color w:val="000000" w:themeColor="text1"/>
                <w:sz w:val="18"/>
                <w:szCs w:val="18"/>
                <w:lang w:val="sl-SI" w:eastAsia="en-GB"/>
              </w:rPr>
              <w:t xml:space="preserve"> part, </w:t>
            </w:r>
            <w:proofErr w:type="spellStart"/>
            <w:r w:rsidRPr="00275FBD">
              <w:rPr>
                <w:rFonts w:ascii="Calibri" w:hAnsi="Calibri"/>
                <w:color w:val="000000" w:themeColor="text1"/>
                <w:sz w:val="18"/>
                <w:szCs w:val="18"/>
                <w:lang w:val="sl-SI" w:eastAsia="en-GB"/>
              </w:rPr>
              <w:t>due</w:t>
            </w:r>
            <w:proofErr w:type="spellEnd"/>
            <w:r w:rsidRPr="00275FBD">
              <w:rPr>
                <w:rFonts w:ascii="Calibri" w:hAnsi="Calibri"/>
                <w:color w:val="000000" w:themeColor="text1"/>
                <w:sz w:val="18"/>
                <w:szCs w:val="18"/>
                <w:lang w:val="sl-SI" w:eastAsia="en-GB"/>
              </w:rPr>
              <w:t xml:space="preserve"> to the </w:t>
            </w:r>
            <w:proofErr w:type="spellStart"/>
            <w:r w:rsidRPr="00275FBD">
              <w:rPr>
                <w:rFonts w:ascii="Calibri" w:hAnsi="Calibri"/>
                <w:color w:val="000000" w:themeColor="text1"/>
                <w:sz w:val="18"/>
                <w:szCs w:val="18"/>
                <w:lang w:val="sl-SI" w:eastAsia="en-GB"/>
              </w:rPr>
              <w:t>NEK’s</w:t>
            </w:r>
            <w:proofErr w:type="spellEnd"/>
            <w:r w:rsidRPr="00275FBD">
              <w:rPr>
                <w:rFonts w:ascii="Calibri" w:hAnsi="Calibri"/>
                <w:color w:val="000000" w:themeColor="text1"/>
                <w:sz w:val="18"/>
                <w:szCs w:val="18"/>
                <w:lang w:val="sl-SI" w:eastAsia="en-GB"/>
              </w:rPr>
              <w:t xml:space="preserve"> Fund for </w:t>
            </w:r>
            <w:proofErr w:type="spellStart"/>
            <w:r w:rsidRPr="00275FBD">
              <w:rPr>
                <w:rFonts w:ascii="Calibri" w:hAnsi="Calibri"/>
                <w:color w:val="000000" w:themeColor="text1"/>
                <w:sz w:val="18"/>
                <w:szCs w:val="18"/>
                <w:lang w:val="sl-SI" w:eastAsia="en-GB"/>
              </w:rPr>
              <w:t>decommissioning</w:t>
            </w:r>
            <w:proofErr w:type="spellEnd"/>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mechanisms</w:t>
            </w:r>
            <w:proofErr w:type="spellEnd"/>
            <w:r w:rsidRPr="00275FBD">
              <w:rPr>
                <w:rFonts w:ascii="Calibri" w:hAnsi="Calibri"/>
                <w:color w:val="000000" w:themeColor="text1"/>
                <w:sz w:val="18"/>
                <w:szCs w:val="18"/>
                <w:lang w:val="sl-SI" w:eastAsia="en-GB"/>
              </w:rPr>
              <w:t xml:space="preserve"> for </w:t>
            </w:r>
            <w:proofErr w:type="spellStart"/>
            <w:r w:rsidRPr="00275FBD">
              <w:rPr>
                <w:rFonts w:ascii="Calibri" w:hAnsi="Calibri"/>
                <w:color w:val="000000" w:themeColor="text1"/>
                <w:sz w:val="18"/>
                <w:szCs w:val="18"/>
                <w:lang w:val="sl-SI" w:eastAsia="en-GB"/>
              </w:rPr>
              <w:t>collecting</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sufficient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funds</w:t>
            </w:r>
            <w:proofErr w:type="spellEnd"/>
            <w:r w:rsidRPr="00275FBD">
              <w:rPr>
                <w:rFonts w:ascii="Calibri" w:hAnsi="Calibri"/>
                <w:color w:val="000000" w:themeColor="text1"/>
                <w:sz w:val="18"/>
                <w:szCs w:val="18"/>
                <w:lang w:val="sl-SI" w:eastAsia="en-GB"/>
              </w:rPr>
              <w:t xml:space="preserve"> and </w:t>
            </w:r>
            <w:proofErr w:type="spellStart"/>
            <w:r w:rsidRPr="00275FBD">
              <w:rPr>
                <w:rFonts w:ascii="Calibri" w:hAnsi="Calibri"/>
                <w:color w:val="000000" w:themeColor="text1"/>
                <w:sz w:val="18"/>
                <w:szCs w:val="18"/>
                <w:lang w:val="sl-SI" w:eastAsia="en-GB"/>
              </w:rPr>
              <w:t>financial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assurance</w:t>
            </w:r>
            <w:proofErr w:type="spellEnd"/>
            <w:r w:rsidRPr="00275FBD">
              <w:rPr>
                <w:rFonts w:ascii="Calibri" w:hAnsi="Calibri"/>
                <w:color w:val="000000" w:themeColor="text1"/>
                <w:sz w:val="18"/>
                <w:szCs w:val="18"/>
                <w:lang w:val="sl-SI" w:eastAsia="en-GB"/>
              </w:rPr>
              <w:t xml:space="preserve"> are </w:t>
            </w:r>
            <w:proofErr w:type="spellStart"/>
            <w:r w:rsidRPr="00275FBD">
              <w:rPr>
                <w:rFonts w:ascii="Calibri" w:hAnsi="Calibri"/>
                <w:color w:val="000000" w:themeColor="text1"/>
                <w:sz w:val="18"/>
                <w:szCs w:val="18"/>
                <w:lang w:val="sl-SI" w:eastAsia="en-GB"/>
              </w:rPr>
              <w:t>well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established</w:t>
            </w:r>
            <w:proofErr w:type="spellEnd"/>
            <w:r w:rsidRPr="00275FBD">
              <w:rPr>
                <w:rFonts w:ascii="Calibri" w:hAnsi="Calibri"/>
                <w:color w:val="000000" w:themeColor="text1"/>
                <w:sz w:val="18"/>
                <w:szCs w:val="18"/>
                <w:lang w:val="sl-SI" w:eastAsia="en-GB"/>
              </w:rPr>
              <w:t xml:space="preserve">. At </w:t>
            </w:r>
            <w:proofErr w:type="spellStart"/>
            <w:r w:rsidRPr="00275FBD">
              <w:rPr>
                <w:rFonts w:ascii="Calibri" w:hAnsi="Calibri"/>
                <w:color w:val="000000" w:themeColor="text1"/>
                <w:sz w:val="18"/>
                <w:szCs w:val="18"/>
                <w:lang w:val="sl-SI" w:eastAsia="en-GB"/>
              </w:rPr>
              <w:t>regard</w:t>
            </w:r>
            <w:proofErr w:type="spellEnd"/>
            <w:r w:rsidRPr="00275FBD">
              <w:rPr>
                <w:rFonts w:ascii="Calibri" w:hAnsi="Calibri"/>
                <w:color w:val="000000" w:themeColor="text1"/>
                <w:sz w:val="18"/>
                <w:szCs w:val="18"/>
                <w:lang w:val="sl-SI" w:eastAsia="en-GB"/>
              </w:rPr>
              <w:t xml:space="preserve"> of the </w:t>
            </w:r>
            <w:proofErr w:type="spellStart"/>
            <w:r w:rsidRPr="00275FBD">
              <w:rPr>
                <w:rFonts w:ascii="Calibri" w:hAnsi="Calibri"/>
                <w:color w:val="000000" w:themeColor="text1"/>
                <w:sz w:val="18"/>
                <w:szCs w:val="18"/>
                <w:lang w:val="sl-SI" w:eastAsia="en-GB"/>
              </w:rPr>
              <w:t>first</w:t>
            </w:r>
            <w:proofErr w:type="spellEnd"/>
            <w:r w:rsidRPr="00275FBD">
              <w:rPr>
                <w:rFonts w:ascii="Calibri" w:hAnsi="Calibri"/>
                <w:color w:val="000000" w:themeColor="text1"/>
                <w:sz w:val="18"/>
                <w:szCs w:val="18"/>
                <w:lang w:val="sl-SI" w:eastAsia="en-GB"/>
              </w:rPr>
              <w:t xml:space="preserve"> part of the CFR </w:t>
            </w:r>
            <w:proofErr w:type="spellStart"/>
            <w:r w:rsidRPr="00275FBD">
              <w:rPr>
                <w:rFonts w:ascii="Calibri" w:hAnsi="Calibri"/>
                <w:color w:val="000000" w:themeColor="text1"/>
                <w:sz w:val="18"/>
                <w:szCs w:val="18"/>
                <w:lang w:val="sl-SI" w:eastAsia="en-GB"/>
              </w:rPr>
              <w:t>changes</w:t>
            </w:r>
            <w:proofErr w:type="spellEnd"/>
            <w:r w:rsidRPr="00275FBD">
              <w:rPr>
                <w:rFonts w:ascii="Calibri" w:hAnsi="Calibri"/>
                <w:color w:val="000000" w:themeColor="text1"/>
                <w:sz w:val="18"/>
                <w:szCs w:val="18"/>
                <w:lang w:val="sl-SI" w:eastAsia="en-GB"/>
              </w:rPr>
              <w:t xml:space="preserve"> we </w:t>
            </w:r>
            <w:proofErr w:type="spellStart"/>
            <w:r w:rsidRPr="00275FBD">
              <w:rPr>
                <w:rFonts w:ascii="Calibri" w:hAnsi="Calibri"/>
                <w:color w:val="000000" w:themeColor="text1"/>
                <w:sz w:val="18"/>
                <w:szCs w:val="18"/>
                <w:lang w:val="sl-SI" w:eastAsia="en-GB"/>
              </w:rPr>
              <w:t>recommend</w:t>
            </w:r>
            <w:proofErr w:type="spellEnd"/>
            <w:r w:rsidRPr="00275FBD">
              <w:rPr>
                <w:rFonts w:ascii="Calibri" w:hAnsi="Calibri"/>
                <w:color w:val="000000" w:themeColor="text1"/>
                <w:sz w:val="18"/>
                <w:szCs w:val="18"/>
                <w:lang w:val="sl-SI" w:eastAsia="en-GB"/>
              </w:rPr>
              <w:t xml:space="preserve"> that </w:t>
            </w:r>
            <w:proofErr w:type="spellStart"/>
            <w:r w:rsidRPr="00275FBD">
              <w:rPr>
                <w:rFonts w:ascii="Calibri" w:hAnsi="Calibri"/>
                <w:color w:val="000000" w:themeColor="text1"/>
                <w:sz w:val="18"/>
                <w:szCs w:val="18"/>
                <w:lang w:val="sl-SI" w:eastAsia="en-GB"/>
              </w:rPr>
              <w:t>special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warnings</w:t>
            </w:r>
            <w:proofErr w:type="spellEnd"/>
            <w:r w:rsidRPr="00275FBD">
              <w:rPr>
                <w:rFonts w:ascii="Calibri" w:hAnsi="Calibri"/>
                <w:color w:val="000000" w:themeColor="text1"/>
                <w:sz w:val="18"/>
                <w:szCs w:val="18"/>
                <w:lang w:val="sl-SI" w:eastAsia="en-GB"/>
              </w:rPr>
              <w:t xml:space="preserve"> to </w:t>
            </w:r>
            <w:proofErr w:type="spellStart"/>
            <w:r w:rsidRPr="00275FBD">
              <w:rPr>
                <w:rFonts w:ascii="Calibri" w:hAnsi="Calibri"/>
                <w:color w:val="000000" w:themeColor="text1"/>
                <w:sz w:val="18"/>
                <w:szCs w:val="18"/>
                <w:lang w:val="sl-SI" w:eastAsia="en-GB"/>
              </w:rPr>
              <w:t>promote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detection</w:t>
            </w:r>
            <w:proofErr w:type="spellEnd"/>
            <w:r w:rsidRPr="00275FBD">
              <w:rPr>
                <w:rFonts w:ascii="Calibri" w:hAnsi="Calibri"/>
                <w:color w:val="000000" w:themeColor="text1"/>
                <w:sz w:val="18"/>
                <w:szCs w:val="18"/>
                <w:lang w:val="sl-SI" w:eastAsia="en-GB"/>
              </w:rPr>
              <w:t xml:space="preserve"> and </w:t>
            </w:r>
            <w:proofErr w:type="spellStart"/>
            <w:r w:rsidRPr="00275FBD">
              <w:rPr>
                <w:rFonts w:ascii="Calibri" w:hAnsi="Calibri"/>
                <w:color w:val="000000" w:themeColor="text1"/>
                <w:sz w:val="18"/>
                <w:szCs w:val="18"/>
                <w:lang w:val="sl-SI" w:eastAsia="en-GB"/>
              </w:rPr>
              <w:t>reporting</w:t>
            </w:r>
            <w:proofErr w:type="spellEnd"/>
            <w:r w:rsidRPr="00275FBD">
              <w:rPr>
                <w:rFonts w:ascii="Calibri" w:hAnsi="Calibri"/>
                <w:color w:val="000000" w:themeColor="text1"/>
                <w:sz w:val="18"/>
                <w:szCs w:val="18"/>
                <w:lang w:val="sl-SI" w:eastAsia="en-GB"/>
              </w:rPr>
              <w:t xml:space="preserve"> are </w:t>
            </w:r>
            <w:proofErr w:type="spellStart"/>
            <w:r w:rsidRPr="00275FBD">
              <w:rPr>
                <w:rFonts w:ascii="Calibri" w:hAnsi="Calibri"/>
                <w:color w:val="000000" w:themeColor="text1"/>
                <w:sz w:val="18"/>
                <w:szCs w:val="18"/>
                <w:lang w:val="sl-SI" w:eastAsia="en-GB"/>
              </w:rPr>
              <w:t>introduced</w:t>
            </w:r>
            <w:proofErr w:type="spellEnd"/>
            <w:r w:rsidRPr="00275FBD">
              <w:rPr>
                <w:rFonts w:ascii="Calibri" w:hAnsi="Calibri"/>
                <w:color w:val="000000" w:themeColor="text1"/>
                <w:sz w:val="18"/>
                <w:szCs w:val="18"/>
                <w:lang w:val="sl-SI" w:eastAsia="en-GB"/>
              </w:rPr>
              <w:t xml:space="preserve">: in the procedure PRZ-7.300 in </w:t>
            </w:r>
            <w:proofErr w:type="spellStart"/>
            <w:r w:rsidRPr="00275FBD">
              <w:rPr>
                <w:rFonts w:ascii="Calibri" w:hAnsi="Calibri"/>
                <w:color w:val="000000" w:themeColor="text1"/>
                <w:sz w:val="18"/>
                <w:szCs w:val="18"/>
                <w:lang w:val="sl-SI" w:eastAsia="en-GB"/>
              </w:rPr>
              <w:t>case</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larger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contamination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due</w:t>
            </w:r>
            <w:proofErr w:type="spellEnd"/>
            <w:r w:rsidRPr="00275FBD">
              <w:rPr>
                <w:rFonts w:ascii="Calibri" w:hAnsi="Calibri"/>
                <w:color w:val="000000" w:themeColor="text1"/>
                <w:sz w:val="18"/>
                <w:szCs w:val="18"/>
                <w:lang w:val="sl-SI" w:eastAsia="en-GB"/>
              </w:rPr>
              <w:t xml:space="preserve"> to </w:t>
            </w:r>
            <w:proofErr w:type="spellStart"/>
            <w:r w:rsidRPr="00275FBD">
              <w:rPr>
                <w:rFonts w:ascii="Calibri" w:hAnsi="Calibri"/>
                <w:color w:val="000000" w:themeColor="text1"/>
                <w:sz w:val="18"/>
                <w:szCs w:val="18"/>
                <w:lang w:val="sl-SI" w:eastAsia="en-GB"/>
              </w:rPr>
              <w:t>spill</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radioactive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fluid</w:t>
            </w:r>
            <w:proofErr w:type="spellEnd"/>
            <w:r w:rsidRPr="00275FBD">
              <w:rPr>
                <w:rFonts w:ascii="Calibri" w:hAnsi="Calibri"/>
                <w:color w:val="000000" w:themeColor="text1"/>
                <w:sz w:val="18"/>
                <w:szCs w:val="18"/>
                <w:lang w:val="sl-SI" w:eastAsia="en-GB"/>
              </w:rPr>
              <w:t xml:space="preserve"> or </w:t>
            </w:r>
            <w:proofErr w:type="spellStart"/>
            <w:r w:rsidRPr="00275FBD">
              <w:rPr>
                <w:rFonts w:ascii="Calibri" w:hAnsi="Calibri"/>
                <w:color w:val="000000" w:themeColor="text1"/>
                <w:sz w:val="18"/>
                <w:szCs w:val="18"/>
                <w:lang w:val="sl-SI" w:eastAsia="en-GB"/>
              </w:rPr>
              <w:t>scatter</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radioactive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powder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occurs</w:t>
            </w:r>
            <w:proofErr w:type="spellEnd"/>
            <w:r w:rsidRPr="00275FBD">
              <w:rPr>
                <w:rFonts w:ascii="Calibri" w:hAnsi="Calibri"/>
                <w:color w:val="000000" w:themeColor="text1"/>
                <w:sz w:val="18"/>
                <w:szCs w:val="18"/>
                <w:lang w:val="sl-SI" w:eastAsia="en-GB"/>
              </w:rPr>
              <w:t xml:space="preserve"> or any </w:t>
            </w:r>
            <w:proofErr w:type="spellStart"/>
            <w:r w:rsidRPr="00275FBD">
              <w:rPr>
                <w:rFonts w:ascii="Calibri" w:hAnsi="Calibri"/>
                <w:color w:val="000000" w:themeColor="text1"/>
                <w:sz w:val="18"/>
                <w:szCs w:val="18"/>
                <w:lang w:val="sl-SI" w:eastAsia="en-GB"/>
              </w:rPr>
              <w:t>leakage</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tanks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containing</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contaminated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water</w:t>
            </w:r>
            <w:proofErr w:type="spellEnd"/>
            <w:r w:rsidRPr="00275FBD">
              <w:rPr>
                <w:rFonts w:ascii="Calibri" w:hAnsi="Calibri"/>
                <w:color w:val="000000" w:themeColor="text1"/>
                <w:sz w:val="18"/>
                <w:szCs w:val="18"/>
                <w:lang w:val="sl-SI" w:eastAsia="en-GB"/>
              </w:rPr>
              <w:t xml:space="preserve"> is </w:t>
            </w:r>
            <w:proofErr w:type="spellStart"/>
            <w:r w:rsidRPr="00275FBD">
              <w:rPr>
                <w:rFonts w:ascii="Calibri" w:hAnsi="Calibri"/>
                <w:color w:val="000000" w:themeColor="text1"/>
                <w:sz w:val="18"/>
                <w:szCs w:val="18"/>
                <w:lang w:val="sl-SI" w:eastAsia="en-GB"/>
              </w:rPr>
              <w:t>detected</w:t>
            </w:r>
            <w:proofErr w:type="spellEnd"/>
            <w:r w:rsidRPr="00275FBD">
              <w:rPr>
                <w:rFonts w:ascii="Calibri" w:hAnsi="Calibri"/>
                <w:color w:val="000000" w:themeColor="text1"/>
                <w:sz w:val="18"/>
                <w:szCs w:val="18"/>
                <w:lang w:val="sl-SI" w:eastAsia="en-GB"/>
              </w:rPr>
              <w:t xml:space="preserve">; in the procedure PRZ-7.306 </w:t>
            </w:r>
            <w:proofErr w:type="spellStart"/>
            <w:r w:rsidRPr="00275FBD">
              <w:rPr>
                <w:rFonts w:ascii="Calibri" w:hAnsi="Calibri"/>
                <w:color w:val="000000" w:themeColor="text1"/>
                <w:sz w:val="18"/>
                <w:szCs w:val="18"/>
                <w:lang w:val="sl-SI" w:eastAsia="en-GB"/>
              </w:rPr>
              <w:t>if</w:t>
            </w:r>
            <w:proofErr w:type="spellEnd"/>
            <w:r w:rsidRPr="00275FBD">
              <w:rPr>
                <w:rFonts w:ascii="Calibri" w:hAnsi="Calibri"/>
                <w:color w:val="000000" w:themeColor="text1"/>
                <w:sz w:val="18"/>
                <w:szCs w:val="18"/>
                <w:lang w:val="sl-SI" w:eastAsia="en-GB"/>
              </w:rPr>
              <w:t xml:space="preserve"> any </w:t>
            </w:r>
            <w:proofErr w:type="spellStart"/>
            <w:r w:rsidRPr="00275FBD">
              <w:rPr>
                <w:rFonts w:ascii="Calibri" w:hAnsi="Calibri"/>
                <w:color w:val="000000" w:themeColor="text1"/>
                <w:sz w:val="18"/>
                <w:szCs w:val="18"/>
                <w:lang w:val="sl-SI" w:eastAsia="en-GB"/>
              </w:rPr>
              <w:t>contamination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outside</w:t>
            </w:r>
            <w:proofErr w:type="spellEnd"/>
            <w:r w:rsidRPr="00275FBD">
              <w:rPr>
                <w:rFonts w:ascii="Calibri" w:hAnsi="Calibri"/>
                <w:color w:val="000000" w:themeColor="text1"/>
                <w:sz w:val="18"/>
                <w:szCs w:val="18"/>
                <w:lang w:val="sl-SI" w:eastAsia="en-GB"/>
              </w:rPr>
              <w:t xml:space="preserve"> the NEK  buildings is </w:t>
            </w:r>
            <w:proofErr w:type="spellStart"/>
            <w:r w:rsidRPr="00275FBD">
              <w:rPr>
                <w:rFonts w:ascii="Calibri" w:hAnsi="Calibri"/>
                <w:color w:val="000000" w:themeColor="text1"/>
                <w:sz w:val="18"/>
                <w:szCs w:val="18"/>
                <w:lang w:val="sl-SI" w:eastAsia="en-GB"/>
              </w:rPr>
              <w:t>discovered</w:t>
            </w:r>
            <w:proofErr w:type="spellEnd"/>
            <w:r w:rsidRPr="00275FBD">
              <w:rPr>
                <w:rFonts w:ascii="Calibri" w:hAnsi="Calibri"/>
                <w:color w:val="000000" w:themeColor="text1"/>
                <w:sz w:val="18"/>
                <w:szCs w:val="18"/>
                <w:lang w:val="sl-SI" w:eastAsia="en-GB"/>
              </w:rPr>
              <w:t xml:space="preserve"> during </w:t>
            </w:r>
            <w:proofErr w:type="spellStart"/>
            <w:r w:rsidRPr="00275FBD">
              <w:rPr>
                <w:rFonts w:ascii="Calibri" w:hAnsi="Calibri"/>
                <w:color w:val="000000" w:themeColor="text1"/>
                <w:sz w:val="18"/>
                <w:szCs w:val="18"/>
                <w:lang w:val="sl-SI" w:eastAsia="en-GB"/>
              </w:rPr>
              <w:t>periodic</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radiation</w:t>
            </w:r>
            <w:proofErr w:type="spellEnd"/>
            <w:r w:rsidRPr="00275FBD">
              <w:rPr>
                <w:rFonts w:ascii="Calibri" w:hAnsi="Calibri"/>
                <w:color w:val="000000" w:themeColor="text1"/>
                <w:sz w:val="18"/>
                <w:szCs w:val="18"/>
                <w:lang w:val="sl-SI" w:eastAsia="en-GB"/>
              </w:rPr>
              <w:t xml:space="preserve"> control; and in the procedure PRZ-7.309 </w:t>
            </w:r>
            <w:proofErr w:type="spellStart"/>
            <w:r w:rsidRPr="00275FBD">
              <w:rPr>
                <w:rFonts w:ascii="Calibri" w:hAnsi="Calibri"/>
                <w:color w:val="000000" w:themeColor="text1"/>
                <w:sz w:val="18"/>
                <w:szCs w:val="18"/>
                <w:lang w:val="sl-SI" w:eastAsia="en-GB"/>
              </w:rPr>
              <w:t>if</w:t>
            </w:r>
            <w:proofErr w:type="spellEnd"/>
            <w:r w:rsidRPr="00275FBD">
              <w:rPr>
                <w:rFonts w:ascii="Calibri" w:hAnsi="Calibri"/>
                <w:color w:val="000000" w:themeColor="text1"/>
                <w:sz w:val="18"/>
                <w:szCs w:val="18"/>
                <w:lang w:val="sl-SI" w:eastAsia="en-GB"/>
              </w:rPr>
              <w:t xml:space="preserve"> any </w:t>
            </w:r>
            <w:proofErr w:type="spellStart"/>
            <w:r w:rsidRPr="00275FBD">
              <w:rPr>
                <w:rFonts w:ascii="Calibri" w:hAnsi="Calibri"/>
                <w:color w:val="000000" w:themeColor="text1"/>
                <w:sz w:val="18"/>
                <w:szCs w:val="18"/>
                <w:lang w:val="sl-SI" w:eastAsia="en-GB"/>
              </w:rPr>
              <w:t>abnormal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occurrences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resulting</w:t>
            </w:r>
            <w:proofErr w:type="spellEnd"/>
            <w:r w:rsidRPr="00275FBD">
              <w:rPr>
                <w:rFonts w:ascii="Calibri" w:hAnsi="Calibri"/>
                <w:color w:val="000000" w:themeColor="text1"/>
                <w:sz w:val="18"/>
                <w:szCs w:val="18"/>
                <w:lang w:val="sl-SI" w:eastAsia="en-GB"/>
              </w:rPr>
              <w:t xml:space="preserve"> in spread of </w:t>
            </w:r>
            <w:proofErr w:type="spellStart"/>
            <w:r w:rsidRPr="00275FBD">
              <w:rPr>
                <w:rFonts w:ascii="Calibri" w:hAnsi="Calibri"/>
                <w:color w:val="000000" w:themeColor="text1"/>
                <w:sz w:val="18"/>
                <w:szCs w:val="18"/>
                <w:lang w:val="sl-SI" w:eastAsia="en-GB"/>
              </w:rPr>
              <w:t>contamination</w:t>
            </w:r>
            <w:proofErr w:type="spellEnd"/>
            <w:r w:rsidRPr="00275FBD">
              <w:rPr>
                <w:rFonts w:ascii="Calibri" w:hAnsi="Calibri"/>
                <w:color w:val="000000" w:themeColor="text1"/>
                <w:sz w:val="18"/>
                <w:szCs w:val="18"/>
                <w:lang w:val="sl-SI" w:eastAsia="en-GB"/>
              </w:rPr>
              <w:t xml:space="preserve"> are </w:t>
            </w:r>
            <w:proofErr w:type="spellStart"/>
            <w:r w:rsidRPr="00275FBD">
              <w:rPr>
                <w:rFonts w:ascii="Calibri" w:hAnsi="Calibri"/>
                <w:color w:val="000000" w:themeColor="text1"/>
                <w:sz w:val="18"/>
                <w:szCs w:val="18"/>
                <w:lang w:val="sl-SI" w:eastAsia="en-GB"/>
              </w:rPr>
              <w:t>detected</w:t>
            </w:r>
            <w:proofErr w:type="spellEnd"/>
            <w:r w:rsidRPr="00275FBD">
              <w:rPr>
                <w:rFonts w:ascii="Calibri" w:hAnsi="Calibri"/>
                <w:color w:val="000000" w:themeColor="text1"/>
                <w:sz w:val="18"/>
                <w:szCs w:val="18"/>
                <w:lang w:val="sl-SI" w:eastAsia="en-GB"/>
              </w:rPr>
              <w:t xml:space="preserve"> during transport </w:t>
            </w:r>
            <w:proofErr w:type="spellStart"/>
            <w:r w:rsidRPr="00275FBD">
              <w:rPr>
                <w:rFonts w:ascii="Calibri" w:hAnsi="Calibri"/>
                <w:color w:val="000000" w:themeColor="text1"/>
                <w:sz w:val="18"/>
                <w:szCs w:val="18"/>
                <w:lang w:val="sl-SI" w:eastAsia="en-GB"/>
              </w:rPr>
              <w:t>within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NEK’s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premises</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 xml:space="preserve">OSF element: </w:t>
            </w:r>
            <w:proofErr w:type="spellStart"/>
            <w:r w:rsidRPr="00275FBD">
              <w:rPr>
                <w:rFonts w:ascii="Calibri" w:hAnsi="Calibri"/>
                <w:color w:val="000000" w:themeColor="text1"/>
                <w:sz w:val="18"/>
                <w:szCs w:val="18"/>
                <w:lang w:val="sl-SI" w:eastAsia="en-GB"/>
              </w:rPr>
              <w:t>Procedures</w:t>
            </w:r>
            <w:proofErr w:type="spellEnd"/>
          </w:p>
        </w:tc>
        <w:tc>
          <w:tcPr>
            <w:tcW w:w="993" w:type="dxa"/>
            <w:tcBorders>
              <w:top w:val="single" w:sz="4" w:space="0" w:color="auto"/>
            </w:tcBorders>
          </w:tcPr>
          <w:p w14:paraId="1DED3A94"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lastRenderedPageBreak/>
              <w:t>3.1.3</w:t>
            </w:r>
          </w:p>
        </w:tc>
        <w:tc>
          <w:tcPr>
            <w:tcW w:w="5244" w:type="dxa"/>
            <w:tcBorders>
              <w:top w:val="single" w:sz="4" w:space="0" w:color="auto"/>
            </w:tcBorders>
          </w:tcPr>
          <w:p w14:paraId="30ECF14B" w14:textId="77777777" w:rsidR="00935B67" w:rsidRPr="00275FBD" w:rsidRDefault="00935B67" w:rsidP="00935B67">
            <w:pPr>
              <w:jc w:val="left"/>
              <w:rPr>
                <w:rFonts w:ascii="Calibri" w:hAnsi="Calibri"/>
                <w:color w:val="000000"/>
                <w:sz w:val="18"/>
                <w:szCs w:val="18"/>
                <w:lang w:val="sl-SI" w:eastAsia="en-GB"/>
              </w:rPr>
            </w:pPr>
            <w:proofErr w:type="spellStart"/>
            <w:r w:rsidRPr="00275FBD">
              <w:rPr>
                <w:rFonts w:ascii="Calibri" w:hAnsi="Calibri"/>
                <w:color w:val="000000"/>
                <w:sz w:val="18"/>
                <w:szCs w:val="18"/>
                <w:lang w:val="sl-SI" w:eastAsia="en-GB"/>
              </w:rPr>
              <w:t>Proper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bookkeeping</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ensures</w:t>
            </w:r>
            <w:proofErr w:type="spellEnd"/>
            <w:r w:rsidRPr="00275FBD">
              <w:rPr>
                <w:rFonts w:ascii="Calibri" w:hAnsi="Calibri"/>
                <w:color w:val="000000"/>
                <w:sz w:val="18"/>
                <w:szCs w:val="18"/>
                <w:lang w:val="sl-SI" w:eastAsia="en-GB"/>
              </w:rPr>
              <w:t xml:space="preserve"> that no </w:t>
            </w:r>
            <w:proofErr w:type="spellStart"/>
            <w:r w:rsidRPr="00275FBD">
              <w:rPr>
                <w:rFonts w:ascii="Calibri" w:hAnsi="Calibri"/>
                <w:color w:val="000000"/>
                <w:sz w:val="18"/>
                <w:szCs w:val="18"/>
                <w:lang w:val="sl-SI" w:eastAsia="en-GB"/>
              </w:rPr>
              <w:t>contaminated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areas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remain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undocumented</w:t>
            </w:r>
            <w:proofErr w:type="spellEnd"/>
            <w:r w:rsidRPr="00275FBD">
              <w:rPr>
                <w:rFonts w:ascii="Calibri" w:hAnsi="Calibri"/>
                <w:color w:val="000000"/>
                <w:sz w:val="18"/>
                <w:szCs w:val="18"/>
                <w:lang w:val="sl-SI" w:eastAsia="en-GB"/>
              </w:rPr>
              <w:t>.</w:t>
            </w:r>
          </w:p>
        </w:tc>
        <w:tc>
          <w:tcPr>
            <w:tcW w:w="2694" w:type="dxa"/>
            <w:tcBorders>
              <w:top w:val="single" w:sz="4" w:space="0" w:color="auto"/>
            </w:tcBorders>
          </w:tcPr>
          <w:p w14:paraId="0CF1A690"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3CB707E0" w14:textId="77777777" w:rsidTr="00935B67">
        <w:tc>
          <w:tcPr>
            <w:tcW w:w="1384" w:type="dxa"/>
            <w:shd w:val="clear" w:color="auto" w:fill="DEA400"/>
          </w:tcPr>
          <w:p w14:paraId="77304689"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themeColor="text1"/>
                <w:sz w:val="18"/>
                <w:szCs w:val="18"/>
                <w:lang w:val="sl-SI" w:eastAsia="en-GB"/>
              </w:rPr>
              <w:t>PSR3 7.1-004</w:t>
            </w:r>
          </w:p>
        </w:tc>
        <w:tc>
          <w:tcPr>
            <w:tcW w:w="3827" w:type="dxa"/>
          </w:tcPr>
          <w:p w14:paraId="120EF6B9" w14:textId="77777777" w:rsidR="00935B67" w:rsidRPr="00275FBD" w:rsidRDefault="00935B67" w:rsidP="00935B67">
            <w:pPr>
              <w:jc w:val="left"/>
              <w:rPr>
                <w:rFonts w:ascii="Calibri" w:hAnsi="Calibri"/>
                <w:color w:val="000000"/>
                <w:sz w:val="18"/>
                <w:szCs w:val="18"/>
                <w:lang w:val="sl-SI" w:eastAsia="en-GB"/>
              </w:rPr>
            </w:pPr>
            <w:proofErr w:type="spellStart"/>
            <w:r w:rsidRPr="00275FBD">
              <w:rPr>
                <w:rFonts w:ascii="Calibri" w:hAnsi="Calibri"/>
                <w:b/>
                <w:bCs/>
                <w:color w:val="000000" w:themeColor="text1"/>
                <w:sz w:val="18"/>
                <w:szCs w:val="18"/>
                <w:lang w:val="sl-SI" w:eastAsia="en-GB"/>
              </w:rPr>
              <w:t>Solid</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radwaste</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storage</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facility</w:t>
            </w:r>
            <w:proofErr w:type="spellEnd"/>
            <w:r w:rsidRPr="00275FBD">
              <w:rPr>
                <w:rFonts w:ascii="Calibri" w:hAnsi="Calibri"/>
                <w:color w:val="000000" w:themeColor="text1"/>
                <w:sz w:val="18"/>
                <w:szCs w:val="18"/>
                <w:lang w:val="sl-SI" w:eastAsia="en-GB"/>
              </w:rPr>
              <w:t xml:space="preserve">. In NEK USAR </w:t>
            </w:r>
            <w:proofErr w:type="spellStart"/>
            <w:r w:rsidRPr="00275FBD">
              <w:rPr>
                <w:rFonts w:ascii="Calibri" w:hAnsi="Calibri"/>
                <w:color w:val="000000" w:themeColor="text1"/>
                <w:sz w:val="18"/>
                <w:szCs w:val="18"/>
                <w:lang w:val="sl-SI" w:eastAsia="en-GB"/>
              </w:rPr>
              <w:t>there</w:t>
            </w:r>
            <w:proofErr w:type="spellEnd"/>
            <w:r w:rsidRPr="00275FBD">
              <w:rPr>
                <w:rFonts w:ascii="Calibri" w:hAnsi="Calibri"/>
                <w:color w:val="000000" w:themeColor="text1"/>
                <w:sz w:val="18"/>
                <w:szCs w:val="18"/>
                <w:lang w:val="sl-SI" w:eastAsia="en-GB"/>
              </w:rPr>
              <w:t xml:space="preserve"> is no </w:t>
            </w:r>
            <w:proofErr w:type="spellStart"/>
            <w:r w:rsidRPr="00275FBD">
              <w:rPr>
                <w:rFonts w:ascii="Calibri" w:hAnsi="Calibri"/>
                <w:color w:val="000000" w:themeColor="text1"/>
                <w:sz w:val="18"/>
                <w:szCs w:val="18"/>
                <w:lang w:val="sl-SI" w:eastAsia="en-GB"/>
              </w:rPr>
              <w:t>description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regarding</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shielding</w:t>
            </w:r>
            <w:proofErr w:type="spellEnd"/>
            <w:r w:rsidRPr="00275FBD">
              <w:rPr>
                <w:rFonts w:ascii="Calibri" w:hAnsi="Calibri"/>
                <w:color w:val="000000" w:themeColor="text1"/>
                <w:sz w:val="18"/>
                <w:szCs w:val="18"/>
                <w:lang w:val="sl-SI" w:eastAsia="en-GB"/>
              </w:rPr>
              <w:t xml:space="preserve"> design for </w:t>
            </w:r>
            <w:proofErr w:type="spellStart"/>
            <w:r w:rsidRPr="00275FBD">
              <w:rPr>
                <w:rFonts w:ascii="Calibri" w:hAnsi="Calibri"/>
                <w:color w:val="000000" w:themeColor="text1"/>
                <w:sz w:val="18"/>
                <w:szCs w:val="18"/>
                <w:lang w:val="sl-SI" w:eastAsia="en-GB"/>
              </w:rPr>
              <w:t>Solid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radwaste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storage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facility</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 xml:space="preserve">OSF element: </w:t>
            </w:r>
            <w:proofErr w:type="spellStart"/>
            <w:r w:rsidRPr="00275FBD">
              <w:rPr>
                <w:rFonts w:ascii="Calibri" w:hAnsi="Calibri"/>
                <w:color w:val="000000" w:themeColor="text1"/>
                <w:sz w:val="18"/>
                <w:szCs w:val="18"/>
                <w:lang w:val="sl-SI" w:eastAsia="en-GB"/>
              </w:rPr>
              <w:t>Change</w:t>
            </w:r>
            <w:proofErr w:type="spellEnd"/>
            <w:r w:rsidRPr="00275FBD">
              <w:rPr>
                <w:rFonts w:ascii="Calibri" w:hAnsi="Calibri"/>
                <w:color w:val="000000" w:themeColor="text1"/>
                <w:sz w:val="18"/>
                <w:szCs w:val="18"/>
                <w:lang w:val="sl-SI" w:eastAsia="en-GB"/>
              </w:rPr>
              <w:t xml:space="preserve"> Review </w:t>
            </w:r>
            <w:proofErr w:type="spellStart"/>
            <w:r w:rsidRPr="00275FBD">
              <w:rPr>
                <w:rFonts w:ascii="Calibri" w:hAnsi="Calibri"/>
                <w:color w:val="000000" w:themeColor="text1"/>
                <w:sz w:val="18"/>
                <w:szCs w:val="18"/>
                <w:lang w:val="sl-SI" w:eastAsia="en-GB"/>
              </w:rPr>
              <w:t>Process</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 xml:space="preserve">It is </w:t>
            </w:r>
            <w:proofErr w:type="spellStart"/>
            <w:r w:rsidRPr="00275FBD">
              <w:rPr>
                <w:rFonts w:ascii="Calibri" w:hAnsi="Calibri"/>
                <w:color w:val="000000" w:themeColor="text1"/>
                <w:sz w:val="18"/>
                <w:szCs w:val="18"/>
                <w:lang w:val="sl-SI" w:eastAsia="en-GB"/>
              </w:rPr>
              <w:t>understood</w:t>
            </w:r>
            <w:proofErr w:type="spellEnd"/>
            <w:r w:rsidRPr="00275FBD">
              <w:rPr>
                <w:rFonts w:ascii="Calibri" w:hAnsi="Calibri"/>
                <w:color w:val="000000" w:themeColor="text1"/>
                <w:sz w:val="18"/>
                <w:szCs w:val="18"/>
                <w:lang w:val="sl-SI" w:eastAsia="en-GB"/>
              </w:rPr>
              <w:t xml:space="preserve"> that </w:t>
            </w:r>
            <w:proofErr w:type="spellStart"/>
            <w:r w:rsidRPr="00275FBD">
              <w:rPr>
                <w:rFonts w:ascii="Calibri" w:hAnsi="Calibri"/>
                <w:color w:val="000000" w:themeColor="text1"/>
                <w:sz w:val="18"/>
                <w:szCs w:val="18"/>
                <w:lang w:val="sl-SI" w:eastAsia="en-GB"/>
              </w:rPr>
              <w:t>description</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shielding</w:t>
            </w:r>
            <w:proofErr w:type="spellEnd"/>
            <w:r w:rsidRPr="00275FBD">
              <w:rPr>
                <w:rFonts w:ascii="Calibri" w:hAnsi="Calibri"/>
                <w:color w:val="000000" w:themeColor="text1"/>
                <w:sz w:val="18"/>
                <w:szCs w:val="18"/>
                <w:lang w:val="sl-SI" w:eastAsia="en-GB"/>
              </w:rPr>
              <w:t xml:space="preserve"> design </w:t>
            </w:r>
            <w:proofErr w:type="spellStart"/>
            <w:r w:rsidRPr="00275FBD">
              <w:rPr>
                <w:rFonts w:ascii="Calibri" w:hAnsi="Calibri"/>
                <w:color w:val="000000" w:themeColor="text1"/>
                <w:sz w:val="18"/>
                <w:szCs w:val="18"/>
                <w:lang w:val="sl-SI" w:eastAsia="en-GB"/>
              </w:rPr>
              <w:t>can</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found</w:t>
            </w:r>
            <w:proofErr w:type="spellEnd"/>
            <w:r w:rsidRPr="00275FBD">
              <w:rPr>
                <w:rFonts w:ascii="Calibri" w:hAnsi="Calibri"/>
                <w:color w:val="000000" w:themeColor="text1"/>
                <w:sz w:val="18"/>
                <w:szCs w:val="18"/>
                <w:lang w:val="sl-SI" w:eastAsia="en-GB"/>
              </w:rPr>
              <w:t xml:space="preserve"> in </w:t>
            </w:r>
            <w:proofErr w:type="spellStart"/>
            <w:r w:rsidRPr="00275FBD">
              <w:rPr>
                <w:rFonts w:ascii="Calibri" w:hAnsi="Calibri"/>
                <w:color w:val="000000" w:themeColor="text1"/>
                <w:sz w:val="18"/>
                <w:szCs w:val="18"/>
                <w:lang w:val="sl-SI" w:eastAsia="en-GB"/>
              </w:rPr>
              <w:t>other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plant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documents</w:t>
            </w:r>
            <w:proofErr w:type="spellEnd"/>
            <w:r w:rsidRPr="00275FBD">
              <w:rPr>
                <w:rFonts w:ascii="Calibri" w:hAnsi="Calibri"/>
                <w:color w:val="000000" w:themeColor="text1"/>
                <w:sz w:val="18"/>
                <w:szCs w:val="18"/>
                <w:lang w:val="sl-SI" w:eastAsia="en-GB"/>
              </w:rPr>
              <w:t xml:space="preserve"> and the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is, </w:t>
            </w:r>
            <w:proofErr w:type="spellStart"/>
            <w:r w:rsidRPr="00275FBD">
              <w:rPr>
                <w:rFonts w:ascii="Calibri" w:hAnsi="Calibri"/>
                <w:color w:val="000000" w:themeColor="text1"/>
                <w:sz w:val="18"/>
                <w:szCs w:val="18"/>
                <w:lang w:val="sl-SI" w:eastAsia="en-GB"/>
              </w:rPr>
              <w:t>therefore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viewed</w:t>
            </w:r>
            <w:proofErr w:type="spellEnd"/>
            <w:r w:rsidRPr="00275FBD">
              <w:rPr>
                <w:rFonts w:ascii="Calibri" w:hAnsi="Calibri"/>
                <w:color w:val="000000" w:themeColor="text1"/>
                <w:sz w:val="18"/>
                <w:szCs w:val="18"/>
                <w:lang w:val="sl-SI" w:eastAsia="en-GB"/>
              </w:rPr>
              <w:t xml:space="preserve"> as a </w:t>
            </w:r>
            <w:proofErr w:type="spellStart"/>
            <w:r w:rsidRPr="00275FBD">
              <w:rPr>
                <w:rFonts w:ascii="Calibri" w:hAnsi="Calibri"/>
                <w:color w:val="000000" w:themeColor="text1"/>
                <w:sz w:val="18"/>
                <w:szCs w:val="18"/>
                <w:lang w:val="sl-SI" w:eastAsia="en-GB"/>
              </w:rPr>
              <w:t>need</w:t>
            </w:r>
            <w:proofErr w:type="spellEnd"/>
            <w:r w:rsidRPr="00275FBD">
              <w:rPr>
                <w:rFonts w:ascii="Calibri" w:hAnsi="Calibri"/>
                <w:color w:val="000000" w:themeColor="text1"/>
                <w:sz w:val="18"/>
                <w:szCs w:val="18"/>
                <w:lang w:val="sl-SI" w:eastAsia="en-GB"/>
              </w:rPr>
              <w:t xml:space="preserve"> for USAR update.</w:t>
            </w:r>
          </w:p>
        </w:tc>
        <w:tc>
          <w:tcPr>
            <w:tcW w:w="993" w:type="dxa"/>
          </w:tcPr>
          <w:p w14:paraId="631BE1E9"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3.3.3</w:t>
            </w:r>
          </w:p>
        </w:tc>
        <w:tc>
          <w:tcPr>
            <w:tcW w:w="5244" w:type="dxa"/>
          </w:tcPr>
          <w:p w14:paraId="3FB68528"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A </w:t>
            </w:r>
            <w:proofErr w:type="spellStart"/>
            <w:r w:rsidRPr="00275FBD">
              <w:rPr>
                <w:rFonts w:ascii="Calibri" w:hAnsi="Calibri"/>
                <w:color w:val="000000"/>
                <w:sz w:val="18"/>
                <w:szCs w:val="18"/>
                <w:lang w:val="sl-SI" w:eastAsia="en-GB"/>
              </w:rPr>
              <w:t>short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description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should</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included</w:t>
            </w:r>
            <w:proofErr w:type="spellEnd"/>
            <w:r w:rsidRPr="00275FBD">
              <w:rPr>
                <w:rFonts w:ascii="Calibri" w:hAnsi="Calibri"/>
                <w:color w:val="000000"/>
                <w:sz w:val="18"/>
                <w:szCs w:val="18"/>
                <w:lang w:val="sl-SI" w:eastAsia="en-GB"/>
              </w:rPr>
              <w:t xml:space="preserve"> in USAR.</w:t>
            </w:r>
          </w:p>
        </w:tc>
        <w:tc>
          <w:tcPr>
            <w:tcW w:w="2694" w:type="dxa"/>
          </w:tcPr>
          <w:p w14:paraId="581F1D61"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2EF6CF81" w14:textId="77777777" w:rsidTr="00935B67">
        <w:tc>
          <w:tcPr>
            <w:tcW w:w="1384" w:type="dxa"/>
            <w:shd w:val="clear" w:color="auto" w:fill="DEA400"/>
          </w:tcPr>
          <w:p w14:paraId="54B5FCF5"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7.1-010</w:t>
            </w:r>
          </w:p>
        </w:tc>
        <w:tc>
          <w:tcPr>
            <w:tcW w:w="3827" w:type="dxa"/>
          </w:tcPr>
          <w:p w14:paraId="64B62203" w14:textId="77777777" w:rsidR="00935B67" w:rsidRPr="00275FBD" w:rsidRDefault="00935B67" w:rsidP="00935B67">
            <w:pPr>
              <w:jc w:val="left"/>
              <w:rPr>
                <w:rFonts w:ascii="Calibri" w:hAnsi="Calibri"/>
                <w:b/>
                <w:bCs/>
                <w:color w:val="000000" w:themeColor="text1"/>
                <w:sz w:val="18"/>
                <w:szCs w:val="18"/>
                <w:lang w:val="sl-SI" w:eastAsia="en-GB"/>
              </w:rPr>
            </w:pPr>
            <w:r w:rsidRPr="00275FBD">
              <w:rPr>
                <w:rFonts w:ascii="Calibri" w:hAnsi="Calibri"/>
                <w:color w:val="000000" w:themeColor="text1"/>
                <w:sz w:val="18"/>
                <w:szCs w:val="18"/>
                <w:lang w:val="sl-SI" w:eastAsia="en-GB"/>
              </w:rPr>
              <w:t xml:space="preserve">Radio </w:t>
            </w:r>
            <w:proofErr w:type="spellStart"/>
            <w:r w:rsidRPr="00275FBD">
              <w:rPr>
                <w:rFonts w:ascii="Calibri" w:hAnsi="Calibri"/>
                <w:color w:val="000000" w:themeColor="text1"/>
                <w:sz w:val="18"/>
                <w:szCs w:val="18"/>
                <w:lang w:val="sl-SI" w:eastAsia="en-GB"/>
              </w:rPr>
              <w:t>teledosimetry</w:t>
            </w:r>
            <w:proofErr w:type="spellEnd"/>
            <w:r w:rsidRPr="00275FBD">
              <w:rPr>
                <w:rFonts w:ascii="Calibri" w:hAnsi="Calibri"/>
                <w:color w:val="000000" w:themeColor="text1"/>
                <w:sz w:val="18"/>
                <w:szCs w:val="18"/>
                <w:lang w:val="sl-SI" w:eastAsia="en-GB"/>
              </w:rPr>
              <w:t xml:space="preserve">. In NEK USAR 12.3.3 </w:t>
            </w:r>
            <w:proofErr w:type="spellStart"/>
            <w:r w:rsidRPr="00275FBD">
              <w:rPr>
                <w:rFonts w:ascii="Calibri" w:hAnsi="Calibri"/>
                <w:color w:val="000000" w:themeColor="text1"/>
                <w:sz w:val="18"/>
                <w:szCs w:val="18"/>
                <w:lang w:val="sl-SI" w:eastAsia="en-GB"/>
              </w:rPr>
              <w:t>various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equipment</w:t>
            </w:r>
            <w:proofErr w:type="spellEnd"/>
            <w:r w:rsidRPr="00275FBD">
              <w:rPr>
                <w:rFonts w:ascii="Calibri" w:hAnsi="Calibri"/>
                <w:color w:val="000000" w:themeColor="text1"/>
                <w:sz w:val="18"/>
                <w:szCs w:val="18"/>
                <w:lang w:val="sl-SI" w:eastAsia="en-GB"/>
              </w:rPr>
              <w:t xml:space="preserve"> for monitoring of </w:t>
            </w:r>
            <w:proofErr w:type="spellStart"/>
            <w:r w:rsidRPr="00275FBD">
              <w:rPr>
                <w:rFonts w:ascii="Calibri" w:hAnsi="Calibri"/>
                <w:color w:val="000000" w:themeColor="text1"/>
                <w:sz w:val="18"/>
                <w:szCs w:val="18"/>
                <w:lang w:val="sl-SI" w:eastAsia="en-GB"/>
              </w:rPr>
              <w:t>personnel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exposure</w:t>
            </w:r>
            <w:proofErr w:type="spellEnd"/>
            <w:r w:rsidRPr="00275FBD">
              <w:rPr>
                <w:rFonts w:ascii="Calibri" w:hAnsi="Calibri"/>
                <w:color w:val="000000" w:themeColor="text1"/>
                <w:sz w:val="18"/>
                <w:szCs w:val="18"/>
                <w:lang w:val="sl-SI" w:eastAsia="en-GB"/>
              </w:rPr>
              <w:t xml:space="preserve"> is </w:t>
            </w:r>
            <w:proofErr w:type="spellStart"/>
            <w:r w:rsidRPr="00275FBD">
              <w:rPr>
                <w:rFonts w:ascii="Calibri" w:hAnsi="Calibri"/>
                <w:color w:val="000000" w:themeColor="text1"/>
                <w:sz w:val="18"/>
                <w:szCs w:val="18"/>
                <w:lang w:val="sl-SI" w:eastAsia="en-GB"/>
              </w:rPr>
              <w:t>listed</w:t>
            </w:r>
            <w:proofErr w:type="spellEnd"/>
            <w:r w:rsidRPr="00275FBD">
              <w:rPr>
                <w:rFonts w:ascii="Calibri" w:hAnsi="Calibri"/>
                <w:color w:val="000000" w:themeColor="text1"/>
                <w:sz w:val="18"/>
                <w:szCs w:val="18"/>
                <w:lang w:val="sl-SI" w:eastAsia="en-GB"/>
              </w:rPr>
              <w:t xml:space="preserve">. We </w:t>
            </w:r>
            <w:proofErr w:type="spellStart"/>
            <w:r w:rsidRPr="00275FBD">
              <w:rPr>
                <w:rFonts w:ascii="Calibri" w:hAnsi="Calibri"/>
                <w:color w:val="000000" w:themeColor="text1"/>
                <w:sz w:val="18"/>
                <w:szCs w:val="18"/>
                <w:lang w:val="sl-SI" w:eastAsia="en-GB"/>
              </w:rPr>
              <w:t>recommend</w:t>
            </w:r>
            <w:proofErr w:type="spellEnd"/>
            <w:r w:rsidRPr="00275FBD">
              <w:rPr>
                <w:rFonts w:ascii="Calibri" w:hAnsi="Calibri"/>
                <w:color w:val="000000" w:themeColor="text1"/>
                <w:sz w:val="18"/>
                <w:szCs w:val="18"/>
                <w:lang w:val="sl-SI" w:eastAsia="en-GB"/>
              </w:rPr>
              <w:t xml:space="preserve"> that radio </w:t>
            </w:r>
            <w:proofErr w:type="spellStart"/>
            <w:r w:rsidRPr="00275FBD">
              <w:rPr>
                <w:rFonts w:ascii="Calibri" w:hAnsi="Calibri"/>
                <w:color w:val="000000" w:themeColor="text1"/>
                <w:sz w:val="18"/>
                <w:szCs w:val="18"/>
                <w:lang w:val="sl-SI" w:eastAsia="en-GB"/>
              </w:rPr>
              <w:t>teledosimetry</w:t>
            </w:r>
            <w:proofErr w:type="spellEnd"/>
            <w:r w:rsidRPr="00275FBD">
              <w:rPr>
                <w:rFonts w:ascii="Calibri" w:hAnsi="Calibri"/>
                <w:color w:val="000000" w:themeColor="text1"/>
                <w:sz w:val="18"/>
                <w:szCs w:val="18"/>
                <w:lang w:val="sl-SI" w:eastAsia="en-GB"/>
              </w:rPr>
              <w:t xml:space="preserve"> is </w:t>
            </w:r>
            <w:proofErr w:type="spellStart"/>
            <w:r w:rsidRPr="00275FBD">
              <w:rPr>
                <w:rFonts w:ascii="Calibri" w:hAnsi="Calibri"/>
                <w:color w:val="000000" w:themeColor="text1"/>
                <w:sz w:val="18"/>
                <w:szCs w:val="18"/>
                <w:lang w:val="sl-SI" w:eastAsia="en-GB"/>
              </w:rPr>
              <w:t>also</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included</w:t>
            </w:r>
            <w:proofErr w:type="spellEnd"/>
            <w:r w:rsidRPr="00275FBD">
              <w:rPr>
                <w:rFonts w:ascii="Calibri" w:hAnsi="Calibri"/>
                <w:color w:val="000000" w:themeColor="text1"/>
                <w:sz w:val="18"/>
                <w:szCs w:val="18"/>
                <w:lang w:val="sl-SI" w:eastAsia="en-GB"/>
              </w:rPr>
              <w:t xml:space="preserve"> as it is used in </w:t>
            </w:r>
            <w:proofErr w:type="spellStart"/>
            <w:r w:rsidRPr="00275FBD">
              <w:rPr>
                <w:rFonts w:ascii="Calibri" w:hAnsi="Calibri"/>
                <w:color w:val="000000" w:themeColor="text1"/>
                <w:sz w:val="18"/>
                <w:szCs w:val="18"/>
                <w:lang w:val="sl-SI" w:eastAsia="en-GB"/>
              </w:rPr>
              <w:t>special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operations</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OSF element: Operational Quality Assurance Program.</w:t>
            </w:r>
            <w:r w:rsidRPr="00275FBD">
              <w:rPr>
                <w:rFonts w:ascii="Calibri" w:hAnsi="Calibri"/>
                <w:color w:val="000000" w:themeColor="text1"/>
                <w:sz w:val="18"/>
                <w:szCs w:val="18"/>
                <w:lang w:val="sl-SI" w:eastAsia="en-GB"/>
              </w:rPr>
              <w:br/>
              <w:t xml:space="preserve">USAR update / </w:t>
            </w:r>
            <w:proofErr w:type="spellStart"/>
            <w:r w:rsidRPr="00275FBD">
              <w:rPr>
                <w:rFonts w:ascii="Calibri" w:hAnsi="Calibri"/>
                <w:color w:val="000000" w:themeColor="text1"/>
                <w:sz w:val="18"/>
                <w:szCs w:val="18"/>
                <w:lang w:val="sl-SI" w:eastAsia="en-GB"/>
              </w:rPr>
              <w:t>correction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w:t>
            </w:r>
          </w:p>
        </w:tc>
        <w:tc>
          <w:tcPr>
            <w:tcW w:w="993" w:type="dxa"/>
          </w:tcPr>
          <w:p w14:paraId="3A43B338"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3.3.3</w:t>
            </w:r>
          </w:p>
        </w:tc>
        <w:tc>
          <w:tcPr>
            <w:tcW w:w="5244" w:type="dxa"/>
          </w:tcPr>
          <w:p w14:paraId="523F34EC"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No </w:t>
            </w:r>
            <w:proofErr w:type="spellStart"/>
            <w:r w:rsidRPr="00275FBD">
              <w:rPr>
                <w:rFonts w:ascii="Calibri" w:hAnsi="Calibri"/>
                <w:color w:val="000000"/>
                <w:sz w:val="18"/>
                <w:szCs w:val="18"/>
                <w:lang w:val="sl-SI" w:eastAsia="en-GB"/>
              </w:rPr>
              <w:t>reason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why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this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equipment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should</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excluded</w:t>
            </w:r>
            <w:proofErr w:type="spellEnd"/>
            <w:r w:rsidRPr="00275FBD">
              <w:rPr>
                <w:rFonts w:ascii="Calibri" w:hAnsi="Calibri"/>
                <w:color w:val="000000"/>
                <w:sz w:val="18"/>
                <w:szCs w:val="18"/>
                <w:lang w:val="sl-SI" w:eastAsia="en-GB"/>
              </w:rPr>
              <w:t xml:space="preserve"> from USAR.</w:t>
            </w:r>
          </w:p>
        </w:tc>
        <w:tc>
          <w:tcPr>
            <w:tcW w:w="2694" w:type="dxa"/>
          </w:tcPr>
          <w:p w14:paraId="5DDE29CF"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21CD24DB" w14:textId="77777777" w:rsidTr="00935B67">
        <w:tc>
          <w:tcPr>
            <w:tcW w:w="1384" w:type="dxa"/>
            <w:shd w:val="clear" w:color="auto" w:fill="DEA400"/>
          </w:tcPr>
          <w:p w14:paraId="4D835184"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sz w:val="18"/>
                <w:szCs w:val="18"/>
                <w:lang w:val="sl-SI" w:eastAsia="en-GB"/>
              </w:rPr>
              <w:lastRenderedPageBreak/>
              <w:t>PSR3 7.1-012</w:t>
            </w:r>
          </w:p>
        </w:tc>
        <w:tc>
          <w:tcPr>
            <w:tcW w:w="3827" w:type="dxa"/>
          </w:tcPr>
          <w:p w14:paraId="41DB23FF"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Access to </w:t>
            </w:r>
            <w:proofErr w:type="spellStart"/>
            <w:r w:rsidRPr="00275FBD">
              <w:rPr>
                <w:rFonts w:ascii="Calibri" w:hAnsi="Calibri"/>
                <w:color w:val="000000"/>
                <w:sz w:val="18"/>
                <w:szCs w:val="18"/>
                <w:lang w:val="sl-SI" w:eastAsia="en-GB"/>
              </w:rPr>
              <w:t>very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high</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radiation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areas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Systems</w:t>
            </w:r>
            <w:proofErr w:type="spellEnd"/>
            <w:r w:rsidRPr="00275FBD">
              <w:rPr>
                <w:rFonts w:ascii="Calibri" w:hAnsi="Calibri"/>
                <w:color w:val="000000"/>
                <w:sz w:val="18"/>
                <w:szCs w:val="18"/>
                <w:lang w:val="sl-SI" w:eastAsia="en-GB"/>
              </w:rPr>
              <w:t xml:space="preserve"> / </w:t>
            </w:r>
            <w:proofErr w:type="spellStart"/>
            <w:r w:rsidRPr="00275FBD">
              <w:rPr>
                <w:rFonts w:ascii="Calibri" w:hAnsi="Calibri"/>
                <w:color w:val="000000"/>
                <w:sz w:val="18"/>
                <w:szCs w:val="18"/>
                <w:lang w:val="sl-SI" w:eastAsia="en-GB"/>
              </w:rPr>
              <w:t>functions</w:t>
            </w:r>
            <w:proofErr w:type="spellEnd"/>
            <w:r w:rsidRPr="00275FBD">
              <w:rPr>
                <w:rFonts w:ascii="Calibri" w:hAnsi="Calibri"/>
                <w:color w:val="000000"/>
                <w:sz w:val="18"/>
                <w:szCs w:val="18"/>
                <w:lang w:val="sl-SI" w:eastAsia="en-GB"/>
              </w:rPr>
              <w:t xml:space="preserve">: Health </w:t>
            </w:r>
            <w:proofErr w:type="spellStart"/>
            <w:r w:rsidRPr="00275FBD">
              <w:rPr>
                <w:rFonts w:ascii="Calibri" w:hAnsi="Calibri"/>
                <w:color w:val="000000"/>
                <w:sz w:val="18"/>
                <w:szCs w:val="18"/>
                <w:lang w:val="sl-SI" w:eastAsia="en-GB"/>
              </w:rPr>
              <w:t>protection</w:t>
            </w:r>
            <w:proofErr w:type="spellEnd"/>
            <w:r w:rsidRPr="00275FBD">
              <w:rPr>
                <w:rFonts w:ascii="Calibri" w:hAnsi="Calibri"/>
                <w:color w:val="000000"/>
                <w:sz w:val="18"/>
                <w:szCs w:val="18"/>
                <w:lang w:val="sl-SI" w:eastAsia="en-GB"/>
              </w:rPr>
              <w:t xml:space="preserve"> of </w:t>
            </w:r>
            <w:proofErr w:type="spellStart"/>
            <w:r w:rsidRPr="00275FBD">
              <w:rPr>
                <w:rFonts w:ascii="Calibri" w:hAnsi="Calibri"/>
                <w:color w:val="000000"/>
                <w:sz w:val="18"/>
                <w:szCs w:val="18"/>
                <w:lang w:val="sl-SI" w:eastAsia="en-GB"/>
              </w:rPr>
              <w:t>workers</w:t>
            </w:r>
            <w:proofErr w:type="spellEnd"/>
            <w:r w:rsidRPr="00275FBD">
              <w:rPr>
                <w:rFonts w:ascii="Calibri" w:hAnsi="Calibri"/>
                <w:color w:val="000000"/>
                <w:sz w:val="18"/>
                <w:szCs w:val="18"/>
                <w:lang w:val="sl-SI" w:eastAsia="en-GB"/>
              </w:rPr>
              <w:t xml:space="preserve">; Risk / DOD </w:t>
            </w:r>
            <w:proofErr w:type="spellStart"/>
            <w:r w:rsidRPr="00275FBD">
              <w:rPr>
                <w:rFonts w:ascii="Calibri" w:hAnsi="Calibri"/>
                <w:color w:val="000000"/>
                <w:sz w:val="18"/>
                <w:szCs w:val="18"/>
                <w:lang w:val="sl-SI" w:eastAsia="en-GB"/>
              </w:rPr>
              <w:t>significance</w:t>
            </w:r>
            <w:proofErr w:type="spellEnd"/>
            <w:r w:rsidRPr="00275FBD">
              <w:rPr>
                <w:rFonts w:ascii="Calibri" w:hAnsi="Calibri"/>
                <w:color w:val="000000"/>
                <w:sz w:val="18"/>
                <w:szCs w:val="18"/>
                <w:lang w:val="sl-SI" w:eastAsia="en-GB"/>
              </w:rPr>
              <w:t>: TL.</w:t>
            </w:r>
          </w:p>
        </w:tc>
        <w:tc>
          <w:tcPr>
            <w:tcW w:w="993" w:type="dxa"/>
          </w:tcPr>
          <w:p w14:paraId="0F00CED2"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3.3.3</w:t>
            </w:r>
          </w:p>
        </w:tc>
        <w:tc>
          <w:tcPr>
            <w:tcW w:w="5244" w:type="dxa"/>
          </w:tcPr>
          <w:p w14:paraId="2D0B1852"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From the </w:t>
            </w:r>
            <w:proofErr w:type="spellStart"/>
            <w:r w:rsidRPr="00275FBD">
              <w:rPr>
                <w:rFonts w:ascii="Calibri" w:hAnsi="Calibri"/>
                <w:color w:val="000000"/>
                <w:sz w:val="18"/>
                <w:szCs w:val="18"/>
                <w:lang w:val="sl-SI" w:eastAsia="en-GB"/>
              </w:rPr>
              <w:t>radiation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protection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standpoint</w:t>
            </w:r>
            <w:proofErr w:type="spellEnd"/>
            <w:r w:rsidRPr="00275FBD">
              <w:rPr>
                <w:rFonts w:ascii="Calibri" w:hAnsi="Calibri"/>
                <w:color w:val="000000"/>
                <w:sz w:val="18"/>
                <w:szCs w:val="18"/>
                <w:lang w:val="sl-SI" w:eastAsia="en-GB"/>
              </w:rPr>
              <w:t xml:space="preserve">, it </w:t>
            </w:r>
            <w:proofErr w:type="spellStart"/>
            <w:r w:rsidRPr="00275FBD">
              <w:rPr>
                <w:rFonts w:ascii="Calibri" w:hAnsi="Calibri"/>
                <w:color w:val="000000"/>
                <w:sz w:val="18"/>
                <w:szCs w:val="18"/>
                <w:lang w:val="sl-SI" w:eastAsia="en-GB"/>
              </w:rPr>
              <w:t>makes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sense</w:t>
            </w:r>
            <w:proofErr w:type="spellEnd"/>
            <w:r w:rsidRPr="00275FBD">
              <w:rPr>
                <w:rFonts w:ascii="Calibri" w:hAnsi="Calibri"/>
                <w:color w:val="000000"/>
                <w:sz w:val="18"/>
                <w:szCs w:val="18"/>
                <w:lang w:val="sl-SI" w:eastAsia="en-GB"/>
              </w:rPr>
              <w:t xml:space="preserve"> to </w:t>
            </w:r>
            <w:proofErr w:type="spellStart"/>
            <w:r w:rsidRPr="00275FBD">
              <w:rPr>
                <w:rFonts w:ascii="Calibri" w:hAnsi="Calibri"/>
                <w:color w:val="000000"/>
                <w:sz w:val="18"/>
                <w:szCs w:val="18"/>
                <w:lang w:val="sl-SI" w:eastAsia="en-GB"/>
              </w:rPr>
              <w:t>ensure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highest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possible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safety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when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dealing</w:t>
            </w:r>
            <w:proofErr w:type="spellEnd"/>
            <w:r w:rsidRPr="00275FBD">
              <w:rPr>
                <w:rFonts w:ascii="Calibri" w:hAnsi="Calibri"/>
                <w:color w:val="000000"/>
                <w:sz w:val="18"/>
                <w:szCs w:val="18"/>
                <w:lang w:val="sl-SI" w:eastAsia="en-GB"/>
              </w:rPr>
              <w:t xml:space="preserve"> with </w:t>
            </w:r>
            <w:proofErr w:type="spellStart"/>
            <w:r w:rsidRPr="00275FBD">
              <w:rPr>
                <w:rFonts w:ascii="Calibri" w:hAnsi="Calibri"/>
                <w:color w:val="000000"/>
                <w:sz w:val="18"/>
                <w:szCs w:val="18"/>
                <w:lang w:val="sl-SI" w:eastAsia="en-GB"/>
              </w:rPr>
              <w:t>very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high</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radiation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areas</w:t>
            </w:r>
            <w:proofErr w:type="spellEnd"/>
            <w:r w:rsidRPr="00275FBD">
              <w:rPr>
                <w:rFonts w:ascii="Calibri" w:hAnsi="Calibri"/>
                <w:color w:val="000000"/>
                <w:sz w:val="18"/>
                <w:szCs w:val="18"/>
                <w:lang w:val="sl-SI" w:eastAsia="en-GB"/>
              </w:rPr>
              <w:t>.</w:t>
            </w:r>
          </w:p>
        </w:tc>
        <w:tc>
          <w:tcPr>
            <w:tcW w:w="2694" w:type="dxa"/>
          </w:tcPr>
          <w:p w14:paraId="1DB0C6F3"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09D271D7" w14:textId="77777777" w:rsidTr="00935B67">
        <w:tc>
          <w:tcPr>
            <w:tcW w:w="1384" w:type="dxa"/>
            <w:shd w:val="clear" w:color="auto" w:fill="DEA400"/>
          </w:tcPr>
          <w:p w14:paraId="560BB176"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7.1-020</w:t>
            </w:r>
          </w:p>
        </w:tc>
        <w:tc>
          <w:tcPr>
            <w:tcW w:w="3827" w:type="dxa"/>
          </w:tcPr>
          <w:p w14:paraId="19A3D5C9" w14:textId="77777777" w:rsidR="00935B67" w:rsidRPr="00275FBD" w:rsidRDefault="00935B67" w:rsidP="00935B67">
            <w:pPr>
              <w:jc w:val="left"/>
              <w:rPr>
                <w:rFonts w:ascii="Calibri" w:hAnsi="Calibri"/>
                <w:color w:val="000000" w:themeColor="text1"/>
                <w:sz w:val="18"/>
                <w:szCs w:val="18"/>
                <w:lang w:val="sl-SI" w:eastAsia="en-GB"/>
              </w:rPr>
            </w:pPr>
            <w:proofErr w:type="spellStart"/>
            <w:r w:rsidRPr="00275FBD">
              <w:rPr>
                <w:rFonts w:ascii="Calibri" w:hAnsi="Calibri"/>
                <w:b/>
                <w:bCs/>
                <w:color w:val="000000" w:themeColor="text1"/>
                <w:sz w:val="18"/>
                <w:szCs w:val="18"/>
                <w:lang w:val="sl-SI" w:eastAsia="en-GB"/>
              </w:rPr>
              <w:t>Terminology</w:t>
            </w:r>
            <w:proofErr w:type="spellEnd"/>
            <w:r w:rsidRPr="00275FBD">
              <w:rPr>
                <w:rFonts w:ascii="Calibri" w:hAnsi="Calibri"/>
                <w:b/>
                <w:bCs/>
                <w:color w:val="000000" w:themeColor="text1"/>
                <w:sz w:val="18"/>
                <w:szCs w:val="18"/>
                <w:lang w:val="sl-SI" w:eastAsia="en-GB"/>
              </w:rPr>
              <w:t xml:space="preserve"> update of TLD or film </w:t>
            </w:r>
            <w:proofErr w:type="spellStart"/>
            <w:r w:rsidRPr="00275FBD">
              <w:rPr>
                <w:rFonts w:ascii="Calibri" w:hAnsi="Calibri"/>
                <w:b/>
                <w:bCs/>
                <w:color w:val="000000" w:themeColor="text1"/>
                <w:sz w:val="18"/>
                <w:szCs w:val="18"/>
                <w:lang w:val="sl-SI" w:eastAsia="en-GB"/>
              </w:rPr>
              <w:t>badges</w:t>
            </w:r>
            <w:proofErr w:type="spellEnd"/>
            <w:r w:rsidRPr="00275FBD">
              <w:rPr>
                <w:rFonts w:ascii="Calibri" w:hAnsi="Calibri"/>
                <w:color w:val="000000" w:themeColor="text1"/>
                <w:sz w:val="18"/>
                <w:szCs w:val="18"/>
                <w:lang w:val="sl-SI" w:eastAsia="en-GB"/>
              </w:rPr>
              <w:t xml:space="preserve">. The use of </w:t>
            </w:r>
            <w:proofErr w:type="spellStart"/>
            <w:r w:rsidRPr="00275FBD">
              <w:rPr>
                <w:rFonts w:ascii="Calibri" w:hAnsi="Calibri"/>
                <w:color w:val="000000" w:themeColor="text1"/>
                <w:sz w:val="18"/>
                <w:szCs w:val="18"/>
                <w:lang w:val="sl-SI" w:eastAsia="en-GB"/>
              </w:rPr>
              <w:t>old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systems</w:t>
            </w:r>
            <w:proofErr w:type="spellEnd"/>
            <w:r w:rsidRPr="00275FBD">
              <w:rPr>
                <w:rFonts w:ascii="Calibri" w:hAnsi="Calibri"/>
                <w:color w:val="000000" w:themeColor="text1"/>
                <w:sz w:val="18"/>
                <w:szCs w:val="18"/>
                <w:lang w:val="sl-SI" w:eastAsia="en-GB"/>
              </w:rPr>
              <w:t xml:space="preserve"> for </w:t>
            </w:r>
            <w:proofErr w:type="spellStart"/>
            <w:r w:rsidRPr="00275FBD">
              <w:rPr>
                <w:rFonts w:ascii="Calibri" w:hAnsi="Calibri"/>
                <w:color w:val="000000" w:themeColor="text1"/>
                <w:sz w:val="18"/>
                <w:szCs w:val="18"/>
                <w:lang w:val="sl-SI" w:eastAsia="en-GB"/>
              </w:rPr>
              <w:t>dosimetry</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changed</w:t>
            </w:r>
            <w:proofErr w:type="spellEnd"/>
            <w:r w:rsidRPr="00275FBD">
              <w:rPr>
                <w:rFonts w:ascii="Calibri" w:hAnsi="Calibri"/>
                <w:color w:val="000000" w:themeColor="text1"/>
                <w:sz w:val="18"/>
                <w:szCs w:val="18"/>
                <w:lang w:val="sl-SI" w:eastAsia="en-GB"/>
              </w:rPr>
              <w:t xml:space="preserve"> to the </w:t>
            </w:r>
            <w:proofErr w:type="spellStart"/>
            <w:r w:rsidRPr="00275FBD">
              <w:rPr>
                <w:rFonts w:ascii="Calibri" w:hAnsi="Calibri"/>
                <w:color w:val="000000" w:themeColor="text1"/>
                <w:sz w:val="18"/>
                <w:szCs w:val="18"/>
                <w:lang w:val="sl-SI" w:eastAsia="en-GB"/>
              </w:rPr>
              <w:t>new</w:t>
            </w:r>
            <w:proofErr w:type="spellEnd"/>
            <w:r w:rsidRPr="00275FBD">
              <w:rPr>
                <w:rFonts w:ascii="Calibri" w:hAnsi="Calibri"/>
                <w:color w:val="000000" w:themeColor="text1"/>
                <w:sz w:val="18"/>
                <w:szCs w:val="18"/>
                <w:lang w:val="sl-SI" w:eastAsia="en-GB"/>
              </w:rPr>
              <w:t xml:space="preserve"> OSL </w:t>
            </w:r>
            <w:proofErr w:type="spellStart"/>
            <w:r w:rsidRPr="00275FBD">
              <w:rPr>
                <w:rFonts w:ascii="Calibri" w:hAnsi="Calibri"/>
                <w:color w:val="000000" w:themeColor="text1"/>
                <w:sz w:val="18"/>
                <w:szCs w:val="18"/>
                <w:lang w:val="sl-SI" w:eastAsia="en-GB"/>
              </w:rPr>
              <w:t>system</w:t>
            </w:r>
            <w:proofErr w:type="spellEnd"/>
            <w:r w:rsidRPr="00275FBD">
              <w:rPr>
                <w:rFonts w:ascii="Calibri" w:hAnsi="Calibri"/>
                <w:color w:val="000000" w:themeColor="text1"/>
                <w:sz w:val="18"/>
                <w:szCs w:val="18"/>
                <w:lang w:val="sl-SI" w:eastAsia="en-GB"/>
              </w:rPr>
              <w:t xml:space="preserve">. It </w:t>
            </w:r>
            <w:proofErr w:type="spellStart"/>
            <w:r w:rsidRPr="00275FBD">
              <w:rPr>
                <w:rFonts w:ascii="Calibri" w:hAnsi="Calibri"/>
                <w:color w:val="000000" w:themeColor="text1"/>
                <w:sz w:val="18"/>
                <w:szCs w:val="18"/>
                <w:lang w:val="sl-SI" w:eastAsia="en-GB"/>
              </w:rPr>
              <w:t>was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proposed</w:t>
            </w:r>
            <w:proofErr w:type="spellEnd"/>
            <w:r w:rsidRPr="00275FBD">
              <w:rPr>
                <w:rFonts w:ascii="Calibri" w:hAnsi="Calibri"/>
                <w:color w:val="000000" w:themeColor="text1"/>
                <w:sz w:val="18"/>
                <w:szCs w:val="18"/>
                <w:lang w:val="sl-SI" w:eastAsia="en-GB"/>
              </w:rPr>
              <w:t xml:space="preserve"> to </w:t>
            </w:r>
            <w:proofErr w:type="spellStart"/>
            <w:r w:rsidRPr="00275FBD">
              <w:rPr>
                <w:rFonts w:ascii="Calibri" w:hAnsi="Calibri"/>
                <w:color w:val="000000" w:themeColor="text1"/>
                <w:sz w:val="18"/>
                <w:szCs w:val="18"/>
                <w:lang w:val="sl-SI" w:eastAsia="en-GB"/>
              </w:rPr>
              <w:t>change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into</w:t>
            </w:r>
            <w:proofErr w:type="spellEnd"/>
            <w:r w:rsidRPr="00275FBD">
              <w:rPr>
                <w:rFonts w:ascii="Calibri" w:hAnsi="Calibri"/>
                <w:color w:val="000000" w:themeColor="text1"/>
                <w:sz w:val="18"/>
                <w:szCs w:val="18"/>
                <w:lang w:val="sl-SI" w:eastAsia="en-GB"/>
              </w:rPr>
              <w:t xml:space="preserve"> a more general term “</w:t>
            </w:r>
            <w:proofErr w:type="spellStart"/>
            <w:r w:rsidRPr="00275FBD">
              <w:rPr>
                <w:rFonts w:ascii="Calibri" w:hAnsi="Calibri"/>
                <w:color w:val="000000" w:themeColor="text1"/>
                <w:sz w:val="18"/>
                <w:szCs w:val="18"/>
                <w:lang w:val="sl-SI" w:eastAsia="en-GB"/>
              </w:rPr>
              <w:t>passive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dosimetry</w:t>
            </w:r>
            <w:proofErr w:type="spellEnd"/>
            <w:r w:rsidRPr="00275FBD">
              <w:rPr>
                <w:rFonts w:ascii="Calibri" w:hAnsi="Calibri"/>
                <w:color w:val="000000" w:themeColor="text1"/>
                <w:sz w:val="18"/>
                <w:szCs w:val="18"/>
                <w:lang w:val="sl-SI" w:eastAsia="en-GB"/>
              </w:rPr>
              <w:t xml:space="preserve">”, as </w:t>
            </w:r>
            <w:proofErr w:type="spellStart"/>
            <w:r w:rsidRPr="00275FBD">
              <w:rPr>
                <w:rFonts w:ascii="Calibri" w:hAnsi="Calibri"/>
                <w:color w:val="000000" w:themeColor="text1"/>
                <w:sz w:val="18"/>
                <w:szCs w:val="18"/>
                <w:lang w:val="sl-SI" w:eastAsia="en-GB"/>
              </w:rPr>
              <w:t>there</w:t>
            </w:r>
            <w:proofErr w:type="spellEnd"/>
            <w:r w:rsidRPr="00275FBD">
              <w:rPr>
                <w:rFonts w:ascii="Calibri" w:hAnsi="Calibri"/>
                <w:color w:val="000000" w:themeColor="text1"/>
                <w:sz w:val="18"/>
                <w:szCs w:val="18"/>
                <w:lang w:val="sl-SI" w:eastAsia="en-GB"/>
              </w:rPr>
              <w:t xml:space="preserve"> are </w:t>
            </w:r>
            <w:proofErr w:type="spellStart"/>
            <w:r w:rsidRPr="00275FBD">
              <w:rPr>
                <w:rFonts w:ascii="Calibri" w:hAnsi="Calibri"/>
                <w:color w:val="000000" w:themeColor="text1"/>
                <w:sz w:val="18"/>
                <w:szCs w:val="18"/>
                <w:lang w:val="sl-SI" w:eastAsia="en-GB"/>
              </w:rPr>
              <w:t>along</w:t>
            </w:r>
            <w:proofErr w:type="spellEnd"/>
            <w:r w:rsidRPr="00275FBD">
              <w:rPr>
                <w:rFonts w:ascii="Calibri" w:hAnsi="Calibri"/>
                <w:color w:val="000000" w:themeColor="text1"/>
                <w:sz w:val="18"/>
                <w:szCs w:val="18"/>
                <w:lang w:val="sl-SI" w:eastAsia="en-GB"/>
              </w:rPr>
              <w:t xml:space="preserve"> OSL </w:t>
            </w:r>
            <w:proofErr w:type="spellStart"/>
            <w:r w:rsidRPr="00275FBD">
              <w:rPr>
                <w:rFonts w:ascii="Calibri" w:hAnsi="Calibri"/>
                <w:color w:val="000000" w:themeColor="text1"/>
                <w:sz w:val="18"/>
                <w:szCs w:val="18"/>
                <w:lang w:val="sl-SI" w:eastAsia="en-GB"/>
              </w:rPr>
              <w:t>existing</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different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technologies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such</w:t>
            </w:r>
            <w:proofErr w:type="spellEnd"/>
            <w:r w:rsidRPr="00275FBD">
              <w:rPr>
                <w:rFonts w:ascii="Calibri" w:hAnsi="Calibri"/>
                <w:color w:val="000000" w:themeColor="text1"/>
                <w:sz w:val="18"/>
                <w:szCs w:val="18"/>
                <w:lang w:val="sl-SI" w:eastAsia="en-GB"/>
              </w:rPr>
              <w:t xml:space="preserve"> as </w:t>
            </w:r>
            <w:proofErr w:type="spellStart"/>
            <w:r w:rsidRPr="00275FBD">
              <w:rPr>
                <w:rFonts w:ascii="Calibri" w:hAnsi="Calibri"/>
                <w:color w:val="000000" w:themeColor="text1"/>
                <w:sz w:val="18"/>
                <w:szCs w:val="18"/>
                <w:lang w:val="sl-SI" w:eastAsia="en-GB"/>
              </w:rPr>
              <w:t>direct</w:t>
            </w:r>
            <w:proofErr w:type="spellEnd"/>
            <w:r w:rsidRPr="00275FBD">
              <w:rPr>
                <w:rFonts w:ascii="Calibri" w:hAnsi="Calibri"/>
                <w:color w:val="000000" w:themeColor="text1"/>
                <w:sz w:val="18"/>
                <w:szCs w:val="18"/>
                <w:lang w:val="sl-SI" w:eastAsia="en-GB"/>
              </w:rPr>
              <w:t xml:space="preserve"> ion </w:t>
            </w:r>
            <w:proofErr w:type="spellStart"/>
            <w:r w:rsidRPr="00275FBD">
              <w:rPr>
                <w:rFonts w:ascii="Calibri" w:hAnsi="Calibri"/>
                <w:color w:val="000000" w:themeColor="text1"/>
                <w:sz w:val="18"/>
                <w:szCs w:val="18"/>
                <w:lang w:val="sl-SI" w:eastAsia="en-GB"/>
              </w:rPr>
              <w:t>storage</w:t>
            </w:r>
            <w:proofErr w:type="spellEnd"/>
            <w:r w:rsidRPr="00275FBD">
              <w:rPr>
                <w:rFonts w:ascii="Calibri" w:hAnsi="Calibri"/>
                <w:color w:val="000000" w:themeColor="text1"/>
                <w:sz w:val="18"/>
                <w:szCs w:val="18"/>
                <w:lang w:val="sl-SI" w:eastAsia="en-GB"/>
              </w:rPr>
              <w:t xml:space="preserve">, or </w:t>
            </w:r>
            <w:proofErr w:type="spellStart"/>
            <w:r w:rsidRPr="00275FBD">
              <w:rPr>
                <w:rFonts w:ascii="Calibri" w:hAnsi="Calibri"/>
                <w:color w:val="000000" w:themeColor="text1"/>
                <w:sz w:val="18"/>
                <w:szCs w:val="18"/>
                <w:lang w:val="sl-SI" w:eastAsia="en-GB"/>
              </w:rPr>
              <w:t>potential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new</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ones</w:t>
            </w:r>
            <w:proofErr w:type="spellEnd"/>
            <w:r w:rsidRPr="00275FBD">
              <w:rPr>
                <w:rFonts w:ascii="Calibri" w:hAnsi="Calibri"/>
                <w:color w:val="000000" w:themeColor="text1"/>
                <w:sz w:val="18"/>
                <w:szCs w:val="18"/>
                <w:lang w:val="sl-SI" w:eastAsia="en-GB"/>
              </w:rPr>
              <w:t xml:space="preserve"> that </w:t>
            </w:r>
            <w:proofErr w:type="spellStart"/>
            <w:r w:rsidRPr="00275FBD">
              <w:rPr>
                <w:rFonts w:ascii="Calibri" w:hAnsi="Calibri"/>
                <w:color w:val="000000" w:themeColor="text1"/>
                <w:sz w:val="18"/>
                <w:szCs w:val="18"/>
                <w:lang w:val="sl-SI" w:eastAsia="en-GB"/>
              </w:rPr>
              <w:t>might</w:t>
            </w:r>
            <w:proofErr w:type="spellEnd"/>
            <w:r w:rsidRPr="00275FBD">
              <w:rPr>
                <w:rFonts w:ascii="Calibri" w:hAnsi="Calibri"/>
                <w:color w:val="000000" w:themeColor="text1"/>
                <w:sz w:val="18"/>
                <w:szCs w:val="18"/>
                <w:lang w:val="sl-SI" w:eastAsia="en-GB"/>
              </w:rPr>
              <w:t xml:space="preserve"> be used in the future.</w:t>
            </w:r>
            <w:r w:rsidRPr="00275FBD">
              <w:rPr>
                <w:rFonts w:ascii="Calibri" w:hAnsi="Calibri"/>
                <w:color w:val="000000" w:themeColor="text1"/>
                <w:sz w:val="18"/>
                <w:szCs w:val="18"/>
                <w:lang w:val="sl-SI" w:eastAsia="en-GB"/>
              </w:rPr>
              <w:br/>
              <w:t xml:space="preserve">OSF element: </w:t>
            </w:r>
            <w:proofErr w:type="spellStart"/>
            <w:r w:rsidRPr="00275FBD">
              <w:rPr>
                <w:rFonts w:ascii="Calibri" w:hAnsi="Calibri"/>
                <w:color w:val="000000" w:themeColor="text1"/>
                <w:sz w:val="18"/>
                <w:szCs w:val="18"/>
                <w:lang w:val="sl-SI" w:eastAsia="en-GB"/>
              </w:rPr>
              <w:t>Change</w:t>
            </w:r>
            <w:proofErr w:type="spellEnd"/>
            <w:r w:rsidRPr="00275FBD">
              <w:rPr>
                <w:rFonts w:ascii="Calibri" w:hAnsi="Calibri"/>
                <w:color w:val="000000" w:themeColor="text1"/>
                <w:sz w:val="18"/>
                <w:szCs w:val="18"/>
                <w:lang w:val="sl-SI" w:eastAsia="en-GB"/>
              </w:rPr>
              <w:t xml:space="preserve"> Review </w:t>
            </w:r>
            <w:proofErr w:type="spellStart"/>
            <w:r w:rsidRPr="00275FBD">
              <w:rPr>
                <w:rFonts w:ascii="Calibri" w:hAnsi="Calibri"/>
                <w:color w:val="000000" w:themeColor="text1"/>
                <w:sz w:val="18"/>
                <w:szCs w:val="18"/>
                <w:lang w:val="sl-SI" w:eastAsia="en-GB"/>
              </w:rPr>
              <w:t>Process</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 xml:space="preserve">TS / USAR update or </w:t>
            </w:r>
            <w:proofErr w:type="spellStart"/>
            <w:r w:rsidRPr="00275FBD">
              <w:rPr>
                <w:rFonts w:ascii="Calibri" w:hAnsi="Calibri"/>
                <w:color w:val="000000" w:themeColor="text1"/>
                <w:sz w:val="18"/>
                <w:szCs w:val="18"/>
                <w:lang w:val="sl-SI" w:eastAsia="en-GB"/>
              </w:rPr>
              <w:t>correction</w:t>
            </w:r>
            <w:proofErr w:type="spellEnd"/>
            <w:r w:rsidRPr="00275FBD">
              <w:rPr>
                <w:rFonts w:ascii="Calibri" w:hAnsi="Calibri"/>
                <w:color w:val="000000" w:themeColor="text1"/>
                <w:sz w:val="18"/>
                <w:szCs w:val="18"/>
                <w:lang w:val="sl-SI" w:eastAsia="en-GB"/>
              </w:rPr>
              <w:t>.</w:t>
            </w:r>
          </w:p>
        </w:tc>
        <w:tc>
          <w:tcPr>
            <w:tcW w:w="993" w:type="dxa"/>
          </w:tcPr>
          <w:p w14:paraId="3D4D324C"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3.3.3</w:t>
            </w:r>
          </w:p>
        </w:tc>
        <w:tc>
          <w:tcPr>
            <w:tcW w:w="5244" w:type="dxa"/>
          </w:tcPr>
          <w:p w14:paraId="558F62E0"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The </w:t>
            </w:r>
            <w:proofErr w:type="spellStart"/>
            <w:r w:rsidRPr="00275FBD">
              <w:rPr>
                <w:rFonts w:ascii="Calibri" w:hAnsi="Calibri"/>
                <w:color w:val="000000"/>
                <w:sz w:val="18"/>
                <w:szCs w:val="18"/>
                <w:lang w:val="sl-SI" w:eastAsia="en-GB"/>
              </w:rPr>
              <w:t>suggested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change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would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ensure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correct</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futureproof</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terminology</w:t>
            </w:r>
            <w:proofErr w:type="spellEnd"/>
            <w:r w:rsidRPr="00275FBD">
              <w:rPr>
                <w:rFonts w:ascii="Calibri" w:hAnsi="Calibri"/>
                <w:color w:val="000000"/>
                <w:sz w:val="18"/>
                <w:szCs w:val="18"/>
                <w:lang w:val="sl-SI" w:eastAsia="en-GB"/>
              </w:rPr>
              <w:t>.</w:t>
            </w:r>
          </w:p>
        </w:tc>
        <w:tc>
          <w:tcPr>
            <w:tcW w:w="2694" w:type="dxa"/>
          </w:tcPr>
          <w:p w14:paraId="78D12056"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525C1A15" w14:textId="77777777" w:rsidTr="00935B67">
        <w:tc>
          <w:tcPr>
            <w:tcW w:w="1384" w:type="dxa"/>
            <w:shd w:val="clear" w:color="auto" w:fill="DEA400"/>
          </w:tcPr>
          <w:p w14:paraId="6965FC7A"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7.1-022</w:t>
            </w:r>
          </w:p>
        </w:tc>
        <w:tc>
          <w:tcPr>
            <w:tcW w:w="3827" w:type="dxa"/>
          </w:tcPr>
          <w:p w14:paraId="0893B714" w14:textId="77777777" w:rsidR="00935B67" w:rsidRPr="00275FBD" w:rsidRDefault="00935B67" w:rsidP="00935B67">
            <w:pPr>
              <w:jc w:val="left"/>
              <w:rPr>
                <w:rFonts w:ascii="Calibri" w:hAnsi="Calibri"/>
                <w:b/>
                <w:bCs/>
                <w:color w:val="000000" w:themeColor="text1"/>
                <w:sz w:val="18"/>
                <w:szCs w:val="18"/>
                <w:lang w:val="sl-SI" w:eastAsia="en-GB"/>
              </w:rPr>
            </w:pPr>
            <w:proofErr w:type="spellStart"/>
            <w:r w:rsidRPr="00275FBD">
              <w:rPr>
                <w:rFonts w:ascii="Calibri" w:hAnsi="Calibri"/>
                <w:b/>
                <w:bCs/>
                <w:color w:val="000000" w:themeColor="text1"/>
                <w:sz w:val="18"/>
                <w:szCs w:val="18"/>
                <w:lang w:val="sl-SI" w:eastAsia="en-GB"/>
              </w:rPr>
              <w:t>External</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support</w:t>
            </w:r>
            <w:proofErr w:type="spellEnd"/>
            <w:r w:rsidRPr="00275FBD">
              <w:rPr>
                <w:rFonts w:ascii="Calibri" w:hAnsi="Calibri"/>
                <w:b/>
                <w:bCs/>
                <w:color w:val="000000" w:themeColor="text1"/>
                <w:sz w:val="18"/>
                <w:szCs w:val="18"/>
                <w:lang w:val="sl-SI" w:eastAsia="en-GB"/>
              </w:rPr>
              <w:t xml:space="preserve"> for TO.RZ</w:t>
            </w:r>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Despite</w:t>
            </w:r>
            <w:proofErr w:type="spellEnd"/>
            <w:r w:rsidRPr="00275FBD">
              <w:rPr>
                <w:rFonts w:ascii="Calibri" w:hAnsi="Calibri"/>
                <w:color w:val="000000" w:themeColor="text1"/>
                <w:sz w:val="18"/>
                <w:szCs w:val="18"/>
                <w:lang w:val="sl-SI" w:eastAsia="en-GB"/>
              </w:rPr>
              <w:t xml:space="preserve"> the procedure ADP-1.7.001 is </w:t>
            </w:r>
            <w:proofErr w:type="spellStart"/>
            <w:r w:rsidRPr="00275FBD">
              <w:rPr>
                <w:rFonts w:ascii="Calibri" w:hAnsi="Calibri"/>
                <w:color w:val="000000" w:themeColor="text1"/>
                <w:sz w:val="18"/>
                <w:szCs w:val="18"/>
                <w:lang w:val="sl-SI" w:eastAsia="en-GB"/>
              </w:rPr>
              <w:t>intended</w:t>
            </w:r>
            <w:proofErr w:type="spellEnd"/>
            <w:r w:rsidRPr="00275FBD">
              <w:rPr>
                <w:rFonts w:ascii="Calibri" w:hAnsi="Calibri"/>
                <w:color w:val="000000" w:themeColor="text1"/>
                <w:sz w:val="18"/>
                <w:szCs w:val="18"/>
                <w:lang w:val="sl-SI" w:eastAsia="en-GB"/>
              </w:rPr>
              <w:t xml:space="preserve"> for </w:t>
            </w:r>
            <w:proofErr w:type="spellStart"/>
            <w:r w:rsidRPr="00275FBD">
              <w:rPr>
                <w:rFonts w:ascii="Calibri" w:hAnsi="Calibri"/>
                <w:color w:val="000000" w:themeColor="text1"/>
                <w:sz w:val="18"/>
                <w:szCs w:val="18"/>
                <w:lang w:val="sl-SI" w:eastAsia="en-GB"/>
              </w:rPr>
              <w:t>internal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organization</w:t>
            </w:r>
            <w:proofErr w:type="spellEnd"/>
            <w:r w:rsidRPr="00275FBD">
              <w:rPr>
                <w:rFonts w:ascii="Calibri" w:hAnsi="Calibri"/>
                <w:color w:val="000000" w:themeColor="text1"/>
                <w:sz w:val="18"/>
                <w:szCs w:val="18"/>
                <w:lang w:val="sl-SI" w:eastAsia="en-GB"/>
              </w:rPr>
              <w:t xml:space="preserve"> of the </w:t>
            </w:r>
            <w:proofErr w:type="spellStart"/>
            <w:r w:rsidRPr="00275FBD">
              <w:rPr>
                <w:rFonts w:ascii="Calibri" w:hAnsi="Calibri"/>
                <w:color w:val="000000" w:themeColor="text1"/>
                <w:sz w:val="18"/>
                <w:szCs w:val="18"/>
                <w:lang w:val="sl-SI" w:eastAsia="en-GB"/>
              </w:rPr>
              <w:t>radiation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protection</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there</w:t>
            </w:r>
            <w:proofErr w:type="spellEnd"/>
            <w:r w:rsidRPr="00275FBD">
              <w:rPr>
                <w:rFonts w:ascii="Calibri" w:hAnsi="Calibri"/>
                <w:color w:val="000000" w:themeColor="text1"/>
                <w:sz w:val="18"/>
                <w:szCs w:val="18"/>
                <w:lang w:val="sl-SI" w:eastAsia="en-GB"/>
              </w:rPr>
              <w:t xml:space="preserve"> are no </w:t>
            </w:r>
            <w:proofErr w:type="spellStart"/>
            <w:r w:rsidRPr="00275FBD">
              <w:rPr>
                <w:rFonts w:ascii="Calibri" w:hAnsi="Calibri"/>
                <w:color w:val="000000" w:themeColor="text1"/>
                <w:sz w:val="18"/>
                <w:szCs w:val="18"/>
                <w:lang w:val="sl-SI" w:eastAsia="en-GB"/>
              </w:rPr>
              <w:t>provisions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regarding</w:t>
            </w:r>
            <w:proofErr w:type="spellEnd"/>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temporal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external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support</w:t>
            </w:r>
            <w:proofErr w:type="spellEnd"/>
            <w:r w:rsidRPr="00275FBD">
              <w:rPr>
                <w:rFonts w:ascii="Calibri" w:hAnsi="Calibri"/>
                <w:color w:val="000000" w:themeColor="text1"/>
                <w:sz w:val="18"/>
                <w:szCs w:val="18"/>
                <w:lang w:val="sl-SI" w:eastAsia="en-GB"/>
              </w:rPr>
              <w:t xml:space="preserve"> that </w:t>
            </w:r>
            <w:proofErr w:type="spellStart"/>
            <w:r w:rsidRPr="00275FBD">
              <w:rPr>
                <w:rFonts w:ascii="Calibri" w:hAnsi="Calibri"/>
                <w:color w:val="000000" w:themeColor="text1"/>
                <w:sz w:val="18"/>
                <w:szCs w:val="18"/>
                <w:lang w:val="sl-SI" w:eastAsia="en-GB"/>
              </w:rPr>
              <w:t>subcontractors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provide</w:t>
            </w:r>
            <w:proofErr w:type="spellEnd"/>
            <w:r w:rsidRPr="00275FBD">
              <w:rPr>
                <w:rFonts w:ascii="Calibri" w:hAnsi="Calibri"/>
                <w:color w:val="000000" w:themeColor="text1"/>
                <w:sz w:val="18"/>
                <w:szCs w:val="18"/>
                <w:lang w:val="sl-SI" w:eastAsia="en-GB"/>
              </w:rPr>
              <w:t xml:space="preserve"> during </w:t>
            </w:r>
            <w:proofErr w:type="spellStart"/>
            <w:r w:rsidRPr="00275FBD">
              <w:rPr>
                <w:rFonts w:ascii="Calibri" w:hAnsi="Calibri"/>
                <w:color w:val="000000" w:themeColor="text1"/>
                <w:sz w:val="18"/>
                <w:szCs w:val="18"/>
                <w:lang w:val="sl-SI" w:eastAsia="en-GB"/>
              </w:rPr>
              <w:t>outages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whereas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these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technicians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provide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similar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service</w:t>
            </w:r>
            <w:proofErr w:type="spellEnd"/>
            <w:r w:rsidRPr="00275FBD">
              <w:rPr>
                <w:rFonts w:ascii="Calibri" w:hAnsi="Calibri"/>
                <w:color w:val="000000" w:themeColor="text1"/>
                <w:sz w:val="18"/>
                <w:szCs w:val="18"/>
                <w:lang w:val="sl-SI" w:eastAsia="en-GB"/>
              </w:rPr>
              <w:t xml:space="preserve"> as </w:t>
            </w:r>
            <w:proofErr w:type="spellStart"/>
            <w:r w:rsidRPr="00275FBD">
              <w:rPr>
                <w:rFonts w:ascii="Calibri" w:hAnsi="Calibri"/>
                <w:color w:val="000000" w:themeColor="text1"/>
                <w:sz w:val="18"/>
                <w:szCs w:val="18"/>
                <w:lang w:val="sl-SI" w:eastAsia="en-GB"/>
              </w:rPr>
              <w:t>NEK’s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technicians</w:t>
            </w:r>
            <w:proofErr w:type="spellEnd"/>
            <w:r w:rsidRPr="00275FBD">
              <w:rPr>
                <w:rFonts w:ascii="Calibri" w:hAnsi="Calibri"/>
                <w:color w:val="000000" w:themeColor="text1"/>
                <w:sz w:val="18"/>
                <w:szCs w:val="18"/>
                <w:lang w:val="sl-SI" w:eastAsia="en-GB"/>
              </w:rPr>
              <w:t xml:space="preserve">. We </w:t>
            </w:r>
            <w:proofErr w:type="spellStart"/>
            <w:r w:rsidRPr="00275FBD">
              <w:rPr>
                <w:rFonts w:ascii="Calibri" w:hAnsi="Calibri"/>
                <w:color w:val="000000" w:themeColor="text1"/>
                <w:sz w:val="18"/>
                <w:szCs w:val="18"/>
                <w:lang w:val="sl-SI" w:eastAsia="en-GB"/>
              </w:rPr>
              <w:t>recommend</w:t>
            </w:r>
            <w:proofErr w:type="spellEnd"/>
            <w:r w:rsidRPr="00275FBD">
              <w:rPr>
                <w:rFonts w:ascii="Calibri" w:hAnsi="Calibri"/>
                <w:color w:val="000000" w:themeColor="text1"/>
                <w:sz w:val="18"/>
                <w:szCs w:val="18"/>
                <w:lang w:val="sl-SI" w:eastAsia="en-GB"/>
              </w:rPr>
              <w:t xml:space="preserve"> that in the procedureADP-1.7.001 a </w:t>
            </w:r>
            <w:proofErr w:type="spellStart"/>
            <w:r w:rsidRPr="00275FBD">
              <w:rPr>
                <w:rFonts w:ascii="Calibri" w:hAnsi="Calibri"/>
                <w:color w:val="000000" w:themeColor="text1"/>
                <w:sz w:val="18"/>
                <w:szCs w:val="18"/>
                <w:lang w:val="sl-SI" w:eastAsia="en-GB"/>
              </w:rPr>
              <w:t>section</w:t>
            </w:r>
            <w:proofErr w:type="spellEnd"/>
            <w:r w:rsidRPr="00275FBD">
              <w:rPr>
                <w:rFonts w:ascii="Calibri" w:hAnsi="Calibri"/>
                <w:color w:val="000000" w:themeColor="text1"/>
                <w:sz w:val="18"/>
                <w:szCs w:val="18"/>
                <w:lang w:val="sl-SI" w:eastAsia="en-GB"/>
              </w:rPr>
              <w:t xml:space="preserve"> 3.10 “Zunanji tehnik radiološke zaščite” is </w:t>
            </w:r>
            <w:proofErr w:type="spellStart"/>
            <w:r w:rsidRPr="00275FBD">
              <w:rPr>
                <w:rFonts w:ascii="Calibri" w:hAnsi="Calibri"/>
                <w:color w:val="000000" w:themeColor="text1"/>
                <w:sz w:val="18"/>
                <w:szCs w:val="18"/>
                <w:lang w:val="sl-SI" w:eastAsia="en-GB"/>
              </w:rPr>
              <w:t>added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where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its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responsibilities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shall</w:t>
            </w:r>
            <w:proofErr w:type="spellEnd"/>
            <w:r w:rsidRPr="00275FBD">
              <w:rPr>
                <w:rFonts w:ascii="Calibri" w:hAnsi="Calibri"/>
                <w:color w:val="000000" w:themeColor="text1"/>
                <w:sz w:val="18"/>
                <w:szCs w:val="18"/>
                <w:lang w:val="sl-SI" w:eastAsia="en-GB"/>
              </w:rPr>
              <w:t xml:space="preserve"> match </w:t>
            </w:r>
            <w:proofErr w:type="spellStart"/>
            <w:r w:rsidRPr="00275FBD">
              <w:rPr>
                <w:rFonts w:ascii="Calibri" w:hAnsi="Calibri"/>
                <w:color w:val="000000" w:themeColor="text1"/>
                <w:sz w:val="18"/>
                <w:szCs w:val="18"/>
                <w:lang w:val="sl-SI" w:eastAsia="en-GB"/>
              </w:rPr>
              <w:t>subsections</w:t>
            </w:r>
            <w:proofErr w:type="spellEnd"/>
            <w:r w:rsidRPr="00275FBD">
              <w:rPr>
                <w:rFonts w:ascii="Calibri" w:hAnsi="Calibri"/>
                <w:color w:val="000000" w:themeColor="text1"/>
                <w:sz w:val="18"/>
                <w:szCs w:val="18"/>
                <w:lang w:val="sl-SI" w:eastAsia="en-GB"/>
              </w:rPr>
              <w:t xml:space="preserve"> 3.6.1-3.6.5, 3.6.7 and 3.6.10.</w:t>
            </w:r>
            <w:r w:rsidRPr="00275FBD">
              <w:rPr>
                <w:rFonts w:ascii="Calibri" w:hAnsi="Calibri"/>
                <w:color w:val="000000" w:themeColor="text1"/>
                <w:sz w:val="18"/>
                <w:szCs w:val="18"/>
                <w:lang w:val="sl-SI" w:eastAsia="en-GB"/>
              </w:rPr>
              <w:br/>
              <w:t xml:space="preserve">OSF element: </w:t>
            </w:r>
            <w:proofErr w:type="spellStart"/>
            <w:r w:rsidRPr="00275FBD">
              <w:rPr>
                <w:rFonts w:ascii="Calibri" w:hAnsi="Calibri"/>
                <w:color w:val="000000" w:themeColor="text1"/>
                <w:sz w:val="18"/>
                <w:szCs w:val="18"/>
                <w:lang w:val="sl-SI" w:eastAsia="en-GB"/>
              </w:rPr>
              <w:t>Procedures</w:t>
            </w:r>
            <w:proofErr w:type="spellEnd"/>
            <w:r w:rsidRPr="00275FBD">
              <w:rPr>
                <w:rFonts w:ascii="Calibri" w:hAnsi="Calibri"/>
                <w:color w:val="000000" w:themeColor="text1"/>
                <w:sz w:val="18"/>
                <w:szCs w:val="18"/>
                <w:lang w:val="sl-SI" w:eastAsia="en-GB"/>
              </w:rPr>
              <w:t xml:space="preserve"> (with </w:t>
            </w:r>
            <w:proofErr w:type="spellStart"/>
            <w:r w:rsidRPr="00275FBD">
              <w:rPr>
                <w:rFonts w:ascii="Calibri" w:hAnsi="Calibri"/>
                <w:color w:val="000000" w:themeColor="text1"/>
                <w:sz w:val="18"/>
                <w:szCs w:val="18"/>
                <w:lang w:val="sl-SI" w:eastAsia="en-GB"/>
              </w:rPr>
              <w:t>regard</w:t>
            </w:r>
            <w:proofErr w:type="spellEnd"/>
            <w:r w:rsidRPr="00275FBD">
              <w:rPr>
                <w:rFonts w:ascii="Calibri" w:hAnsi="Calibri"/>
                <w:color w:val="000000" w:themeColor="text1"/>
                <w:sz w:val="18"/>
                <w:szCs w:val="18"/>
                <w:lang w:val="sl-SI" w:eastAsia="en-GB"/>
              </w:rPr>
              <w:t xml:space="preserve"> to the OSF "Radiological Protection and </w:t>
            </w:r>
            <w:proofErr w:type="spellStart"/>
            <w:r w:rsidRPr="00275FBD">
              <w:rPr>
                <w:rFonts w:ascii="Calibri" w:hAnsi="Calibri"/>
                <w:color w:val="000000" w:themeColor="text1"/>
                <w:sz w:val="18"/>
                <w:szCs w:val="18"/>
                <w:lang w:val="sl-SI" w:eastAsia="en-GB"/>
              </w:rPr>
              <w:t>Other</w:t>
            </w:r>
            <w:proofErr w:type="spellEnd"/>
            <w:r w:rsidRPr="00275FBD">
              <w:rPr>
                <w:rFonts w:ascii="Calibri" w:hAnsi="Calibri"/>
                <w:color w:val="000000" w:themeColor="text1"/>
                <w:sz w:val="18"/>
                <w:szCs w:val="18"/>
                <w:lang w:val="sl-SI" w:eastAsia="en-GB"/>
              </w:rPr>
              <w:t xml:space="preserve"> Occupational </w:t>
            </w:r>
            <w:proofErr w:type="spellStart"/>
            <w:r w:rsidRPr="00275FBD">
              <w:rPr>
                <w:rFonts w:ascii="Calibri" w:hAnsi="Calibri"/>
                <w:color w:val="000000" w:themeColor="text1"/>
                <w:sz w:val="18"/>
                <w:szCs w:val="18"/>
                <w:lang w:val="sl-SI" w:eastAsia="en-GB"/>
              </w:rPr>
              <w:t>Hazards</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 xml:space="preserve">S.N. of 3 </w:t>
            </w:r>
            <w:proofErr w:type="spellStart"/>
            <w:r w:rsidRPr="00275FBD">
              <w:rPr>
                <w:rFonts w:ascii="Calibri" w:hAnsi="Calibri"/>
                <w:color w:val="000000" w:themeColor="text1"/>
                <w:sz w:val="18"/>
                <w:szCs w:val="18"/>
                <w:lang w:val="sl-SI" w:eastAsia="en-GB"/>
              </w:rPr>
              <w:t>relates</w:t>
            </w:r>
            <w:proofErr w:type="spellEnd"/>
            <w:r w:rsidRPr="00275FBD">
              <w:rPr>
                <w:rFonts w:ascii="Calibri" w:hAnsi="Calibri"/>
                <w:color w:val="000000" w:themeColor="text1"/>
                <w:sz w:val="18"/>
                <w:szCs w:val="18"/>
                <w:lang w:val="sl-SI" w:eastAsia="en-GB"/>
              </w:rPr>
              <w:t xml:space="preserve"> to the </w:t>
            </w:r>
            <w:proofErr w:type="spellStart"/>
            <w:r w:rsidRPr="00275FBD">
              <w:rPr>
                <w:rFonts w:ascii="Calibri" w:hAnsi="Calibri"/>
                <w:color w:val="000000" w:themeColor="text1"/>
                <w:sz w:val="18"/>
                <w:szCs w:val="18"/>
                <w:lang w:val="sl-SI" w:eastAsia="en-GB"/>
              </w:rPr>
              <w:t>need</w:t>
            </w:r>
            <w:proofErr w:type="spellEnd"/>
            <w:r w:rsidRPr="00275FBD">
              <w:rPr>
                <w:rFonts w:ascii="Calibri" w:hAnsi="Calibri"/>
                <w:color w:val="000000" w:themeColor="text1"/>
                <w:sz w:val="18"/>
                <w:szCs w:val="18"/>
                <w:lang w:val="sl-SI" w:eastAsia="en-GB"/>
              </w:rPr>
              <w:t xml:space="preserve"> for </w:t>
            </w:r>
            <w:proofErr w:type="spellStart"/>
            <w:r w:rsidRPr="00275FBD">
              <w:rPr>
                <w:rFonts w:ascii="Calibri" w:hAnsi="Calibri"/>
                <w:color w:val="000000" w:themeColor="text1"/>
                <w:sz w:val="18"/>
                <w:szCs w:val="18"/>
                <w:lang w:val="sl-SI" w:eastAsia="en-GB"/>
              </w:rPr>
              <w:t>assessing</w:t>
            </w:r>
            <w:proofErr w:type="spellEnd"/>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recommendation</w:t>
            </w:r>
            <w:proofErr w:type="spellEnd"/>
            <w:r w:rsidRPr="00275FBD">
              <w:rPr>
                <w:rFonts w:ascii="Calibri" w:hAnsi="Calibri"/>
                <w:color w:val="000000" w:themeColor="text1"/>
                <w:sz w:val="18"/>
                <w:szCs w:val="18"/>
                <w:lang w:val="sl-SI" w:eastAsia="en-GB"/>
              </w:rPr>
              <w:t xml:space="preserve">. Prior risk </w:t>
            </w:r>
            <w:proofErr w:type="spellStart"/>
            <w:r w:rsidRPr="00275FBD">
              <w:rPr>
                <w:rFonts w:ascii="Calibri" w:hAnsi="Calibri"/>
                <w:color w:val="000000" w:themeColor="text1"/>
                <w:sz w:val="18"/>
                <w:szCs w:val="18"/>
                <w:lang w:val="sl-SI" w:eastAsia="en-GB"/>
              </w:rPr>
              <w:t>information</w:t>
            </w:r>
            <w:proofErr w:type="spellEnd"/>
            <w:r w:rsidRPr="00275FBD">
              <w:rPr>
                <w:rFonts w:ascii="Calibri" w:hAnsi="Calibri"/>
                <w:color w:val="000000" w:themeColor="text1"/>
                <w:sz w:val="18"/>
                <w:szCs w:val="18"/>
                <w:lang w:val="sl-SI" w:eastAsia="en-GB"/>
              </w:rPr>
              <w:t xml:space="preserve"> is </w:t>
            </w:r>
            <w:proofErr w:type="spellStart"/>
            <w:r w:rsidRPr="00275FBD">
              <w:rPr>
                <w:rFonts w:ascii="Calibri" w:hAnsi="Calibri"/>
                <w:color w:val="000000" w:themeColor="text1"/>
                <w:sz w:val="18"/>
                <w:szCs w:val="18"/>
                <w:lang w:val="sl-SI" w:eastAsia="en-GB"/>
              </w:rPr>
              <w:t>ranked</w:t>
            </w:r>
            <w:proofErr w:type="spellEnd"/>
            <w:r w:rsidRPr="00275FBD">
              <w:rPr>
                <w:rFonts w:ascii="Calibri" w:hAnsi="Calibri"/>
                <w:color w:val="000000" w:themeColor="text1"/>
                <w:sz w:val="18"/>
                <w:szCs w:val="18"/>
                <w:lang w:val="sl-SI" w:eastAsia="en-GB"/>
              </w:rPr>
              <w:t xml:space="preserve"> 3 with </w:t>
            </w:r>
            <w:proofErr w:type="spellStart"/>
            <w:r w:rsidRPr="00275FBD">
              <w:rPr>
                <w:rFonts w:ascii="Calibri" w:hAnsi="Calibri"/>
                <w:color w:val="000000" w:themeColor="text1"/>
                <w:sz w:val="18"/>
                <w:szCs w:val="18"/>
                <w:lang w:val="sl-SI" w:eastAsia="en-GB"/>
              </w:rPr>
              <w:t>consideration</w:t>
            </w:r>
            <w:proofErr w:type="spellEnd"/>
            <w:r w:rsidRPr="00275FBD">
              <w:rPr>
                <w:rFonts w:ascii="Calibri" w:hAnsi="Calibri"/>
                <w:color w:val="000000" w:themeColor="text1"/>
                <w:sz w:val="18"/>
                <w:szCs w:val="18"/>
                <w:lang w:val="sl-SI" w:eastAsia="en-GB"/>
              </w:rPr>
              <w:t xml:space="preserve"> to the </w:t>
            </w:r>
            <w:proofErr w:type="spellStart"/>
            <w:r w:rsidRPr="00275FBD">
              <w:rPr>
                <w:rFonts w:ascii="Calibri" w:hAnsi="Calibri"/>
                <w:color w:val="000000" w:themeColor="text1"/>
                <w:sz w:val="18"/>
                <w:szCs w:val="18"/>
                <w:lang w:val="sl-SI" w:eastAsia="en-GB"/>
              </w:rPr>
              <w:t>fact</w:t>
            </w:r>
            <w:proofErr w:type="spellEnd"/>
            <w:r w:rsidRPr="00275FBD">
              <w:rPr>
                <w:rFonts w:ascii="Calibri" w:hAnsi="Calibri"/>
                <w:color w:val="000000" w:themeColor="text1"/>
                <w:sz w:val="18"/>
                <w:szCs w:val="18"/>
                <w:lang w:val="sl-SI" w:eastAsia="en-GB"/>
              </w:rPr>
              <w:t xml:space="preserve"> that </w:t>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relates</w:t>
            </w:r>
            <w:proofErr w:type="spellEnd"/>
            <w:r w:rsidRPr="00275FBD">
              <w:rPr>
                <w:rFonts w:ascii="Calibri" w:hAnsi="Calibri"/>
                <w:color w:val="000000" w:themeColor="text1"/>
                <w:sz w:val="18"/>
                <w:szCs w:val="18"/>
                <w:lang w:val="sl-SI" w:eastAsia="en-GB"/>
              </w:rPr>
              <w:t xml:space="preserve"> to the NEK prior </w:t>
            </w:r>
            <w:proofErr w:type="spellStart"/>
            <w:r w:rsidRPr="00275FBD">
              <w:rPr>
                <w:rFonts w:ascii="Calibri" w:hAnsi="Calibri"/>
                <w:color w:val="000000" w:themeColor="text1"/>
                <w:sz w:val="18"/>
                <w:szCs w:val="18"/>
                <w:lang w:val="sl-SI" w:eastAsia="en-GB"/>
              </w:rPr>
              <w:t>practices</w:t>
            </w:r>
            <w:proofErr w:type="spellEnd"/>
            <w:r w:rsidRPr="00275FBD">
              <w:rPr>
                <w:rFonts w:ascii="Calibri" w:hAnsi="Calibri"/>
                <w:color w:val="000000" w:themeColor="text1"/>
                <w:sz w:val="18"/>
                <w:szCs w:val="18"/>
                <w:lang w:val="sl-SI" w:eastAsia="en-GB"/>
              </w:rPr>
              <w:t>.</w:t>
            </w:r>
          </w:p>
        </w:tc>
        <w:tc>
          <w:tcPr>
            <w:tcW w:w="993" w:type="dxa"/>
          </w:tcPr>
          <w:p w14:paraId="25E33D2E"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3.3.3</w:t>
            </w:r>
          </w:p>
        </w:tc>
        <w:tc>
          <w:tcPr>
            <w:tcW w:w="5244" w:type="dxa"/>
          </w:tcPr>
          <w:p w14:paraId="19AEC90F" w14:textId="77777777" w:rsidR="00935B67" w:rsidRPr="00275FBD" w:rsidRDefault="00935B67" w:rsidP="00935B67">
            <w:pPr>
              <w:jc w:val="left"/>
              <w:rPr>
                <w:rFonts w:ascii="Calibri" w:hAnsi="Calibri"/>
                <w:color w:val="000000"/>
                <w:sz w:val="18"/>
                <w:szCs w:val="18"/>
                <w:lang w:val="sl-SI" w:eastAsia="en-GB"/>
              </w:rPr>
            </w:pPr>
            <w:proofErr w:type="spellStart"/>
            <w:r w:rsidRPr="00275FBD">
              <w:rPr>
                <w:rFonts w:ascii="Calibri" w:hAnsi="Calibri"/>
                <w:color w:val="000000"/>
                <w:sz w:val="18"/>
                <w:szCs w:val="18"/>
                <w:lang w:val="sl-SI" w:eastAsia="en-GB"/>
              </w:rPr>
              <w:t>External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support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technicians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should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have</w:t>
            </w:r>
            <w:proofErr w:type="spellEnd"/>
            <w:r w:rsidRPr="00275FBD">
              <w:rPr>
                <w:rFonts w:ascii="Calibri" w:hAnsi="Calibri"/>
                <w:color w:val="000000"/>
                <w:sz w:val="18"/>
                <w:szCs w:val="18"/>
                <w:lang w:val="sl-SI" w:eastAsia="en-GB"/>
              </w:rPr>
              <w:t xml:space="preserve"> the same </w:t>
            </w:r>
            <w:proofErr w:type="spellStart"/>
            <w:r w:rsidRPr="00275FBD">
              <w:rPr>
                <w:rFonts w:ascii="Calibri" w:hAnsi="Calibri"/>
                <w:color w:val="000000"/>
                <w:sz w:val="18"/>
                <w:szCs w:val="18"/>
                <w:lang w:val="sl-SI" w:eastAsia="en-GB"/>
              </w:rPr>
              <w:t>requirements</w:t>
            </w:r>
            <w:proofErr w:type="spellEnd"/>
            <w:r w:rsidRPr="00275FBD">
              <w:rPr>
                <w:rFonts w:ascii="Calibri" w:hAnsi="Calibri"/>
                <w:color w:val="000000"/>
                <w:sz w:val="18"/>
                <w:szCs w:val="18"/>
                <w:lang w:val="sl-SI" w:eastAsia="en-GB"/>
              </w:rPr>
              <w:t xml:space="preserve"> for same </w:t>
            </w:r>
            <w:proofErr w:type="spellStart"/>
            <w:r w:rsidRPr="00275FBD">
              <w:rPr>
                <w:rFonts w:ascii="Calibri" w:hAnsi="Calibri"/>
                <w:color w:val="000000"/>
                <w:sz w:val="18"/>
                <w:szCs w:val="18"/>
                <w:lang w:val="sl-SI" w:eastAsia="en-GB"/>
              </w:rPr>
              <w:t>services</w:t>
            </w:r>
            <w:proofErr w:type="spellEnd"/>
            <w:r w:rsidRPr="00275FBD">
              <w:rPr>
                <w:rFonts w:ascii="Calibri" w:hAnsi="Calibri"/>
                <w:color w:val="000000"/>
                <w:sz w:val="18"/>
                <w:szCs w:val="18"/>
                <w:lang w:val="sl-SI" w:eastAsia="en-GB"/>
              </w:rPr>
              <w:t>.</w:t>
            </w:r>
          </w:p>
        </w:tc>
        <w:tc>
          <w:tcPr>
            <w:tcW w:w="2694" w:type="dxa"/>
          </w:tcPr>
          <w:p w14:paraId="6163F287"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7FBD0461" w14:textId="77777777" w:rsidTr="00935B67">
        <w:tc>
          <w:tcPr>
            <w:tcW w:w="1384" w:type="dxa"/>
            <w:shd w:val="clear" w:color="auto" w:fill="DEA400"/>
          </w:tcPr>
          <w:p w14:paraId="326166D4"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sz w:val="18"/>
                <w:szCs w:val="18"/>
                <w:lang w:val="sl-SI" w:eastAsia="en-GB"/>
              </w:rPr>
              <w:t>PSR3 7.1-024</w:t>
            </w:r>
          </w:p>
        </w:tc>
        <w:tc>
          <w:tcPr>
            <w:tcW w:w="3827" w:type="dxa"/>
          </w:tcPr>
          <w:p w14:paraId="5DB2ACA1"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Dose </w:t>
            </w:r>
            <w:proofErr w:type="spellStart"/>
            <w:r w:rsidRPr="00275FBD">
              <w:rPr>
                <w:rFonts w:ascii="Calibri" w:hAnsi="Calibri"/>
                <w:color w:val="000000"/>
                <w:sz w:val="18"/>
                <w:szCs w:val="18"/>
                <w:lang w:val="sl-SI" w:eastAsia="en-GB"/>
              </w:rPr>
              <w:t>constraints</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plant</w:t>
            </w:r>
            <w:proofErr w:type="spellEnd"/>
            <w:r w:rsidRPr="00275FBD">
              <w:rPr>
                <w:rFonts w:ascii="Calibri" w:hAnsi="Calibri"/>
                <w:color w:val="000000"/>
                <w:sz w:val="18"/>
                <w:szCs w:val="18"/>
                <w:lang w:val="sl-SI" w:eastAsia="en-GB"/>
              </w:rPr>
              <w:t xml:space="preserve"> operative limit with prior </w:t>
            </w:r>
            <w:proofErr w:type="spellStart"/>
            <w:r w:rsidRPr="00275FBD">
              <w:rPr>
                <w:rFonts w:ascii="Calibri" w:hAnsi="Calibri"/>
                <w:color w:val="000000"/>
                <w:sz w:val="18"/>
                <w:szCs w:val="18"/>
                <w:lang w:val="sl-SI" w:eastAsia="en-GB"/>
              </w:rPr>
              <w:t>doses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Systems</w:t>
            </w:r>
            <w:proofErr w:type="spellEnd"/>
            <w:r w:rsidRPr="00275FBD">
              <w:rPr>
                <w:rFonts w:ascii="Calibri" w:hAnsi="Calibri"/>
                <w:color w:val="000000"/>
                <w:sz w:val="18"/>
                <w:szCs w:val="18"/>
                <w:lang w:val="sl-SI" w:eastAsia="en-GB"/>
              </w:rPr>
              <w:t xml:space="preserve"> / </w:t>
            </w:r>
            <w:proofErr w:type="spellStart"/>
            <w:r w:rsidRPr="00275FBD">
              <w:rPr>
                <w:rFonts w:ascii="Calibri" w:hAnsi="Calibri"/>
                <w:color w:val="000000"/>
                <w:sz w:val="18"/>
                <w:szCs w:val="18"/>
                <w:lang w:val="sl-SI" w:eastAsia="en-GB"/>
              </w:rPr>
              <w:t>functions</w:t>
            </w:r>
            <w:proofErr w:type="spellEnd"/>
            <w:r w:rsidRPr="00275FBD">
              <w:rPr>
                <w:rFonts w:ascii="Calibri" w:hAnsi="Calibri"/>
                <w:color w:val="000000"/>
                <w:sz w:val="18"/>
                <w:szCs w:val="18"/>
                <w:lang w:val="sl-SI" w:eastAsia="en-GB"/>
              </w:rPr>
              <w:t xml:space="preserve">: Health </w:t>
            </w:r>
            <w:proofErr w:type="spellStart"/>
            <w:r w:rsidRPr="00275FBD">
              <w:rPr>
                <w:rFonts w:ascii="Calibri" w:hAnsi="Calibri"/>
                <w:color w:val="000000"/>
                <w:sz w:val="18"/>
                <w:szCs w:val="18"/>
                <w:lang w:val="sl-SI" w:eastAsia="en-GB"/>
              </w:rPr>
              <w:lastRenderedPageBreak/>
              <w:t>protection</w:t>
            </w:r>
            <w:proofErr w:type="spellEnd"/>
            <w:r w:rsidRPr="00275FBD">
              <w:rPr>
                <w:rFonts w:ascii="Calibri" w:hAnsi="Calibri"/>
                <w:color w:val="000000"/>
                <w:sz w:val="18"/>
                <w:szCs w:val="18"/>
                <w:lang w:val="sl-SI" w:eastAsia="en-GB"/>
              </w:rPr>
              <w:t xml:space="preserve"> of </w:t>
            </w:r>
            <w:proofErr w:type="spellStart"/>
            <w:r w:rsidRPr="00275FBD">
              <w:rPr>
                <w:rFonts w:ascii="Calibri" w:hAnsi="Calibri"/>
                <w:color w:val="000000"/>
                <w:sz w:val="18"/>
                <w:szCs w:val="18"/>
                <w:lang w:val="sl-SI" w:eastAsia="en-GB"/>
              </w:rPr>
              <w:t>workers</w:t>
            </w:r>
            <w:proofErr w:type="spellEnd"/>
            <w:r w:rsidRPr="00275FBD">
              <w:rPr>
                <w:rFonts w:ascii="Calibri" w:hAnsi="Calibri"/>
                <w:color w:val="000000"/>
                <w:sz w:val="18"/>
                <w:szCs w:val="18"/>
                <w:lang w:val="sl-SI" w:eastAsia="en-GB"/>
              </w:rPr>
              <w:t xml:space="preserve">; Risk / DOD </w:t>
            </w:r>
            <w:proofErr w:type="spellStart"/>
            <w:r w:rsidRPr="00275FBD">
              <w:rPr>
                <w:rFonts w:ascii="Calibri" w:hAnsi="Calibri"/>
                <w:color w:val="000000"/>
                <w:sz w:val="18"/>
                <w:szCs w:val="18"/>
                <w:lang w:val="sl-SI" w:eastAsia="en-GB"/>
              </w:rPr>
              <w:t>significance</w:t>
            </w:r>
            <w:proofErr w:type="spellEnd"/>
            <w:r w:rsidRPr="00275FBD">
              <w:rPr>
                <w:rFonts w:ascii="Calibri" w:hAnsi="Calibri"/>
                <w:color w:val="000000"/>
                <w:sz w:val="18"/>
                <w:szCs w:val="18"/>
                <w:lang w:val="sl-SI" w:eastAsia="en-GB"/>
              </w:rPr>
              <w:t>: TL.</w:t>
            </w:r>
          </w:p>
        </w:tc>
        <w:tc>
          <w:tcPr>
            <w:tcW w:w="993" w:type="dxa"/>
          </w:tcPr>
          <w:p w14:paraId="2A957F9F"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lastRenderedPageBreak/>
              <w:t>3.3.3</w:t>
            </w:r>
          </w:p>
        </w:tc>
        <w:tc>
          <w:tcPr>
            <w:tcW w:w="5244" w:type="dxa"/>
          </w:tcPr>
          <w:p w14:paraId="444DB627"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It is </w:t>
            </w:r>
            <w:proofErr w:type="spellStart"/>
            <w:r w:rsidRPr="00275FBD">
              <w:rPr>
                <w:rFonts w:ascii="Calibri" w:hAnsi="Calibri"/>
                <w:color w:val="000000"/>
                <w:sz w:val="18"/>
                <w:szCs w:val="18"/>
                <w:lang w:val="sl-SI" w:eastAsia="en-GB"/>
              </w:rPr>
              <w:t>important</w:t>
            </w:r>
            <w:proofErr w:type="spellEnd"/>
            <w:r w:rsidRPr="00275FBD">
              <w:rPr>
                <w:rFonts w:ascii="Calibri" w:hAnsi="Calibri"/>
                <w:color w:val="000000"/>
                <w:sz w:val="18"/>
                <w:szCs w:val="18"/>
                <w:lang w:val="sl-SI" w:eastAsia="en-GB"/>
              </w:rPr>
              <w:t xml:space="preserve"> to take </w:t>
            </w:r>
            <w:proofErr w:type="spellStart"/>
            <w:r w:rsidRPr="00275FBD">
              <w:rPr>
                <w:rFonts w:ascii="Calibri" w:hAnsi="Calibri"/>
                <w:color w:val="000000"/>
                <w:sz w:val="18"/>
                <w:szCs w:val="18"/>
                <w:lang w:val="sl-SI" w:eastAsia="en-GB"/>
              </w:rPr>
              <w:t>into</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account</w:t>
            </w:r>
            <w:proofErr w:type="spellEnd"/>
            <w:r w:rsidRPr="00275FBD">
              <w:rPr>
                <w:rFonts w:ascii="Calibri" w:hAnsi="Calibri"/>
                <w:color w:val="000000"/>
                <w:sz w:val="18"/>
                <w:szCs w:val="18"/>
                <w:lang w:val="sl-SI" w:eastAsia="en-GB"/>
              </w:rPr>
              <w:t xml:space="preserve"> all </w:t>
            </w:r>
            <w:proofErr w:type="spellStart"/>
            <w:r w:rsidRPr="00275FBD">
              <w:rPr>
                <w:rFonts w:ascii="Calibri" w:hAnsi="Calibri"/>
                <w:color w:val="000000"/>
                <w:sz w:val="18"/>
                <w:szCs w:val="18"/>
                <w:lang w:val="sl-SI" w:eastAsia="en-GB"/>
              </w:rPr>
              <w:t>doses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received</w:t>
            </w:r>
            <w:proofErr w:type="spellEnd"/>
            <w:r w:rsidRPr="00275FBD">
              <w:rPr>
                <w:rFonts w:ascii="Calibri" w:hAnsi="Calibri"/>
                <w:color w:val="000000"/>
                <w:sz w:val="18"/>
                <w:szCs w:val="18"/>
                <w:lang w:val="sl-SI" w:eastAsia="en-GB"/>
              </w:rPr>
              <w:t xml:space="preserve"> by the </w:t>
            </w:r>
            <w:proofErr w:type="spellStart"/>
            <w:r w:rsidRPr="00275FBD">
              <w:rPr>
                <w:rFonts w:ascii="Calibri" w:hAnsi="Calibri"/>
                <w:color w:val="000000"/>
                <w:sz w:val="18"/>
                <w:szCs w:val="18"/>
                <w:lang w:val="sl-SI" w:eastAsia="en-GB"/>
              </w:rPr>
              <w:t>worker</w:t>
            </w:r>
            <w:proofErr w:type="spellEnd"/>
            <w:r w:rsidRPr="00275FBD">
              <w:rPr>
                <w:rFonts w:ascii="Calibri" w:hAnsi="Calibri"/>
                <w:color w:val="000000"/>
                <w:sz w:val="18"/>
                <w:szCs w:val="18"/>
                <w:lang w:val="sl-SI" w:eastAsia="en-GB"/>
              </w:rPr>
              <w:t xml:space="preserve"> in the </w:t>
            </w:r>
            <w:proofErr w:type="spellStart"/>
            <w:r w:rsidRPr="00275FBD">
              <w:rPr>
                <w:rFonts w:ascii="Calibri" w:hAnsi="Calibri"/>
                <w:color w:val="000000"/>
                <w:sz w:val="18"/>
                <w:szCs w:val="18"/>
                <w:lang w:val="sl-SI" w:eastAsia="en-GB"/>
              </w:rPr>
              <w:t>proper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way</w:t>
            </w:r>
            <w:proofErr w:type="spellEnd"/>
            <w:r w:rsidRPr="00275FBD">
              <w:rPr>
                <w:rFonts w:ascii="Calibri" w:hAnsi="Calibri"/>
                <w:color w:val="000000"/>
                <w:sz w:val="18"/>
                <w:szCs w:val="18"/>
                <w:lang w:val="sl-SI" w:eastAsia="en-GB"/>
              </w:rPr>
              <w:t>.</w:t>
            </w:r>
          </w:p>
        </w:tc>
        <w:tc>
          <w:tcPr>
            <w:tcW w:w="2694" w:type="dxa"/>
          </w:tcPr>
          <w:p w14:paraId="7451C344"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250EDE03" w14:textId="77777777" w:rsidTr="00935B67">
        <w:tc>
          <w:tcPr>
            <w:tcW w:w="1384" w:type="dxa"/>
            <w:shd w:val="clear" w:color="auto" w:fill="DEA400"/>
          </w:tcPr>
          <w:p w14:paraId="115E0709"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sz w:val="18"/>
                <w:szCs w:val="18"/>
                <w:lang w:val="sl-SI" w:eastAsia="en-GB"/>
              </w:rPr>
              <w:t>PSR3 7.1-027</w:t>
            </w:r>
          </w:p>
        </w:tc>
        <w:tc>
          <w:tcPr>
            <w:tcW w:w="3827" w:type="dxa"/>
          </w:tcPr>
          <w:p w14:paraId="5F40993E"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Access to </w:t>
            </w:r>
            <w:proofErr w:type="spellStart"/>
            <w:r w:rsidRPr="00275FBD">
              <w:rPr>
                <w:rFonts w:ascii="Calibri" w:hAnsi="Calibri"/>
                <w:color w:val="000000"/>
                <w:sz w:val="18"/>
                <w:szCs w:val="18"/>
                <w:lang w:val="sl-SI" w:eastAsia="en-GB"/>
              </w:rPr>
              <w:t>very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high</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radiation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areas</w:t>
            </w:r>
            <w:proofErr w:type="spellEnd"/>
            <w:r w:rsidRPr="00275FBD">
              <w:rPr>
                <w:rFonts w:ascii="Calibri" w:hAnsi="Calibri"/>
                <w:color w:val="000000"/>
                <w:sz w:val="18"/>
                <w:szCs w:val="18"/>
                <w:lang w:val="sl-SI" w:eastAsia="en-GB"/>
              </w:rPr>
              <w:t xml:space="preserve"> per ADP-1.7.002; </w:t>
            </w:r>
            <w:proofErr w:type="spellStart"/>
            <w:r w:rsidRPr="00275FBD">
              <w:rPr>
                <w:rFonts w:ascii="Calibri" w:hAnsi="Calibri"/>
                <w:color w:val="000000"/>
                <w:sz w:val="18"/>
                <w:szCs w:val="18"/>
                <w:lang w:val="sl-SI" w:eastAsia="en-GB"/>
              </w:rPr>
              <w:t>Systems</w:t>
            </w:r>
            <w:proofErr w:type="spellEnd"/>
            <w:r w:rsidRPr="00275FBD">
              <w:rPr>
                <w:rFonts w:ascii="Calibri" w:hAnsi="Calibri"/>
                <w:color w:val="000000"/>
                <w:sz w:val="18"/>
                <w:szCs w:val="18"/>
                <w:lang w:val="sl-SI" w:eastAsia="en-GB"/>
              </w:rPr>
              <w:t xml:space="preserve"> / </w:t>
            </w:r>
            <w:proofErr w:type="spellStart"/>
            <w:r w:rsidRPr="00275FBD">
              <w:rPr>
                <w:rFonts w:ascii="Calibri" w:hAnsi="Calibri"/>
                <w:color w:val="000000"/>
                <w:sz w:val="18"/>
                <w:szCs w:val="18"/>
                <w:lang w:val="sl-SI" w:eastAsia="en-GB"/>
              </w:rPr>
              <w:t>functions</w:t>
            </w:r>
            <w:proofErr w:type="spellEnd"/>
            <w:r w:rsidRPr="00275FBD">
              <w:rPr>
                <w:rFonts w:ascii="Calibri" w:hAnsi="Calibri"/>
                <w:color w:val="000000"/>
                <w:sz w:val="18"/>
                <w:szCs w:val="18"/>
                <w:lang w:val="sl-SI" w:eastAsia="en-GB"/>
              </w:rPr>
              <w:t xml:space="preserve">: Health </w:t>
            </w:r>
            <w:proofErr w:type="spellStart"/>
            <w:r w:rsidRPr="00275FBD">
              <w:rPr>
                <w:rFonts w:ascii="Calibri" w:hAnsi="Calibri"/>
                <w:color w:val="000000"/>
                <w:sz w:val="18"/>
                <w:szCs w:val="18"/>
                <w:lang w:val="sl-SI" w:eastAsia="en-GB"/>
              </w:rPr>
              <w:t>protection</w:t>
            </w:r>
            <w:proofErr w:type="spellEnd"/>
            <w:r w:rsidRPr="00275FBD">
              <w:rPr>
                <w:rFonts w:ascii="Calibri" w:hAnsi="Calibri"/>
                <w:color w:val="000000"/>
                <w:sz w:val="18"/>
                <w:szCs w:val="18"/>
                <w:lang w:val="sl-SI" w:eastAsia="en-GB"/>
              </w:rPr>
              <w:t xml:space="preserve"> of </w:t>
            </w:r>
            <w:proofErr w:type="spellStart"/>
            <w:r w:rsidRPr="00275FBD">
              <w:rPr>
                <w:rFonts w:ascii="Calibri" w:hAnsi="Calibri"/>
                <w:color w:val="000000"/>
                <w:sz w:val="18"/>
                <w:szCs w:val="18"/>
                <w:lang w:val="sl-SI" w:eastAsia="en-GB"/>
              </w:rPr>
              <w:t>workers</w:t>
            </w:r>
            <w:proofErr w:type="spellEnd"/>
            <w:r w:rsidRPr="00275FBD">
              <w:rPr>
                <w:rFonts w:ascii="Calibri" w:hAnsi="Calibri"/>
                <w:color w:val="000000"/>
                <w:sz w:val="18"/>
                <w:szCs w:val="18"/>
                <w:lang w:val="sl-SI" w:eastAsia="en-GB"/>
              </w:rPr>
              <w:t xml:space="preserve">; Risk / DOD </w:t>
            </w:r>
            <w:proofErr w:type="spellStart"/>
            <w:r w:rsidRPr="00275FBD">
              <w:rPr>
                <w:rFonts w:ascii="Calibri" w:hAnsi="Calibri"/>
                <w:color w:val="000000"/>
                <w:sz w:val="18"/>
                <w:szCs w:val="18"/>
                <w:lang w:val="sl-SI" w:eastAsia="en-GB"/>
              </w:rPr>
              <w:t>significance</w:t>
            </w:r>
            <w:proofErr w:type="spellEnd"/>
            <w:r w:rsidRPr="00275FBD">
              <w:rPr>
                <w:rFonts w:ascii="Calibri" w:hAnsi="Calibri"/>
                <w:color w:val="000000"/>
                <w:sz w:val="18"/>
                <w:szCs w:val="18"/>
                <w:lang w:val="sl-SI" w:eastAsia="en-GB"/>
              </w:rPr>
              <w:t>: TL.</w:t>
            </w:r>
          </w:p>
        </w:tc>
        <w:tc>
          <w:tcPr>
            <w:tcW w:w="993" w:type="dxa"/>
          </w:tcPr>
          <w:p w14:paraId="4C43C979"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3.3.3</w:t>
            </w:r>
          </w:p>
        </w:tc>
        <w:tc>
          <w:tcPr>
            <w:tcW w:w="5244" w:type="dxa"/>
          </w:tcPr>
          <w:p w14:paraId="5F94FAA6"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From the </w:t>
            </w:r>
            <w:proofErr w:type="spellStart"/>
            <w:r w:rsidRPr="00275FBD">
              <w:rPr>
                <w:rFonts w:ascii="Calibri" w:hAnsi="Calibri"/>
                <w:color w:val="000000"/>
                <w:sz w:val="18"/>
                <w:szCs w:val="18"/>
                <w:lang w:val="sl-SI" w:eastAsia="en-GB"/>
              </w:rPr>
              <w:t>radiation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protection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standpoint</w:t>
            </w:r>
            <w:proofErr w:type="spellEnd"/>
            <w:r w:rsidRPr="00275FBD">
              <w:rPr>
                <w:rFonts w:ascii="Calibri" w:hAnsi="Calibri"/>
                <w:color w:val="000000"/>
                <w:sz w:val="18"/>
                <w:szCs w:val="18"/>
                <w:lang w:val="sl-SI" w:eastAsia="en-GB"/>
              </w:rPr>
              <w:t xml:space="preserve">, it </w:t>
            </w:r>
            <w:proofErr w:type="spellStart"/>
            <w:r w:rsidRPr="00275FBD">
              <w:rPr>
                <w:rFonts w:ascii="Calibri" w:hAnsi="Calibri"/>
                <w:color w:val="000000"/>
                <w:sz w:val="18"/>
                <w:szCs w:val="18"/>
                <w:lang w:val="sl-SI" w:eastAsia="en-GB"/>
              </w:rPr>
              <w:t>makes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sense</w:t>
            </w:r>
            <w:proofErr w:type="spellEnd"/>
            <w:r w:rsidRPr="00275FBD">
              <w:rPr>
                <w:rFonts w:ascii="Calibri" w:hAnsi="Calibri"/>
                <w:color w:val="000000"/>
                <w:sz w:val="18"/>
                <w:szCs w:val="18"/>
                <w:lang w:val="sl-SI" w:eastAsia="en-GB"/>
              </w:rPr>
              <w:t xml:space="preserve"> to </w:t>
            </w:r>
            <w:proofErr w:type="spellStart"/>
            <w:r w:rsidRPr="00275FBD">
              <w:rPr>
                <w:rFonts w:ascii="Calibri" w:hAnsi="Calibri"/>
                <w:color w:val="000000"/>
                <w:sz w:val="18"/>
                <w:szCs w:val="18"/>
                <w:lang w:val="sl-SI" w:eastAsia="en-GB"/>
              </w:rPr>
              <w:t>ensure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highest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possible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safety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when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dealing</w:t>
            </w:r>
            <w:proofErr w:type="spellEnd"/>
            <w:r w:rsidRPr="00275FBD">
              <w:rPr>
                <w:rFonts w:ascii="Calibri" w:hAnsi="Calibri"/>
                <w:color w:val="000000"/>
                <w:sz w:val="18"/>
                <w:szCs w:val="18"/>
                <w:lang w:val="sl-SI" w:eastAsia="en-GB"/>
              </w:rPr>
              <w:t xml:space="preserve"> with </w:t>
            </w:r>
            <w:proofErr w:type="spellStart"/>
            <w:r w:rsidRPr="00275FBD">
              <w:rPr>
                <w:rFonts w:ascii="Calibri" w:hAnsi="Calibri"/>
                <w:color w:val="000000"/>
                <w:sz w:val="18"/>
                <w:szCs w:val="18"/>
                <w:lang w:val="sl-SI" w:eastAsia="en-GB"/>
              </w:rPr>
              <w:t>very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high</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radiation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areas</w:t>
            </w:r>
            <w:proofErr w:type="spellEnd"/>
            <w:r w:rsidRPr="00275FBD">
              <w:rPr>
                <w:rFonts w:ascii="Calibri" w:hAnsi="Calibri"/>
                <w:color w:val="000000"/>
                <w:sz w:val="18"/>
                <w:szCs w:val="18"/>
                <w:lang w:val="sl-SI" w:eastAsia="en-GB"/>
              </w:rPr>
              <w:t>.</w:t>
            </w:r>
          </w:p>
        </w:tc>
        <w:tc>
          <w:tcPr>
            <w:tcW w:w="2694" w:type="dxa"/>
          </w:tcPr>
          <w:p w14:paraId="7160AE62"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38FD0C35" w14:textId="77777777" w:rsidTr="00935B67">
        <w:tc>
          <w:tcPr>
            <w:tcW w:w="1384" w:type="dxa"/>
            <w:shd w:val="clear" w:color="auto" w:fill="DEA400"/>
          </w:tcPr>
          <w:p w14:paraId="4667EF08"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7.1-029</w:t>
            </w:r>
          </w:p>
        </w:tc>
        <w:tc>
          <w:tcPr>
            <w:tcW w:w="3827" w:type="dxa"/>
          </w:tcPr>
          <w:p w14:paraId="1C49ECDC" w14:textId="77777777" w:rsidR="00935B67" w:rsidRPr="00275FBD" w:rsidRDefault="00935B67" w:rsidP="00935B67">
            <w:pPr>
              <w:jc w:val="left"/>
              <w:rPr>
                <w:rFonts w:ascii="Calibri" w:hAnsi="Calibri"/>
                <w:b/>
                <w:bCs/>
                <w:color w:val="000000" w:themeColor="text1"/>
                <w:sz w:val="18"/>
                <w:szCs w:val="18"/>
                <w:lang w:val="sl-SI" w:eastAsia="en-GB"/>
              </w:rPr>
            </w:pPr>
            <w:proofErr w:type="spellStart"/>
            <w:r w:rsidRPr="00275FBD">
              <w:rPr>
                <w:rFonts w:ascii="Calibri" w:hAnsi="Calibri"/>
                <w:b/>
                <w:bCs/>
                <w:color w:val="000000" w:themeColor="text1"/>
                <w:sz w:val="18"/>
                <w:szCs w:val="18"/>
                <w:lang w:val="sl-SI" w:eastAsia="en-GB"/>
              </w:rPr>
              <w:t>Respiratory</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protection</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devices</w:t>
            </w:r>
            <w:proofErr w:type="spellEnd"/>
            <w:r w:rsidRPr="00275FBD">
              <w:rPr>
                <w:rFonts w:ascii="Calibri" w:hAnsi="Calibri"/>
                <w:color w:val="000000" w:themeColor="text1"/>
                <w:sz w:val="18"/>
                <w:szCs w:val="18"/>
                <w:lang w:val="sl-SI" w:eastAsia="en-GB"/>
              </w:rPr>
              <w:t xml:space="preserve">. In the procedure ADP-1.7.002 5.2.3.6 </w:t>
            </w:r>
            <w:proofErr w:type="spellStart"/>
            <w:r w:rsidRPr="00275FBD">
              <w:rPr>
                <w:rFonts w:ascii="Calibri" w:hAnsi="Calibri"/>
                <w:color w:val="000000" w:themeColor="text1"/>
                <w:sz w:val="18"/>
                <w:szCs w:val="18"/>
                <w:lang w:val="sl-SI" w:eastAsia="en-GB"/>
              </w:rPr>
              <w:t>respiratory</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devices</w:t>
            </w:r>
            <w:proofErr w:type="spellEnd"/>
            <w:r w:rsidRPr="00275FBD">
              <w:rPr>
                <w:rFonts w:ascii="Calibri" w:hAnsi="Calibri"/>
                <w:color w:val="000000" w:themeColor="text1"/>
                <w:sz w:val="18"/>
                <w:szCs w:val="18"/>
                <w:lang w:val="sl-SI" w:eastAsia="en-GB"/>
              </w:rPr>
              <w:t xml:space="preserve"> and conditions in </w:t>
            </w:r>
            <w:proofErr w:type="spellStart"/>
            <w:r w:rsidRPr="00275FBD">
              <w:rPr>
                <w:rFonts w:ascii="Calibri" w:hAnsi="Calibri"/>
                <w:color w:val="000000" w:themeColor="text1"/>
                <w:sz w:val="18"/>
                <w:szCs w:val="18"/>
                <w:lang w:val="sl-SI" w:eastAsia="en-GB"/>
              </w:rPr>
              <w:t>which</w:t>
            </w:r>
            <w:proofErr w:type="spellEnd"/>
            <w:r w:rsidRPr="00275FBD">
              <w:rPr>
                <w:rFonts w:ascii="Calibri" w:hAnsi="Calibri"/>
                <w:color w:val="000000" w:themeColor="text1"/>
                <w:sz w:val="18"/>
                <w:szCs w:val="18"/>
                <w:lang w:val="sl-SI" w:eastAsia="en-GB"/>
              </w:rPr>
              <w:t xml:space="preserve"> to be used are set in Table II. </w:t>
            </w:r>
            <w:proofErr w:type="spellStart"/>
            <w:r w:rsidRPr="00275FBD">
              <w:rPr>
                <w:rFonts w:ascii="Calibri" w:hAnsi="Calibri"/>
                <w:color w:val="000000" w:themeColor="text1"/>
                <w:sz w:val="18"/>
                <w:szCs w:val="18"/>
                <w:lang w:val="sl-SI" w:eastAsia="en-GB"/>
              </w:rPr>
              <w:t>There</w:t>
            </w:r>
            <w:proofErr w:type="spellEnd"/>
            <w:r w:rsidRPr="00275FBD">
              <w:rPr>
                <w:rFonts w:ascii="Calibri" w:hAnsi="Calibri"/>
                <w:color w:val="000000" w:themeColor="text1"/>
                <w:sz w:val="18"/>
                <w:szCs w:val="18"/>
                <w:lang w:val="sl-SI" w:eastAsia="en-GB"/>
              </w:rPr>
              <w:t xml:space="preserve"> are some </w:t>
            </w:r>
            <w:proofErr w:type="spellStart"/>
            <w:r w:rsidRPr="00275FBD">
              <w:rPr>
                <w:rFonts w:ascii="Calibri" w:hAnsi="Calibri"/>
                <w:color w:val="000000" w:themeColor="text1"/>
                <w:sz w:val="18"/>
                <w:szCs w:val="18"/>
                <w:lang w:val="sl-SI" w:eastAsia="en-GB"/>
              </w:rPr>
              <w:t>ambiguities</w:t>
            </w:r>
            <w:proofErr w:type="spellEnd"/>
            <w:r w:rsidRPr="00275FBD">
              <w:rPr>
                <w:rFonts w:ascii="Calibri" w:hAnsi="Calibri"/>
                <w:color w:val="000000" w:themeColor="text1"/>
                <w:sz w:val="18"/>
                <w:szCs w:val="18"/>
                <w:lang w:val="sl-SI" w:eastAsia="en-GB"/>
              </w:rPr>
              <w:t xml:space="preserve"> in the last </w:t>
            </w:r>
            <w:proofErr w:type="spellStart"/>
            <w:r w:rsidRPr="00275FBD">
              <w:rPr>
                <w:rFonts w:ascii="Calibri" w:hAnsi="Calibri"/>
                <w:color w:val="000000" w:themeColor="text1"/>
                <w:sz w:val="18"/>
                <w:szCs w:val="18"/>
                <w:lang w:val="sl-SI" w:eastAsia="en-GB"/>
              </w:rPr>
              <w:t>two</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lines</w:t>
            </w:r>
            <w:proofErr w:type="spellEnd"/>
            <w:r w:rsidRPr="00275FBD">
              <w:rPr>
                <w:rFonts w:ascii="Calibri" w:hAnsi="Calibri"/>
                <w:color w:val="000000" w:themeColor="text1"/>
                <w:sz w:val="18"/>
                <w:szCs w:val="18"/>
                <w:lang w:val="sl-SI" w:eastAsia="en-GB"/>
              </w:rPr>
              <w:t xml:space="preserve"> of the table that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explained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Also</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there</w:t>
            </w:r>
            <w:proofErr w:type="spellEnd"/>
            <w:r w:rsidRPr="00275FBD">
              <w:rPr>
                <w:rFonts w:ascii="Calibri" w:hAnsi="Calibri"/>
                <w:color w:val="000000" w:themeColor="text1"/>
                <w:sz w:val="18"/>
                <w:szCs w:val="18"/>
                <w:lang w:val="sl-SI" w:eastAsia="en-GB"/>
              </w:rPr>
              <w:t xml:space="preserve"> are no </w:t>
            </w:r>
            <w:proofErr w:type="spellStart"/>
            <w:r w:rsidRPr="00275FBD">
              <w:rPr>
                <w:rFonts w:ascii="Calibri" w:hAnsi="Calibri"/>
                <w:color w:val="000000" w:themeColor="text1"/>
                <w:sz w:val="18"/>
                <w:szCs w:val="18"/>
                <w:lang w:val="sl-SI" w:eastAsia="en-GB"/>
              </w:rPr>
              <w:t>upper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limits</w:t>
            </w:r>
            <w:proofErr w:type="spellEnd"/>
            <w:r w:rsidRPr="00275FBD">
              <w:rPr>
                <w:rFonts w:ascii="Calibri" w:hAnsi="Calibri"/>
                <w:color w:val="000000" w:themeColor="text1"/>
                <w:sz w:val="18"/>
                <w:szCs w:val="18"/>
                <w:lang w:val="sl-SI" w:eastAsia="en-GB"/>
              </w:rPr>
              <w:t xml:space="preserve"> for </w:t>
            </w:r>
            <w:proofErr w:type="spellStart"/>
            <w:r w:rsidRPr="00275FBD">
              <w:rPr>
                <w:rFonts w:ascii="Calibri" w:hAnsi="Calibri"/>
                <w:color w:val="000000" w:themeColor="text1"/>
                <w:sz w:val="18"/>
                <w:szCs w:val="18"/>
                <w:lang w:val="sl-SI" w:eastAsia="en-GB"/>
              </w:rPr>
              <w:t>airborne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activity</w:t>
            </w:r>
            <w:proofErr w:type="spellEnd"/>
            <w:r w:rsidRPr="00275FBD">
              <w:rPr>
                <w:rFonts w:ascii="Calibri" w:hAnsi="Calibri"/>
                <w:color w:val="000000" w:themeColor="text1"/>
                <w:sz w:val="18"/>
                <w:szCs w:val="18"/>
                <w:lang w:val="sl-SI" w:eastAsia="en-GB"/>
              </w:rPr>
              <w:t xml:space="preserve"> set in the last line, </w:t>
            </w:r>
            <w:proofErr w:type="spellStart"/>
            <w:r w:rsidRPr="00275FBD">
              <w:rPr>
                <w:rFonts w:ascii="Calibri" w:hAnsi="Calibri"/>
                <w:color w:val="000000" w:themeColor="text1"/>
                <w:sz w:val="18"/>
                <w:szCs w:val="18"/>
                <w:lang w:val="sl-SI" w:eastAsia="en-GB"/>
              </w:rPr>
              <w:t>there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be a note for </w:t>
            </w:r>
            <w:proofErr w:type="spellStart"/>
            <w:r w:rsidRPr="00275FBD">
              <w:rPr>
                <w:rFonts w:ascii="Calibri" w:hAnsi="Calibri"/>
                <w:color w:val="000000" w:themeColor="text1"/>
                <w:sz w:val="18"/>
                <w:szCs w:val="18"/>
                <w:lang w:val="sl-SI" w:eastAsia="en-GB"/>
              </w:rPr>
              <w:t>clarification</w:t>
            </w:r>
            <w:proofErr w:type="spellEnd"/>
            <w:r w:rsidRPr="00275FBD">
              <w:rPr>
                <w:rFonts w:ascii="Calibri" w:hAnsi="Calibri"/>
                <w:color w:val="000000" w:themeColor="text1"/>
                <w:sz w:val="18"/>
                <w:szCs w:val="18"/>
                <w:lang w:val="sl-SI" w:eastAsia="en-GB"/>
              </w:rPr>
              <w:t xml:space="preserve">. To </w:t>
            </w:r>
            <w:proofErr w:type="spellStart"/>
            <w:r w:rsidRPr="00275FBD">
              <w:rPr>
                <w:rFonts w:ascii="Calibri" w:hAnsi="Calibri"/>
                <w:color w:val="000000" w:themeColor="text1"/>
                <w:sz w:val="18"/>
                <w:szCs w:val="18"/>
                <w:lang w:val="sl-SI" w:eastAsia="en-GB"/>
              </w:rPr>
              <w:t>our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knowledge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there</w:t>
            </w:r>
            <w:proofErr w:type="spellEnd"/>
            <w:r w:rsidRPr="00275FBD">
              <w:rPr>
                <w:rFonts w:ascii="Calibri" w:hAnsi="Calibri"/>
                <w:color w:val="000000" w:themeColor="text1"/>
                <w:sz w:val="18"/>
                <w:szCs w:val="18"/>
                <w:lang w:val="sl-SI" w:eastAsia="en-GB"/>
              </w:rPr>
              <w:t xml:space="preserve"> is an </w:t>
            </w:r>
            <w:proofErr w:type="spellStart"/>
            <w:r w:rsidRPr="00275FBD">
              <w:rPr>
                <w:rFonts w:ascii="Calibri" w:hAnsi="Calibri"/>
                <w:color w:val="000000" w:themeColor="text1"/>
                <w:sz w:val="18"/>
                <w:szCs w:val="18"/>
                <w:lang w:val="sl-SI" w:eastAsia="en-GB"/>
              </w:rPr>
              <w:t>equipment</w:t>
            </w:r>
            <w:proofErr w:type="spellEnd"/>
            <w:r w:rsidRPr="00275FBD">
              <w:rPr>
                <w:rFonts w:ascii="Calibri" w:hAnsi="Calibri"/>
                <w:color w:val="000000" w:themeColor="text1"/>
                <w:sz w:val="18"/>
                <w:szCs w:val="18"/>
                <w:lang w:val="sl-SI" w:eastAsia="en-GB"/>
              </w:rPr>
              <w:t xml:space="preserve"> not </w:t>
            </w:r>
            <w:proofErr w:type="spellStart"/>
            <w:r w:rsidRPr="00275FBD">
              <w:rPr>
                <w:rFonts w:ascii="Calibri" w:hAnsi="Calibri"/>
                <w:color w:val="000000" w:themeColor="text1"/>
                <w:sz w:val="18"/>
                <w:szCs w:val="18"/>
                <w:lang w:val="sl-SI" w:eastAsia="en-GB"/>
              </w:rPr>
              <w:t>listed</w:t>
            </w:r>
            <w:proofErr w:type="spellEnd"/>
            <w:r w:rsidRPr="00275FBD">
              <w:rPr>
                <w:rFonts w:ascii="Calibri" w:hAnsi="Calibri"/>
                <w:color w:val="000000" w:themeColor="text1"/>
                <w:sz w:val="18"/>
                <w:szCs w:val="18"/>
                <w:lang w:val="sl-SI" w:eastAsia="en-GB"/>
              </w:rPr>
              <w:t xml:space="preserve"> in the table – </w:t>
            </w:r>
            <w:proofErr w:type="spellStart"/>
            <w:r w:rsidRPr="00275FBD">
              <w:rPr>
                <w:rFonts w:ascii="Calibri" w:hAnsi="Calibri"/>
                <w:color w:val="000000" w:themeColor="text1"/>
                <w:sz w:val="18"/>
                <w:szCs w:val="18"/>
                <w:lang w:val="sl-SI" w:eastAsia="en-GB"/>
              </w:rPr>
              <w:t>helmet</w:t>
            </w:r>
            <w:proofErr w:type="spellEnd"/>
            <w:r w:rsidRPr="00275FBD">
              <w:rPr>
                <w:rFonts w:ascii="Calibri" w:hAnsi="Calibri"/>
                <w:color w:val="000000" w:themeColor="text1"/>
                <w:sz w:val="18"/>
                <w:szCs w:val="18"/>
                <w:lang w:val="sl-SI" w:eastAsia="en-GB"/>
              </w:rPr>
              <w:t xml:space="preserve"> with </w:t>
            </w:r>
            <w:proofErr w:type="spellStart"/>
            <w:r w:rsidRPr="00275FBD">
              <w:rPr>
                <w:rFonts w:ascii="Calibri" w:hAnsi="Calibri"/>
                <w:color w:val="000000" w:themeColor="text1"/>
                <w:sz w:val="18"/>
                <w:szCs w:val="18"/>
                <w:lang w:val="sl-SI" w:eastAsia="en-GB"/>
              </w:rPr>
              <w:t>power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vizor</w:t>
            </w:r>
            <w:proofErr w:type="spellEnd"/>
            <w:r w:rsidRPr="00275FBD">
              <w:rPr>
                <w:rFonts w:ascii="Calibri" w:hAnsi="Calibri"/>
                <w:color w:val="000000" w:themeColor="text1"/>
                <w:sz w:val="18"/>
                <w:szCs w:val="18"/>
                <w:lang w:val="sl-SI" w:eastAsia="en-GB"/>
              </w:rPr>
              <w:t xml:space="preserve"> and HEPA </w:t>
            </w:r>
            <w:proofErr w:type="spellStart"/>
            <w:r w:rsidRPr="00275FBD">
              <w:rPr>
                <w:rFonts w:ascii="Calibri" w:hAnsi="Calibri"/>
                <w:color w:val="000000" w:themeColor="text1"/>
                <w:sz w:val="18"/>
                <w:szCs w:val="18"/>
                <w:lang w:val="sl-SI" w:eastAsia="en-GB"/>
              </w:rPr>
              <w:t>filtered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air</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stream</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 xml:space="preserve">OSF element: </w:t>
            </w:r>
            <w:proofErr w:type="spellStart"/>
            <w:r w:rsidRPr="00275FBD">
              <w:rPr>
                <w:rFonts w:ascii="Calibri" w:hAnsi="Calibri"/>
                <w:color w:val="000000" w:themeColor="text1"/>
                <w:sz w:val="18"/>
                <w:szCs w:val="18"/>
                <w:lang w:val="sl-SI" w:eastAsia="en-GB"/>
              </w:rPr>
              <w:t>Procedures</w:t>
            </w:r>
            <w:proofErr w:type="spellEnd"/>
            <w:r w:rsidRPr="00275FBD">
              <w:rPr>
                <w:rFonts w:ascii="Calibri" w:hAnsi="Calibri"/>
                <w:color w:val="000000" w:themeColor="text1"/>
                <w:sz w:val="18"/>
                <w:szCs w:val="18"/>
                <w:lang w:val="sl-SI" w:eastAsia="en-GB"/>
              </w:rPr>
              <w:t xml:space="preserve"> (with </w:t>
            </w:r>
            <w:proofErr w:type="spellStart"/>
            <w:r w:rsidRPr="00275FBD">
              <w:rPr>
                <w:rFonts w:ascii="Calibri" w:hAnsi="Calibri"/>
                <w:color w:val="000000" w:themeColor="text1"/>
                <w:sz w:val="18"/>
                <w:szCs w:val="18"/>
                <w:lang w:val="sl-SI" w:eastAsia="en-GB"/>
              </w:rPr>
              <w:t>regard</w:t>
            </w:r>
            <w:proofErr w:type="spellEnd"/>
            <w:r w:rsidRPr="00275FBD">
              <w:rPr>
                <w:rFonts w:ascii="Calibri" w:hAnsi="Calibri"/>
                <w:color w:val="000000" w:themeColor="text1"/>
                <w:sz w:val="18"/>
                <w:szCs w:val="18"/>
                <w:lang w:val="sl-SI" w:eastAsia="en-GB"/>
              </w:rPr>
              <w:t xml:space="preserve"> to the OSF "Radiological Protection and </w:t>
            </w:r>
            <w:proofErr w:type="spellStart"/>
            <w:r w:rsidRPr="00275FBD">
              <w:rPr>
                <w:rFonts w:ascii="Calibri" w:hAnsi="Calibri"/>
                <w:color w:val="000000" w:themeColor="text1"/>
                <w:sz w:val="18"/>
                <w:szCs w:val="18"/>
                <w:lang w:val="sl-SI" w:eastAsia="en-GB"/>
              </w:rPr>
              <w:t>Other</w:t>
            </w:r>
            <w:proofErr w:type="spellEnd"/>
            <w:r w:rsidRPr="00275FBD">
              <w:rPr>
                <w:rFonts w:ascii="Calibri" w:hAnsi="Calibri"/>
                <w:color w:val="000000" w:themeColor="text1"/>
                <w:sz w:val="18"/>
                <w:szCs w:val="18"/>
                <w:lang w:val="sl-SI" w:eastAsia="en-GB"/>
              </w:rPr>
              <w:t xml:space="preserve"> Occupational </w:t>
            </w:r>
            <w:proofErr w:type="spellStart"/>
            <w:r w:rsidRPr="00275FBD">
              <w:rPr>
                <w:rFonts w:ascii="Calibri" w:hAnsi="Calibri"/>
                <w:color w:val="000000" w:themeColor="text1"/>
                <w:sz w:val="18"/>
                <w:szCs w:val="18"/>
                <w:lang w:val="sl-SI" w:eastAsia="en-GB"/>
              </w:rPr>
              <w:t>Hazards</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relates</w:t>
            </w:r>
            <w:proofErr w:type="spellEnd"/>
            <w:r w:rsidRPr="00275FBD">
              <w:rPr>
                <w:rFonts w:ascii="Calibri" w:hAnsi="Calibri"/>
                <w:color w:val="000000" w:themeColor="text1"/>
                <w:sz w:val="18"/>
                <w:szCs w:val="18"/>
                <w:lang w:val="sl-SI" w:eastAsia="en-GB"/>
              </w:rPr>
              <w:t xml:space="preserve"> to the </w:t>
            </w:r>
            <w:proofErr w:type="spellStart"/>
            <w:r w:rsidRPr="00275FBD">
              <w:rPr>
                <w:rFonts w:ascii="Calibri" w:hAnsi="Calibri"/>
                <w:color w:val="000000" w:themeColor="text1"/>
                <w:sz w:val="18"/>
                <w:szCs w:val="18"/>
                <w:lang w:val="sl-SI" w:eastAsia="en-GB"/>
              </w:rPr>
              <w:t>current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but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also</w:t>
            </w:r>
            <w:proofErr w:type="spellEnd"/>
            <w:r w:rsidRPr="00275FBD">
              <w:rPr>
                <w:rFonts w:ascii="Calibri" w:hAnsi="Calibri"/>
                <w:color w:val="000000" w:themeColor="text1"/>
                <w:sz w:val="18"/>
                <w:szCs w:val="18"/>
                <w:lang w:val="sl-SI" w:eastAsia="en-GB"/>
              </w:rPr>
              <w:t xml:space="preserve"> to the prior status (as far as </w:t>
            </w:r>
            <w:proofErr w:type="spellStart"/>
            <w:r w:rsidRPr="00275FBD">
              <w:rPr>
                <w:rFonts w:ascii="Calibri" w:hAnsi="Calibri"/>
                <w:color w:val="000000" w:themeColor="text1"/>
                <w:sz w:val="18"/>
                <w:szCs w:val="18"/>
                <w:lang w:val="sl-SI" w:eastAsia="en-GB"/>
              </w:rPr>
              <w:t>understood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hence</w:t>
            </w:r>
            <w:proofErr w:type="spellEnd"/>
            <w:r w:rsidRPr="00275FBD">
              <w:rPr>
                <w:rFonts w:ascii="Calibri" w:hAnsi="Calibri"/>
                <w:color w:val="000000" w:themeColor="text1"/>
                <w:sz w:val="18"/>
                <w:szCs w:val="18"/>
                <w:lang w:val="sl-SI" w:eastAsia="en-GB"/>
              </w:rPr>
              <w:t xml:space="preserve"> prior risk at 3.</w:t>
            </w:r>
          </w:p>
        </w:tc>
        <w:tc>
          <w:tcPr>
            <w:tcW w:w="993" w:type="dxa"/>
          </w:tcPr>
          <w:p w14:paraId="5B107D6D"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3.3.3</w:t>
            </w:r>
          </w:p>
        </w:tc>
        <w:tc>
          <w:tcPr>
            <w:tcW w:w="5244" w:type="dxa"/>
          </w:tcPr>
          <w:p w14:paraId="22A89FB5"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The table is </w:t>
            </w:r>
            <w:proofErr w:type="spellStart"/>
            <w:r w:rsidRPr="00275FBD">
              <w:rPr>
                <w:rFonts w:ascii="Calibri" w:hAnsi="Calibri"/>
                <w:color w:val="000000"/>
                <w:sz w:val="18"/>
                <w:szCs w:val="18"/>
                <w:lang w:val="sl-SI" w:eastAsia="en-GB"/>
              </w:rPr>
              <w:t>incomplete</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ambiguous</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should</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revised</w:t>
            </w:r>
            <w:proofErr w:type="spellEnd"/>
            <w:r w:rsidRPr="00275FBD">
              <w:rPr>
                <w:rFonts w:ascii="Calibri" w:hAnsi="Calibri"/>
                <w:color w:val="000000"/>
                <w:sz w:val="18"/>
                <w:szCs w:val="18"/>
                <w:lang w:val="sl-SI" w:eastAsia="en-GB"/>
              </w:rPr>
              <w:t>.</w:t>
            </w:r>
          </w:p>
        </w:tc>
        <w:tc>
          <w:tcPr>
            <w:tcW w:w="2694" w:type="dxa"/>
          </w:tcPr>
          <w:p w14:paraId="3A03A5D1"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44D43540" w14:textId="77777777" w:rsidTr="00935B67">
        <w:tc>
          <w:tcPr>
            <w:tcW w:w="1384" w:type="dxa"/>
            <w:shd w:val="clear" w:color="auto" w:fill="DEA400"/>
          </w:tcPr>
          <w:p w14:paraId="5ECA1974"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7.1-036</w:t>
            </w:r>
          </w:p>
        </w:tc>
        <w:tc>
          <w:tcPr>
            <w:tcW w:w="3827" w:type="dxa"/>
          </w:tcPr>
          <w:p w14:paraId="0A3F6CEE" w14:textId="77777777" w:rsidR="00935B67" w:rsidRPr="00275FBD" w:rsidRDefault="00935B67" w:rsidP="00935B67">
            <w:pPr>
              <w:jc w:val="left"/>
              <w:rPr>
                <w:rFonts w:ascii="Calibri" w:hAnsi="Calibri"/>
                <w:b/>
                <w:bCs/>
                <w:color w:val="000000" w:themeColor="text1"/>
                <w:sz w:val="18"/>
                <w:szCs w:val="18"/>
                <w:lang w:val="sl-SI" w:eastAsia="en-GB"/>
              </w:rPr>
            </w:pPr>
            <w:proofErr w:type="spellStart"/>
            <w:r w:rsidRPr="00275FBD">
              <w:rPr>
                <w:rFonts w:ascii="Calibri" w:hAnsi="Calibri"/>
                <w:b/>
                <w:bCs/>
                <w:color w:val="000000" w:themeColor="text1"/>
                <w:sz w:val="18"/>
                <w:szCs w:val="18"/>
                <w:lang w:val="sl-SI" w:eastAsia="en-GB"/>
              </w:rPr>
              <w:t>Bringing</w:t>
            </w:r>
            <w:proofErr w:type="spellEnd"/>
            <w:r w:rsidRPr="00275FBD">
              <w:rPr>
                <w:rFonts w:ascii="Calibri" w:hAnsi="Calibri"/>
                <w:b/>
                <w:bCs/>
                <w:color w:val="000000" w:themeColor="text1"/>
                <w:sz w:val="18"/>
                <w:szCs w:val="18"/>
                <w:lang w:val="sl-SI" w:eastAsia="en-GB"/>
              </w:rPr>
              <w:t xml:space="preserve"> out </w:t>
            </w:r>
            <w:proofErr w:type="spellStart"/>
            <w:r w:rsidRPr="00275FBD">
              <w:rPr>
                <w:rFonts w:ascii="Calibri" w:hAnsi="Calibri"/>
                <w:b/>
                <w:bCs/>
                <w:color w:val="000000" w:themeColor="text1"/>
                <w:sz w:val="18"/>
                <w:szCs w:val="18"/>
                <w:lang w:val="sl-SI" w:eastAsia="en-GB"/>
              </w:rPr>
              <w:t>equipment</w:t>
            </w:r>
            <w:proofErr w:type="spellEnd"/>
            <w:r w:rsidRPr="00275FBD">
              <w:rPr>
                <w:rFonts w:ascii="Calibri" w:hAnsi="Calibri"/>
                <w:b/>
                <w:bCs/>
                <w:color w:val="000000" w:themeColor="text1"/>
                <w:sz w:val="18"/>
                <w:szCs w:val="18"/>
                <w:lang w:val="sl-SI" w:eastAsia="en-GB"/>
              </w:rPr>
              <w:t xml:space="preserve"> from RCA</w:t>
            </w:r>
            <w:r w:rsidRPr="00275FBD">
              <w:rPr>
                <w:rFonts w:ascii="Calibri" w:hAnsi="Calibri"/>
                <w:color w:val="000000" w:themeColor="text1"/>
                <w:sz w:val="18"/>
                <w:szCs w:val="18"/>
                <w:lang w:val="sl-SI" w:eastAsia="en-GB"/>
              </w:rPr>
              <w:t xml:space="preserve">. In the procedure ADP-1.7.005 the </w:t>
            </w:r>
            <w:proofErr w:type="spellStart"/>
            <w:r w:rsidRPr="00275FBD">
              <w:rPr>
                <w:rFonts w:ascii="Calibri" w:hAnsi="Calibri"/>
                <w:color w:val="000000" w:themeColor="text1"/>
                <w:sz w:val="18"/>
                <w:szCs w:val="18"/>
                <w:lang w:val="sl-SI" w:eastAsia="en-GB"/>
              </w:rPr>
              <w:t>Decree</w:t>
            </w:r>
            <w:proofErr w:type="spellEnd"/>
            <w:r w:rsidRPr="00275FBD">
              <w:rPr>
                <w:rFonts w:ascii="Calibri" w:hAnsi="Calibri"/>
                <w:color w:val="000000" w:themeColor="text1"/>
                <w:sz w:val="18"/>
                <w:szCs w:val="18"/>
                <w:lang w:val="sl-SI" w:eastAsia="en-GB"/>
              </w:rPr>
              <w:t xml:space="preserve"> UV2 is </w:t>
            </w:r>
            <w:proofErr w:type="spellStart"/>
            <w:r w:rsidRPr="00275FBD">
              <w:rPr>
                <w:rFonts w:ascii="Calibri" w:hAnsi="Calibri"/>
                <w:color w:val="000000" w:themeColor="text1"/>
                <w:sz w:val="18"/>
                <w:szCs w:val="18"/>
                <w:lang w:val="sl-SI" w:eastAsia="en-GB"/>
              </w:rPr>
              <w:t>missing</w:t>
            </w:r>
            <w:proofErr w:type="spellEnd"/>
            <w:r w:rsidRPr="00275FBD">
              <w:rPr>
                <w:rFonts w:ascii="Calibri" w:hAnsi="Calibri"/>
                <w:color w:val="000000" w:themeColor="text1"/>
                <w:sz w:val="18"/>
                <w:szCs w:val="18"/>
                <w:lang w:val="sl-SI" w:eastAsia="en-GB"/>
              </w:rPr>
              <w:t xml:space="preserve"> in the </w:t>
            </w:r>
            <w:proofErr w:type="spellStart"/>
            <w:r w:rsidRPr="00275FBD">
              <w:rPr>
                <w:rFonts w:ascii="Calibri" w:hAnsi="Calibri"/>
                <w:color w:val="000000" w:themeColor="text1"/>
                <w:sz w:val="18"/>
                <w:szCs w:val="18"/>
                <w:lang w:val="sl-SI" w:eastAsia="en-GB"/>
              </w:rPr>
              <w:t>references</w:t>
            </w:r>
            <w:proofErr w:type="spellEnd"/>
            <w:r w:rsidRPr="00275FBD">
              <w:rPr>
                <w:rFonts w:ascii="Calibri" w:hAnsi="Calibri"/>
                <w:color w:val="000000" w:themeColor="text1"/>
                <w:sz w:val="18"/>
                <w:szCs w:val="18"/>
                <w:lang w:val="sl-SI" w:eastAsia="en-GB"/>
              </w:rPr>
              <w:t xml:space="preserve">. In ADP-1.7.005 4.1.3 </w:t>
            </w:r>
            <w:proofErr w:type="spellStart"/>
            <w:r w:rsidRPr="00275FBD">
              <w:rPr>
                <w:rFonts w:ascii="Calibri" w:hAnsi="Calibri"/>
                <w:color w:val="000000" w:themeColor="text1"/>
                <w:sz w:val="18"/>
                <w:szCs w:val="18"/>
                <w:lang w:val="sl-SI" w:eastAsia="en-GB"/>
              </w:rPr>
              <w:t>provisions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regarding</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unconditional</w:t>
            </w:r>
            <w:proofErr w:type="spellEnd"/>
            <w:r w:rsidRPr="00275FBD">
              <w:rPr>
                <w:rFonts w:ascii="Calibri" w:hAnsi="Calibri"/>
                <w:color w:val="000000" w:themeColor="text1"/>
                <w:sz w:val="18"/>
                <w:szCs w:val="18"/>
                <w:lang w:val="sl-SI" w:eastAsia="en-GB"/>
              </w:rPr>
              <w:t xml:space="preserve"> use of </w:t>
            </w:r>
            <w:proofErr w:type="spellStart"/>
            <w:r w:rsidRPr="00275FBD">
              <w:rPr>
                <w:rFonts w:ascii="Calibri" w:hAnsi="Calibri"/>
                <w:color w:val="000000" w:themeColor="text1"/>
                <w:sz w:val="18"/>
                <w:szCs w:val="18"/>
                <w:lang w:val="sl-SI" w:eastAsia="en-GB"/>
              </w:rPr>
              <w:t>equipment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follows</w:t>
            </w:r>
            <w:proofErr w:type="spellEnd"/>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provisions</w:t>
            </w:r>
            <w:proofErr w:type="spellEnd"/>
            <w:r w:rsidRPr="00275FBD">
              <w:rPr>
                <w:rFonts w:ascii="Calibri" w:hAnsi="Calibri"/>
                <w:color w:val="000000" w:themeColor="text1"/>
                <w:sz w:val="18"/>
                <w:szCs w:val="18"/>
                <w:lang w:val="sl-SI" w:eastAsia="en-GB"/>
              </w:rPr>
              <w:t xml:space="preserve"> of </w:t>
            </w:r>
            <w:proofErr w:type="spellStart"/>
            <w:r w:rsidRPr="00275FBD">
              <w:rPr>
                <w:rFonts w:ascii="Calibri" w:hAnsi="Calibri"/>
                <w:color w:val="000000" w:themeColor="text1"/>
                <w:sz w:val="18"/>
                <w:szCs w:val="18"/>
                <w:lang w:val="sl-SI" w:eastAsia="en-GB"/>
              </w:rPr>
              <w:t>Article</w:t>
            </w:r>
            <w:proofErr w:type="spellEnd"/>
            <w:r w:rsidRPr="00275FBD">
              <w:rPr>
                <w:rFonts w:ascii="Calibri" w:hAnsi="Calibri"/>
                <w:color w:val="000000" w:themeColor="text1"/>
                <w:sz w:val="18"/>
                <w:szCs w:val="18"/>
                <w:lang w:val="sl-SI" w:eastAsia="en-GB"/>
              </w:rPr>
              <w:t xml:space="preserve"> 21 of UV2, </w:t>
            </w:r>
            <w:proofErr w:type="spellStart"/>
            <w:r w:rsidRPr="00275FBD">
              <w:rPr>
                <w:rFonts w:ascii="Calibri" w:hAnsi="Calibri"/>
                <w:color w:val="000000" w:themeColor="text1"/>
                <w:sz w:val="18"/>
                <w:szCs w:val="18"/>
                <w:lang w:val="sl-SI" w:eastAsia="en-GB"/>
              </w:rPr>
              <w:t>however</w:t>
            </w:r>
            <w:proofErr w:type="spellEnd"/>
            <w:r w:rsidRPr="00275FBD">
              <w:rPr>
                <w:rFonts w:ascii="Calibri" w:hAnsi="Calibri"/>
                <w:color w:val="000000" w:themeColor="text1"/>
                <w:sz w:val="18"/>
                <w:szCs w:val="18"/>
                <w:lang w:val="sl-SI" w:eastAsia="en-GB"/>
              </w:rPr>
              <w:t xml:space="preserve"> the conditions of </w:t>
            </w:r>
            <w:proofErr w:type="spellStart"/>
            <w:r w:rsidRPr="00275FBD">
              <w:rPr>
                <w:rFonts w:ascii="Calibri" w:hAnsi="Calibri"/>
                <w:color w:val="000000" w:themeColor="text1"/>
                <w:sz w:val="18"/>
                <w:szCs w:val="18"/>
                <w:lang w:val="sl-SI" w:eastAsia="en-GB"/>
              </w:rPr>
              <w:t>dose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rate</w:t>
            </w:r>
            <w:proofErr w:type="spellEnd"/>
            <w:r w:rsidRPr="00275FBD">
              <w:rPr>
                <w:rFonts w:ascii="Calibri" w:hAnsi="Calibri"/>
                <w:color w:val="000000" w:themeColor="text1"/>
                <w:sz w:val="18"/>
                <w:szCs w:val="18"/>
                <w:lang w:val="sl-SI" w:eastAsia="en-GB"/>
              </w:rPr>
              <w:t xml:space="preserve"> are </w:t>
            </w:r>
            <w:proofErr w:type="spellStart"/>
            <w:r w:rsidRPr="00275FBD">
              <w:rPr>
                <w:rFonts w:ascii="Calibri" w:hAnsi="Calibri"/>
                <w:color w:val="000000" w:themeColor="text1"/>
                <w:sz w:val="18"/>
                <w:szCs w:val="18"/>
                <w:lang w:val="sl-SI" w:eastAsia="en-GB"/>
              </w:rPr>
              <w:t>missing</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below</w:t>
            </w:r>
            <w:proofErr w:type="spellEnd"/>
            <w:r w:rsidRPr="00275FBD">
              <w:rPr>
                <w:rFonts w:ascii="Calibri" w:hAnsi="Calibri"/>
                <w:color w:val="000000" w:themeColor="text1"/>
                <w:sz w:val="18"/>
                <w:szCs w:val="18"/>
                <w:lang w:val="sl-SI" w:eastAsia="en-GB"/>
              </w:rPr>
              <w:t xml:space="preserve"> 1 and 0,1 µSv/h at 10 cm and 1 m distance, </w:t>
            </w:r>
            <w:proofErr w:type="spellStart"/>
            <w:r w:rsidRPr="00275FBD">
              <w:rPr>
                <w:rFonts w:ascii="Calibri" w:hAnsi="Calibri"/>
                <w:color w:val="000000" w:themeColor="text1"/>
                <w:sz w:val="18"/>
                <w:szCs w:val="18"/>
                <w:lang w:val="sl-SI" w:eastAsia="en-GB"/>
              </w:rPr>
              <w:t>respectively</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 xml:space="preserve">OSF element: </w:t>
            </w:r>
            <w:proofErr w:type="spellStart"/>
            <w:r w:rsidRPr="00275FBD">
              <w:rPr>
                <w:rFonts w:ascii="Calibri" w:hAnsi="Calibri"/>
                <w:color w:val="000000" w:themeColor="text1"/>
                <w:sz w:val="18"/>
                <w:szCs w:val="18"/>
                <w:lang w:val="sl-SI" w:eastAsia="en-GB"/>
              </w:rPr>
              <w:t>Procedures</w:t>
            </w:r>
            <w:proofErr w:type="spellEnd"/>
            <w:r w:rsidRPr="00275FBD">
              <w:rPr>
                <w:rFonts w:ascii="Calibri" w:hAnsi="Calibri"/>
                <w:color w:val="000000" w:themeColor="text1"/>
                <w:sz w:val="18"/>
                <w:szCs w:val="18"/>
                <w:lang w:val="sl-SI" w:eastAsia="en-GB"/>
              </w:rPr>
              <w:t xml:space="preserve"> (with </w:t>
            </w:r>
            <w:proofErr w:type="spellStart"/>
            <w:r w:rsidRPr="00275FBD">
              <w:rPr>
                <w:rFonts w:ascii="Calibri" w:hAnsi="Calibri"/>
                <w:color w:val="000000" w:themeColor="text1"/>
                <w:sz w:val="18"/>
                <w:szCs w:val="18"/>
                <w:lang w:val="sl-SI" w:eastAsia="en-GB"/>
              </w:rPr>
              <w:t>regard</w:t>
            </w:r>
            <w:proofErr w:type="spellEnd"/>
            <w:r w:rsidRPr="00275FBD">
              <w:rPr>
                <w:rFonts w:ascii="Calibri" w:hAnsi="Calibri"/>
                <w:color w:val="000000" w:themeColor="text1"/>
                <w:sz w:val="18"/>
                <w:szCs w:val="18"/>
                <w:lang w:val="sl-SI" w:eastAsia="en-GB"/>
              </w:rPr>
              <w:t xml:space="preserve"> to the OSF "Radiological Protection and </w:t>
            </w:r>
            <w:proofErr w:type="spellStart"/>
            <w:r w:rsidRPr="00275FBD">
              <w:rPr>
                <w:rFonts w:ascii="Calibri" w:hAnsi="Calibri"/>
                <w:color w:val="000000" w:themeColor="text1"/>
                <w:sz w:val="18"/>
                <w:szCs w:val="18"/>
                <w:lang w:val="sl-SI" w:eastAsia="en-GB"/>
              </w:rPr>
              <w:t>Other</w:t>
            </w:r>
            <w:proofErr w:type="spellEnd"/>
            <w:r w:rsidRPr="00275FBD">
              <w:rPr>
                <w:rFonts w:ascii="Calibri" w:hAnsi="Calibri"/>
                <w:color w:val="000000" w:themeColor="text1"/>
                <w:sz w:val="18"/>
                <w:szCs w:val="18"/>
                <w:lang w:val="sl-SI" w:eastAsia="en-GB"/>
              </w:rPr>
              <w:t xml:space="preserve"> Occupational </w:t>
            </w:r>
            <w:proofErr w:type="spellStart"/>
            <w:r w:rsidRPr="00275FBD">
              <w:rPr>
                <w:rFonts w:ascii="Calibri" w:hAnsi="Calibri"/>
                <w:color w:val="000000" w:themeColor="text1"/>
                <w:sz w:val="18"/>
                <w:szCs w:val="18"/>
                <w:lang w:val="sl-SI" w:eastAsia="en-GB"/>
              </w:rPr>
              <w:t>Hazards</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relates</w:t>
            </w:r>
            <w:proofErr w:type="spellEnd"/>
            <w:r w:rsidRPr="00275FBD">
              <w:rPr>
                <w:rFonts w:ascii="Calibri" w:hAnsi="Calibri"/>
                <w:color w:val="000000" w:themeColor="text1"/>
                <w:sz w:val="18"/>
                <w:szCs w:val="18"/>
                <w:lang w:val="sl-SI" w:eastAsia="en-GB"/>
              </w:rPr>
              <w:t xml:space="preserve"> to the </w:t>
            </w:r>
            <w:proofErr w:type="spellStart"/>
            <w:r w:rsidRPr="00275FBD">
              <w:rPr>
                <w:rFonts w:ascii="Calibri" w:hAnsi="Calibri"/>
                <w:color w:val="000000" w:themeColor="text1"/>
                <w:sz w:val="18"/>
                <w:szCs w:val="18"/>
                <w:lang w:val="sl-SI" w:eastAsia="en-GB"/>
              </w:rPr>
              <w:t>current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but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also</w:t>
            </w:r>
            <w:proofErr w:type="spellEnd"/>
            <w:r w:rsidRPr="00275FBD">
              <w:rPr>
                <w:rFonts w:ascii="Calibri" w:hAnsi="Calibri"/>
                <w:color w:val="000000" w:themeColor="text1"/>
                <w:sz w:val="18"/>
                <w:szCs w:val="18"/>
                <w:lang w:val="sl-SI" w:eastAsia="en-GB"/>
              </w:rPr>
              <w:t xml:space="preserve"> to the prior </w:t>
            </w:r>
            <w:r w:rsidRPr="00275FBD">
              <w:rPr>
                <w:rFonts w:ascii="Calibri" w:hAnsi="Calibri"/>
                <w:color w:val="000000" w:themeColor="text1"/>
                <w:sz w:val="18"/>
                <w:szCs w:val="18"/>
                <w:lang w:val="sl-SI" w:eastAsia="en-GB"/>
              </w:rPr>
              <w:lastRenderedPageBreak/>
              <w:t xml:space="preserve">status (as far as </w:t>
            </w:r>
            <w:proofErr w:type="spellStart"/>
            <w:r w:rsidRPr="00275FBD">
              <w:rPr>
                <w:rFonts w:ascii="Calibri" w:hAnsi="Calibri"/>
                <w:color w:val="000000" w:themeColor="text1"/>
                <w:sz w:val="18"/>
                <w:szCs w:val="18"/>
                <w:lang w:val="sl-SI" w:eastAsia="en-GB"/>
              </w:rPr>
              <w:t>understood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hence</w:t>
            </w:r>
            <w:proofErr w:type="spellEnd"/>
            <w:r w:rsidRPr="00275FBD">
              <w:rPr>
                <w:rFonts w:ascii="Calibri" w:hAnsi="Calibri"/>
                <w:color w:val="000000" w:themeColor="text1"/>
                <w:sz w:val="18"/>
                <w:szCs w:val="18"/>
                <w:lang w:val="sl-SI" w:eastAsia="en-GB"/>
              </w:rPr>
              <w:t xml:space="preserve"> prior risk at 3.</w:t>
            </w:r>
          </w:p>
        </w:tc>
        <w:tc>
          <w:tcPr>
            <w:tcW w:w="993" w:type="dxa"/>
          </w:tcPr>
          <w:p w14:paraId="3E42AE9E"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lastRenderedPageBreak/>
              <w:t>3.3.4</w:t>
            </w:r>
          </w:p>
        </w:tc>
        <w:tc>
          <w:tcPr>
            <w:tcW w:w="5244" w:type="dxa"/>
          </w:tcPr>
          <w:p w14:paraId="1F31BA2B" w14:textId="77777777" w:rsidR="00935B67" w:rsidRPr="00275FBD" w:rsidRDefault="00935B67" w:rsidP="00935B67">
            <w:pPr>
              <w:jc w:val="left"/>
              <w:rPr>
                <w:rFonts w:ascii="Calibri" w:hAnsi="Calibri"/>
                <w:color w:val="000000"/>
                <w:sz w:val="18"/>
                <w:szCs w:val="18"/>
                <w:lang w:val="sl-SI" w:eastAsia="en-GB"/>
              </w:rPr>
            </w:pPr>
            <w:proofErr w:type="spellStart"/>
            <w:r w:rsidRPr="00275FBD">
              <w:rPr>
                <w:rFonts w:ascii="Calibri" w:hAnsi="Calibri"/>
                <w:color w:val="000000"/>
                <w:sz w:val="18"/>
                <w:szCs w:val="18"/>
                <w:lang w:val="sl-SI" w:eastAsia="en-GB"/>
              </w:rPr>
              <w:t>Provisions</w:t>
            </w:r>
            <w:proofErr w:type="spellEnd"/>
            <w:r w:rsidRPr="00275FBD">
              <w:rPr>
                <w:rFonts w:ascii="Calibri" w:hAnsi="Calibri"/>
                <w:color w:val="000000"/>
                <w:sz w:val="18"/>
                <w:szCs w:val="18"/>
                <w:lang w:val="sl-SI" w:eastAsia="en-GB"/>
              </w:rPr>
              <w:t xml:space="preserve"> of UV2 </w:t>
            </w:r>
            <w:proofErr w:type="spellStart"/>
            <w:r w:rsidRPr="00275FBD">
              <w:rPr>
                <w:rFonts w:ascii="Calibri" w:hAnsi="Calibri"/>
                <w:color w:val="000000"/>
                <w:sz w:val="18"/>
                <w:szCs w:val="18"/>
                <w:lang w:val="sl-SI" w:eastAsia="en-GB"/>
              </w:rPr>
              <w:t>must</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followed</w:t>
            </w:r>
            <w:proofErr w:type="spellEnd"/>
            <w:r w:rsidRPr="00275FBD">
              <w:rPr>
                <w:rFonts w:ascii="Calibri" w:hAnsi="Calibri"/>
                <w:color w:val="000000"/>
                <w:sz w:val="18"/>
                <w:szCs w:val="18"/>
                <w:lang w:val="sl-SI" w:eastAsia="en-GB"/>
              </w:rPr>
              <w:t xml:space="preserve"> in </w:t>
            </w:r>
            <w:proofErr w:type="spellStart"/>
            <w:r w:rsidRPr="00275FBD">
              <w:rPr>
                <w:rFonts w:ascii="Calibri" w:hAnsi="Calibri"/>
                <w:color w:val="000000"/>
                <w:sz w:val="18"/>
                <w:szCs w:val="18"/>
                <w:lang w:val="sl-SI" w:eastAsia="en-GB"/>
              </w:rPr>
              <w:t>their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entirety</w:t>
            </w:r>
            <w:proofErr w:type="spellEnd"/>
            <w:r w:rsidRPr="00275FBD">
              <w:rPr>
                <w:rFonts w:ascii="Calibri" w:hAnsi="Calibri"/>
                <w:color w:val="000000"/>
                <w:sz w:val="18"/>
                <w:szCs w:val="18"/>
                <w:lang w:val="sl-SI" w:eastAsia="en-GB"/>
              </w:rPr>
              <w:t>.</w:t>
            </w:r>
          </w:p>
        </w:tc>
        <w:tc>
          <w:tcPr>
            <w:tcW w:w="2694" w:type="dxa"/>
          </w:tcPr>
          <w:p w14:paraId="51BFC422"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4A527214" w14:textId="77777777" w:rsidTr="00935B67">
        <w:tc>
          <w:tcPr>
            <w:tcW w:w="1384" w:type="dxa"/>
            <w:shd w:val="clear" w:color="auto" w:fill="DEA400"/>
          </w:tcPr>
          <w:p w14:paraId="1C0BBD7B"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sz w:val="18"/>
                <w:szCs w:val="18"/>
                <w:lang w:val="sl-SI" w:eastAsia="en-GB"/>
              </w:rPr>
              <w:t>PSR3 7.1-039</w:t>
            </w:r>
          </w:p>
        </w:tc>
        <w:tc>
          <w:tcPr>
            <w:tcW w:w="3827" w:type="dxa"/>
          </w:tcPr>
          <w:p w14:paraId="0970DA60"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Ban of transparent </w:t>
            </w:r>
            <w:proofErr w:type="spellStart"/>
            <w:r w:rsidRPr="00275FBD">
              <w:rPr>
                <w:rFonts w:ascii="Calibri" w:hAnsi="Calibri"/>
                <w:color w:val="000000"/>
                <w:sz w:val="18"/>
                <w:szCs w:val="18"/>
                <w:lang w:val="sl-SI" w:eastAsia="en-GB"/>
              </w:rPr>
              <w:t>foils</w:t>
            </w:r>
            <w:proofErr w:type="spellEnd"/>
            <w:r w:rsidRPr="00275FBD">
              <w:rPr>
                <w:rFonts w:ascii="Calibri" w:hAnsi="Calibri"/>
                <w:color w:val="000000"/>
                <w:sz w:val="18"/>
                <w:szCs w:val="18"/>
                <w:lang w:val="sl-SI" w:eastAsia="en-GB"/>
              </w:rPr>
              <w:t xml:space="preserve"> in the </w:t>
            </w:r>
            <w:proofErr w:type="spellStart"/>
            <w:r w:rsidRPr="00275FBD">
              <w:rPr>
                <w:rFonts w:ascii="Calibri" w:hAnsi="Calibri"/>
                <w:color w:val="000000"/>
                <w:sz w:val="18"/>
                <w:szCs w:val="18"/>
                <w:lang w:val="sl-SI" w:eastAsia="en-GB"/>
              </w:rPr>
              <w:t>radiologically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controlled</w:t>
            </w:r>
            <w:proofErr w:type="spellEnd"/>
            <w:r w:rsidRPr="00275FBD">
              <w:rPr>
                <w:rFonts w:ascii="Calibri" w:hAnsi="Calibri"/>
                <w:color w:val="000000"/>
                <w:sz w:val="18"/>
                <w:szCs w:val="18"/>
                <w:lang w:val="sl-SI" w:eastAsia="en-GB"/>
              </w:rPr>
              <w:t xml:space="preserve"> area; </w:t>
            </w:r>
            <w:proofErr w:type="spellStart"/>
            <w:r w:rsidRPr="00275FBD">
              <w:rPr>
                <w:rFonts w:ascii="Calibri" w:hAnsi="Calibri"/>
                <w:color w:val="000000"/>
                <w:sz w:val="18"/>
                <w:szCs w:val="18"/>
                <w:lang w:val="sl-SI" w:eastAsia="en-GB"/>
              </w:rPr>
              <w:t>Systems</w:t>
            </w:r>
            <w:proofErr w:type="spellEnd"/>
            <w:r w:rsidRPr="00275FBD">
              <w:rPr>
                <w:rFonts w:ascii="Calibri" w:hAnsi="Calibri"/>
                <w:color w:val="000000"/>
                <w:sz w:val="18"/>
                <w:szCs w:val="18"/>
                <w:lang w:val="sl-SI" w:eastAsia="en-GB"/>
              </w:rPr>
              <w:t xml:space="preserve"> / </w:t>
            </w:r>
            <w:proofErr w:type="spellStart"/>
            <w:r w:rsidRPr="00275FBD">
              <w:rPr>
                <w:rFonts w:ascii="Calibri" w:hAnsi="Calibri"/>
                <w:color w:val="000000"/>
                <w:sz w:val="18"/>
                <w:szCs w:val="18"/>
                <w:lang w:val="sl-SI" w:eastAsia="en-GB"/>
              </w:rPr>
              <w:t>functions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Decay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heat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removal</w:t>
            </w:r>
            <w:proofErr w:type="spellEnd"/>
            <w:r w:rsidRPr="00275FBD">
              <w:rPr>
                <w:rFonts w:ascii="Calibri" w:hAnsi="Calibri"/>
                <w:color w:val="000000"/>
                <w:sz w:val="18"/>
                <w:szCs w:val="18"/>
                <w:lang w:val="sl-SI" w:eastAsia="en-GB"/>
              </w:rPr>
              <w:t xml:space="preserve"> / Health </w:t>
            </w:r>
            <w:proofErr w:type="spellStart"/>
            <w:r w:rsidRPr="00275FBD">
              <w:rPr>
                <w:rFonts w:ascii="Calibri" w:hAnsi="Calibri"/>
                <w:color w:val="000000"/>
                <w:sz w:val="18"/>
                <w:szCs w:val="18"/>
                <w:lang w:val="sl-SI" w:eastAsia="en-GB"/>
              </w:rPr>
              <w:t>protection</w:t>
            </w:r>
            <w:proofErr w:type="spellEnd"/>
            <w:r w:rsidRPr="00275FBD">
              <w:rPr>
                <w:rFonts w:ascii="Calibri" w:hAnsi="Calibri"/>
                <w:color w:val="000000"/>
                <w:sz w:val="18"/>
                <w:szCs w:val="18"/>
                <w:lang w:val="sl-SI" w:eastAsia="en-GB"/>
              </w:rPr>
              <w:t xml:space="preserve"> of </w:t>
            </w:r>
            <w:proofErr w:type="spellStart"/>
            <w:r w:rsidRPr="00275FBD">
              <w:rPr>
                <w:rFonts w:ascii="Calibri" w:hAnsi="Calibri"/>
                <w:color w:val="000000"/>
                <w:sz w:val="18"/>
                <w:szCs w:val="18"/>
                <w:lang w:val="sl-SI" w:eastAsia="en-GB"/>
              </w:rPr>
              <w:t>workers</w:t>
            </w:r>
            <w:proofErr w:type="spellEnd"/>
            <w:r w:rsidRPr="00275FBD">
              <w:rPr>
                <w:rFonts w:ascii="Calibri" w:hAnsi="Calibri"/>
                <w:color w:val="000000"/>
                <w:sz w:val="18"/>
                <w:szCs w:val="18"/>
                <w:lang w:val="sl-SI" w:eastAsia="en-GB"/>
              </w:rPr>
              <w:t xml:space="preserve">; Risk / DOD </w:t>
            </w:r>
            <w:proofErr w:type="spellStart"/>
            <w:r w:rsidRPr="00275FBD">
              <w:rPr>
                <w:rFonts w:ascii="Calibri" w:hAnsi="Calibri"/>
                <w:color w:val="000000"/>
                <w:sz w:val="18"/>
                <w:szCs w:val="18"/>
                <w:lang w:val="sl-SI" w:eastAsia="en-GB"/>
              </w:rPr>
              <w:t>significance</w:t>
            </w:r>
            <w:proofErr w:type="spellEnd"/>
            <w:r w:rsidRPr="00275FBD">
              <w:rPr>
                <w:rFonts w:ascii="Calibri" w:hAnsi="Calibri"/>
                <w:color w:val="000000"/>
                <w:sz w:val="18"/>
                <w:szCs w:val="18"/>
                <w:lang w:val="sl-SI" w:eastAsia="en-GB"/>
              </w:rPr>
              <w:t>: TL.</w:t>
            </w:r>
          </w:p>
        </w:tc>
        <w:tc>
          <w:tcPr>
            <w:tcW w:w="993" w:type="dxa"/>
          </w:tcPr>
          <w:p w14:paraId="49763B50"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3.3.3</w:t>
            </w:r>
          </w:p>
        </w:tc>
        <w:tc>
          <w:tcPr>
            <w:tcW w:w="5244" w:type="dxa"/>
          </w:tcPr>
          <w:p w14:paraId="57CE4CDE"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Practical </w:t>
            </w:r>
            <w:proofErr w:type="spellStart"/>
            <w:r w:rsidRPr="00275FBD">
              <w:rPr>
                <w:rFonts w:ascii="Calibri" w:hAnsi="Calibri"/>
                <w:color w:val="000000"/>
                <w:sz w:val="18"/>
                <w:szCs w:val="18"/>
                <w:lang w:val="sl-SI" w:eastAsia="en-GB"/>
              </w:rPr>
              <w:t>precaution</w:t>
            </w:r>
            <w:proofErr w:type="spellEnd"/>
            <w:r w:rsidRPr="00275FBD">
              <w:rPr>
                <w:rFonts w:ascii="Calibri" w:hAnsi="Calibri"/>
                <w:color w:val="000000"/>
                <w:sz w:val="18"/>
                <w:szCs w:val="18"/>
                <w:lang w:val="sl-SI" w:eastAsia="en-GB"/>
              </w:rPr>
              <w:t xml:space="preserve"> and a </w:t>
            </w:r>
            <w:proofErr w:type="spellStart"/>
            <w:r w:rsidRPr="00275FBD">
              <w:rPr>
                <w:rFonts w:ascii="Calibri" w:hAnsi="Calibri"/>
                <w:color w:val="000000"/>
                <w:sz w:val="18"/>
                <w:szCs w:val="18"/>
                <w:lang w:val="sl-SI" w:eastAsia="en-GB"/>
              </w:rPr>
              <w:t>very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low</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effort</w:t>
            </w:r>
            <w:proofErr w:type="spellEnd"/>
            <w:r w:rsidRPr="00275FBD">
              <w:rPr>
                <w:rFonts w:ascii="Calibri" w:hAnsi="Calibri"/>
                <w:color w:val="000000"/>
                <w:sz w:val="18"/>
                <w:szCs w:val="18"/>
                <w:lang w:val="sl-SI" w:eastAsia="en-GB"/>
              </w:rPr>
              <w:t xml:space="preserve"> to </w:t>
            </w:r>
            <w:proofErr w:type="spellStart"/>
            <w:r w:rsidRPr="00275FBD">
              <w:rPr>
                <w:rFonts w:ascii="Calibri" w:hAnsi="Calibri"/>
                <w:color w:val="000000"/>
                <w:sz w:val="18"/>
                <w:szCs w:val="18"/>
                <w:lang w:val="sl-SI" w:eastAsia="en-GB"/>
              </w:rPr>
              <w:t>implement</w:t>
            </w:r>
            <w:proofErr w:type="spellEnd"/>
            <w:r w:rsidRPr="00275FBD">
              <w:rPr>
                <w:rFonts w:ascii="Calibri" w:hAnsi="Calibri"/>
                <w:color w:val="000000"/>
                <w:sz w:val="18"/>
                <w:szCs w:val="18"/>
                <w:lang w:val="sl-SI" w:eastAsia="en-GB"/>
              </w:rPr>
              <w:t xml:space="preserve"> in the future.</w:t>
            </w:r>
          </w:p>
        </w:tc>
        <w:tc>
          <w:tcPr>
            <w:tcW w:w="2694" w:type="dxa"/>
          </w:tcPr>
          <w:p w14:paraId="2067D491"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51CE1DF9" w14:textId="77777777" w:rsidTr="00935B67">
        <w:tc>
          <w:tcPr>
            <w:tcW w:w="1384" w:type="dxa"/>
            <w:shd w:val="clear" w:color="auto" w:fill="DEA400"/>
          </w:tcPr>
          <w:p w14:paraId="57EF33F8"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7.1-041</w:t>
            </w:r>
          </w:p>
        </w:tc>
        <w:tc>
          <w:tcPr>
            <w:tcW w:w="3827" w:type="dxa"/>
          </w:tcPr>
          <w:p w14:paraId="0EA98E9C" w14:textId="77777777" w:rsidR="00935B67" w:rsidRPr="00275FBD" w:rsidRDefault="00935B67" w:rsidP="00935B67">
            <w:pPr>
              <w:jc w:val="left"/>
              <w:rPr>
                <w:rFonts w:ascii="Calibri" w:hAnsi="Calibri"/>
                <w:b/>
                <w:bCs/>
                <w:color w:val="000000" w:themeColor="text1"/>
                <w:sz w:val="18"/>
                <w:szCs w:val="18"/>
                <w:lang w:val="sl-SI" w:eastAsia="en-GB"/>
              </w:rPr>
            </w:pPr>
            <w:r w:rsidRPr="00275FBD">
              <w:rPr>
                <w:rFonts w:ascii="Calibri" w:hAnsi="Calibri"/>
                <w:b/>
                <w:bCs/>
                <w:color w:val="000000" w:themeColor="text1"/>
                <w:sz w:val="18"/>
                <w:szCs w:val="18"/>
                <w:lang w:val="sl-SI" w:eastAsia="en-GB"/>
              </w:rPr>
              <w:t xml:space="preserve">New </w:t>
            </w:r>
            <w:proofErr w:type="spellStart"/>
            <w:r w:rsidRPr="00275FBD">
              <w:rPr>
                <w:rFonts w:ascii="Calibri" w:hAnsi="Calibri"/>
                <w:b/>
                <w:bCs/>
                <w:color w:val="000000" w:themeColor="text1"/>
                <w:sz w:val="18"/>
                <w:szCs w:val="18"/>
                <w:lang w:val="sl-SI" w:eastAsia="en-GB"/>
              </w:rPr>
              <w:t>tissue</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weighting</w:t>
            </w:r>
            <w:proofErr w:type="spellEnd"/>
            <w:r w:rsidRPr="00275FBD">
              <w:rPr>
                <w:rFonts w:ascii="Calibri" w:hAnsi="Calibri"/>
                <w:b/>
                <w:bCs/>
                <w:color w:val="000000" w:themeColor="text1"/>
                <w:sz w:val="18"/>
                <w:szCs w:val="18"/>
                <w:lang w:val="sl-SI" w:eastAsia="en-GB"/>
              </w:rPr>
              <w:t xml:space="preserve"> </w:t>
            </w:r>
            <w:proofErr w:type="spellStart"/>
            <w:r w:rsidRPr="00275FBD">
              <w:rPr>
                <w:rFonts w:ascii="Calibri" w:hAnsi="Calibri"/>
                <w:b/>
                <w:bCs/>
                <w:color w:val="000000" w:themeColor="text1"/>
                <w:sz w:val="18"/>
                <w:szCs w:val="18"/>
                <w:lang w:val="sl-SI" w:eastAsia="en-GB"/>
              </w:rPr>
              <w:t>factors</w:t>
            </w:r>
            <w:proofErr w:type="spellEnd"/>
            <w:r w:rsidRPr="00275FBD">
              <w:rPr>
                <w:rFonts w:ascii="Calibri" w:hAnsi="Calibri"/>
                <w:color w:val="000000" w:themeColor="text1"/>
                <w:sz w:val="18"/>
                <w:szCs w:val="18"/>
                <w:lang w:val="sl-SI" w:eastAsia="en-GB"/>
              </w:rPr>
              <w:t xml:space="preserve">. The </w:t>
            </w:r>
            <w:proofErr w:type="spellStart"/>
            <w:r w:rsidRPr="00275FBD">
              <w:rPr>
                <w:rFonts w:ascii="Calibri" w:hAnsi="Calibri"/>
                <w:color w:val="000000" w:themeColor="text1"/>
                <w:sz w:val="18"/>
                <w:szCs w:val="18"/>
                <w:lang w:val="sl-SI" w:eastAsia="en-GB"/>
              </w:rPr>
              <w:t>amended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Decree</w:t>
            </w:r>
            <w:proofErr w:type="spellEnd"/>
            <w:r w:rsidRPr="00275FBD">
              <w:rPr>
                <w:rFonts w:ascii="Calibri" w:hAnsi="Calibri"/>
                <w:color w:val="000000" w:themeColor="text1"/>
                <w:sz w:val="18"/>
                <w:szCs w:val="18"/>
                <w:lang w:val="sl-SI" w:eastAsia="en-GB"/>
              </w:rPr>
              <w:t xml:space="preserve"> UV2 </w:t>
            </w:r>
            <w:proofErr w:type="spellStart"/>
            <w:r w:rsidRPr="00275FBD">
              <w:rPr>
                <w:rFonts w:ascii="Calibri" w:hAnsi="Calibri"/>
                <w:color w:val="000000" w:themeColor="text1"/>
                <w:sz w:val="18"/>
                <w:szCs w:val="18"/>
                <w:lang w:val="sl-SI" w:eastAsia="en-GB"/>
              </w:rPr>
              <w:t>has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adopted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new</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tissue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weighting</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factors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therefore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this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legislation</w:t>
            </w:r>
            <w:proofErr w:type="spellEnd"/>
            <w:r w:rsidRPr="00275FBD">
              <w:rPr>
                <w:rFonts w:ascii="Calibri" w:hAnsi="Calibri"/>
                <w:color w:val="000000" w:themeColor="text1"/>
                <w:sz w:val="18"/>
                <w:szCs w:val="18"/>
                <w:lang w:val="sl-SI" w:eastAsia="en-GB"/>
              </w:rPr>
              <w:t xml:space="preserve"> reference </w:t>
            </w:r>
            <w:proofErr w:type="spellStart"/>
            <w:r w:rsidRPr="00275FBD">
              <w:rPr>
                <w:rFonts w:ascii="Calibri" w:hAnsi="Calibri"/>
                <w:color w:val="000000" w:themeColor="text1"/>
                <w:sz w:val="18"/>
                <w:szCs w:val="18"/>
                <w:lang w:val="sl-SI" w:eastAsia="en-GB"/>
              </w:rPr>
              <w:t>should</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corrected</w:t>
            </w:r>
            <w:proofErr w:type="spellEnd"/>
            <w:r w:rsidRPr="00275FBD">
              <w:rPr>
                <w:rFonts w:ascii="Calibri" w:hAnsi="Calibri"/>
                <w:color w:val="000000" w:themeColor="text1"/>
                <w:sz w:val="18"/>
                <w:szCs w:val="18"/>
                <w:lang w:val="sl-SI" w:eastAsia="en-GB"/>
              </w:rPr>
              <w:t xml:space="preserve"> in the RETS (3.11.5.3.1, 3.11.7.1). In </w:t>
            </w:r>
            <w:proofErr w:type="spellStart"/>
            <w:r w:rsidRPr="00275FBD">
              <w:rPr>
                <w:rFonts w:ascii="Calibri" w:hAnsi="Calibri"/>
                <w:color w:val="000000" w:themeColor="text1"/>
                <w:sz w:val="18"/>
                <w:szCs w:val="18"/>
                <w:lang w:val="sl-SI" w:eastAsia="en-GB"/>
              </w:rPr>
              <w:t>relation</w:t>
            </w:r>
            <w:proofErr w:type="spellEnd"/>
            <w:r w:rsidRPr="00275FBD">
              <w:rPr>
                <w:rFonts w:ascii="Calibri" w:hAnsi="Calibri"/>
                <w:color w:val="000000" w:themeColor="text1"/>
                <w:sz w:val="18"/>
                <w:szCs w:val="18"/>
                <w:lang w:val="sl-SI" w:eastAsia="en-GB"/>
              </w:rPr>
              <w:t xml:space="preserve"> to </w:t>
            </w:r>
            <w:proofErr w:type="spellStart"/>
            <w:r w:rsidRPr="00275FBD">
              <w:rPr>
                <w:rFonts w:ascii="Calibri" w:hAnsi="Calibri"/>
                <w:color w:val="000000" w:themeColor="text1"/>
                <w:sz w:val="18"/>
                <w:szCs w:val="18"/>
                <w:lang w:val="sl-SI" w:eastAsia="en-GB"/>
              </w:rPr>
              <w:t>potential</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correction</w:t>
            </w:r>
            <w:proofErr w:type="spellEnd"/>
            <w:r w:rsidRPr="00275FBD">
              <w:rPr>
                <w:rFonts w:ascii="Calibri" w:hAnsi="Calibri"/>
                <w:color w:val="000000" w:themeColor="text1"/>
                <w:sz w:val="18"/>
                <w:szCs w:val="18"/>
                <w:lang w:val="sl-SI" w:eastAsia="en-GB"/>
              </w:rPr>
              <w:t xml:space="preserve"> in the OSDM (3.11.4.2 DOSE), in the procedure ADP-1.7.017 </w:t>
            </w:r>
            <w:proofErr w:type="spellStart"/>
            <w:r w:rsidRPr="00275FBD">
              <w:rPr>
                <w:rFonts w:ascii="Calibri" w:hAnsi="Calibri"/>
                <w:color w:val="000000" w:themeColor="text1"/>
                <w:sz w:val="18"/>
                <w:szCs w:val="18"/>
                <w:lang w:val="sl-SI" w:eastAsia="en-GB"/>
              </w:rPr>
              <w:t>Offsite</w:t>
            </w:r>
            <w:proofErr w:type="spellEnd"/>
            <w:r w:rsidRPr="00275FBD">
              <w:rPr>
                <w:rFonts w:ascii="Calibri" w:hAnsi="Calibri"/>
                <w:color w:val="000000" w:themeColor="text1"/>
                <w:sz w:val="18"/>
                <w:szCs w:val="18"/>
                <w:lang w:val="sl-SI" w:eastAsia="en-GB"/>
              </w:rPr>
              <w:t xml:space="preserve"> Dose </w:t>
            </w:r>
            <w:proofErr w:type="spellStart"/>
            <w:r w:rsidRPr="00275FBD">
              <w:rPr>
                <w:rFonts w:ascii="Calibri" w:hAnsi="Calibri"/>
                <w:color w:val="000000" w:themeColor="text1"/>
                <w:sz w:val="18"/>
                <w:szCs w:val="18"/>
                <w:lang w:val="sl-SI" w:eastAsia="en-GB"/>
              </w:rPr>
              <w:t>Calculation</w:t>
            </w:r>
            <w:proofErr w:type="spellEnd"/>
            <w:r w:rsidRPr="00275FBD">
              <w:rPr>
                <w:rFonts w:ascii="Calibri" w:hAnsi="Calibri"/>
                <w:color w:val="000000" w:themeColor="text1"/>
                <w:sz w:val="18"/>
                <w:szCs w:val="18"/>
                <w:lang w:val="sl-SI" w:eastAsia="en-GB"/>
              </w:rPr>
              <w:t xml:space="preserve"> Manual (OSDM) the </w:t>
            </w:r>
            <w:proofErr w:type="spellStart"/>
            <w:r w:rsidRPr="00275FBD">
              <w:rPr>
                <w:rFonts w:ascii="Calibri" w:hAnsi="Calibri"/>
                <w:color w:val="000000" w:themeColor="text1"/>
                <w:sz w:val="18"/>
                <w:szCs w:val="18"/>
                <w:lang w:val="sl-SI" w:eastAsia="en-GB"/>
              </w:rPr>
              <w:t>tissue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weighting</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factor</w:t>
            </w:r>
            <w:proofErr w:type="spellEnd"/>
            <w:r w:rsidRPr="00275FBD">
              <w:rPr>
                <w:rFonts w:ascii="Calibri" w:hAnsi="Calibri"/>
                <w:color w:val="000000" w:themeColor="text1"/>
                <w:sz w:val="18"/>
                <w:szCs w:val="18"/>
                <w:lang w:val="sl-SI" w:eastAsia="en-GB"/>
              </w:rPr>
              <w:t xml:space="preserve"> for </w:t>
            </w:r>
            <w:proofErr w:type="spellStart"/>
            <w:r w:rsidRPr="00275FBD">
              <w:rPr>
                <w:rFonts w:ascii="Calibri" w:hAnsi="Calibri"/>
                <w:color w:val="000000" w:themeColor="text1"/>
                <w:sz w:val="18"/>
                <w:szCs w:val="18"/>
                <w:lang w:val="sl-SI" w:eastAsia="en-GB"/>
              </w:rPr>
              <w:t>thyroid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shall</w:t>
            </w:r>
            <w:proofErr w:type="spellEnd"/>
            <w:r w:rsidRPr="00275FBD">
              <w:rPr>
                <w:rFonts w:ascii="Calibri" w:hAnsi="Calibri"/>
                <w:color w:val="000000" w:themeColor="text1"/>
                <w:sz w:val="18"/>
                <w:szCs w:val="18"/>
                <w:lang w:val="sl-SI" w:eastAsia="en-GB"/>
              </w:rPr>
              <w:t xml:space="preserve"> be </w:t>
            </w:r>
            <w:proofErr w:type="spellStart"/>
            <w:r w:rsidRPr="00275FBD">
              <w:rPr>
                <w:rFonts w:ascii="Calibri" w:hAnsi="Calibri"/>
                <w:color w:val="000000" w:themeColor="text1"/>
                <w:sz w:val="18"/>
                <w:szCs w:val="18"/>
                <w:lang w:val="sl-SI" w:eastAsia="en-GB"/>
              </w:rPr>
              <w:t>corrected</w:t>
            </w:r>
            <w:proofErr w:type="spellEnd"/>
            <w:r w:rsidRPr="00275FBD">
              <w:rPr>
                <w:rFonts w:ascii="Calibri" w:hAnsi="Calibri"/>
                <w:color w:val="000000" w:themeColor="text1"/>
                <w:sz w:val="18"/>
                <w:szCs w:val="18"/>
                <w:lang w:val="sl-SI" w:eastAsia="en-GB"/>
              </w:rPr>
              <w:t xml:space="preserve"> from 0,05 to 0,04 as </w:t>
            </w:r>
            <w:proofErr w:type="spellStart"/>
            <w:r w:rsidRPr="00275FBD">
              <w:rPr>
                <w:rFonts w:ascii="Calibri" w:hAnsi="Calibri"/>
                <w:color w:val="000000" w:themeColor="text1"/>
                <w:sz w:val="18"/>
                <w:szCs w:val="18"/>
                <w:lang w:val="sl-SI" w:eastAsia="en-GB"/>
              </w:rPr>
              <w:t>adopted</w:t>
            </w:r>
            <w:proofErr w:type="spellEnd"/>
            <w:r w:rsidRPr="00275FBD">
              <w:rPr>
                <w:rFonts w:ascii="Calibri" w:hAnsi="Calibri"/>
                <w:color w:val="000000" w:themeColor="text1"/>
                <w:sz w:val="18"/>
                <w:szCs w:val="18"/>
                <w:lang w:val="sl-SI" w:eastAsia="en-GB"/>
              </w:rPr>
              <w:t xml:space="preserve"> by the </w:t>
            </w:r>
            <w:proofErr w:type="spellStart"/>
            <w:r w:rsidRPr="00275FBD">
              <w:rPr>
                <w:rFonts w:ascii="Calibri" w:hAnsi="Calibri"/>
                <w:color w:val="000000" w:themeColor="text1"/>
                <w:sz w:val="18"/>
                <w:szCs w:val="18"/>
                <w:lang w:val="sl-SI" w:eastAsia="en-GB"/>
              </w:rPr>
              <w:t>Decree</w:t>
            </w:r>
            <w:proofErr w:type="spellEnd"/>
            <w:r w:rsidRPr="00275FBD">
              <w:rPr>
                <w:rFonts w:ascii="Calibri" w:hAnsi="Calibri"/>
                <w:color w:val="000000" w:themeColor="text1"/>
                <w:sz w:val="18"/>
                <w:szCs w:val="18"/>
                <w:lang w:val="sl-SI" w:eastAsia="en-GB"/>
              </w:rPr>
              <w:t xml:space="preserve"> UV2. In the program DOZE, </w:t>
            </w:r>
            <w:proofErr w:type="spellStart"/>
            <w:r w:rsidRPr="00275FBD">
              <w:rPr>
                <w:rFonts w:ascii="Calibri" w:hAnsi="Calibri"/>
                <w:color w:val="000000" w:themeColor="text1"/>
                <w:sz w:val="18"/>
                <w:szCs w:val="18"/>
                <w:lang w:val="sl-SI" w:eastAsia="en-GB"/>
              </w:rPr>
              <w:t>which</w:t>
            </w:r>
            <w:proofErr w:type="spellEnd"/>
            <w:r w:rsidRPr="00275FBD">
              <w:rPr>
                <w:rFonts w:ascii="Calibri" w:hAnsi="Calibri"/>
                <w:color w:val="000000" w:themeColor="text1"/>
                <w:sz w:val="18"/>
                <w:szCs w:val="18"/>
                <w:lang w:val="sl-SI" w:eastAsia="en-GB"/>
              </w:rPr>
              <w:t xml:space="preserve"> is </w:t>
            </w:r>
            <w:proofErr w:type="spellStart"/>
            <w:r w:rsidRPr="00275FBD">
              <w:rPr>
                <w:rFonts w:ascii="Calibri" w:hAnsi="Calibri"/>
                <w:color w:val="000000" w:themeColor="text1"/>
                <w:sz w:val="18"/>
                <w:szCs w:val="18"/>
                <w:lang w:val="sl-SI" w:eastAsia="en-GB"/>
              </w:rPr>
              <w:t>practical</w:t>
            </w:r>
            <w:proofErr w:type="spellEnd"/>
            <w:r w:rsidRPr="00275FBD">
              <w:rPr>
                <w:rFonts w:ascii="Calibri" w:hAnsi="Calibri"/>
                <w:color w:val="000000" w:themeColor="text1"/>
                <w:sz w:val="18"/>
                <w:szCs w:val="18"/>
                <w:lang w:val="sl-SI" w:eastAsia="en-GB"/>
              </w:rPr>
              <w:t xml:space="preserve"> implementation of OSDM, the </w:t>
            </w:r>
            <w:proofErr w:type="spellStart"/>
            <w:r w:rsidRPr="00275FBD">
              <w:rPr>
                <w:rFonts w:ascii="Calibri" w:hAnsi="Calibri"/>
                <w:color w:val="000000" w:themeColor="text1"/>
                <w:sz w:val="18"/>
                <w:szCs w:val="18"/>
                <w:lang w:val="sl-SI" w:eastAsia="en-GB"/>
              </w:rPr>
              <w:t>tissue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weighting</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factors</w:t>
            </w:r>
            <w:proofErr w:type="spellEnd"/>
            <w:r w:rsidRPr="00275FBD">
              <w:rPr>
                <w:rFonts w:ascii="Calibri" w:hAnsi="Calibri"/>
                <w:color w:val="000000" w:themeColor="text1"/>
                <w:sz w:val="18"/>
                <w:szCs w:val="18"/>
                <w:lang w:val="sl-SI" w:eastAsia="en-GB"/>
              </w:rPr>
              <w:t xml:space="preserve"> were </w:t>
            </w:r>
            <w:proofErr w:type="spellStart"/>
            <w:r w:rsidRPr="00275FBD">
              <w:rPr>
                <w:rFonts w:ascii="Calibri" w:hAnsi="Calibri"/>
                <w:color w:val="000000" w:themeColor="text1"/>
                <w:sz w:val="18"/>
                <w:szCs w:val="18"/>
                <w:lang w:val="sl-SI" w:eastAsia="en-GB"/>
              </w:rPr>
              <w:t>already</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corrected</w:t>
            </w:r>
            <w:proofErr w:type="spellEnd"/>
            <w:r w:rsidRPr="00275FBD">
              <w:rPr>
                <w:rFonts w:ascii="Calibri" w:hAnsi="Calibri"/>
                <w:color w:val="000000" w:themeColor="text1"/>
                <w:sz w:val="18"/>
                <w:szCs w:val="18"/>
                <w:lang w:val="sl-SI" w:eastAsia="en-GB"/>
              </w:rPr>
              <w:t xml:space="preserve"> in 2018. </w:t>
            </w:r>
            <w:r w:rsidRPr="00275FBD">
              <w:rPr>
                <w:rFonts w:ascii="Calibri" w:hAnsi="Calibri"/>
                <w:color w:val="000000" w:themeColor="text1"/>
                <w:sz w:val="18"/>
                <w:szCs w:val="18"/>
                <w:lang w:val="sl-SI" w:eastAsia="en-GB"/>
              </w:rPr>
              <w:br/>
              <w:t xml:space="preserve">OSF element: </w:t>
            </w:r>
            <w:proofErr w:type="spellStart"/>
            <w:r w:rsidRPr="00275FBD">
              <w:rPr>
                <w:rFonts w:ascii="Calibri" w:hAnsi="Calibri"/>
                <w:color w:val="000000" w:themeColor="text1"/>
                <w:sz w:val="18"/>
                <w:szCs w:val="18"/>
                <w:lang w:val="sl-SI" w:eastAsia="en-GB"/>
              </w:rPr>
              <w:t>Procedures</w:t>
            </w:r>
            <w:proofErr w:type="spellEnd"/>
            <w:r w:rsidRPr="00275FBD">
              <w:rPr>
                <w:rFonts w:ascii="Calibri" w:hAnsi="Calibri"/>
                <w:color w:val="000000" w:themeColor="text1"/>
                <w:sz w:val="18"/>
                <w:szCs w:val="18"/>
                <w:lang w:val="sl-SI" w:eastAsia="en-GB"/>
              </w:rPr>
              <w:t xml:space="preserve"> (with </w:t>
            </w:r>
            <w:proofErr w:type="spellStart"/>
            <w:r w:rsidRPr="00275FBD">
              <w:rPr>
                <w:rFonts w:ascii="Calibri" w:hAnsi="Calibri"/>
                <w:color w:val="000000" w:themeColor="text1"/>
                <w:sz w:val="18"/>
                <w:szCs w:val="18"/>
                <w:lang w:val="sl-SI" w:eastAsia="en-GB"/>
              </w:rPr>
              <w:t>regard</w:t>
            </w:r>
            <w:proofErr w:type="spellEnd"/>
            <w:r w:rsidRPr="00275FBD">
              <w:rPr>
                <w:rFonts w:ascii="Calibri" w:hAnsi="Calibri"/>
                <w:color w:val="000000" w:themeColor="text1"/>
                <w:sz w:val="18"/>
                <w:szCs w:val="18"/>
                <w:lang w:val="sl-SI" w:eastAsia="en-GB"/>
              </w:rPr>
              <w:t xml:space="preserve"> to the OSF "Radiological Protection and </w:t>
            </w:r>
            <w:proofErr w:type="spellStart"/>
            <w:r w:rsidRPr="00275FBD">
              <w:rPr>
                <w:rFonts w:ascii="Calibri" w:hAnsi="Calibri"/>
                <w:color w:val="000000" w:themeColor="text1"/>
                <w:sz w:val="18"/>
                <w:szCs w:val="18"/>
                <w:lang w:val="sl-SI" w:eastAsia="en-GB"/>
              </w:rPr>
              <w:t>Other</w:t>
            </w:r>
            <w:proofErr w:type="spellEnd"/>
            <w:r w:rsidRPr="00275FBD">
              <w:rPr>
                <w:rFonts w:ascii="Calibri" w:hAnsi="Calibri"/>
                <w:color w:val="000000" w:themeColor="text1"/>
                <w:sz w:val="18"/>
                <w:szCs w:val="18"/>
                <w:lang w:val="sl-SI" w:eastAsia="en-GB"/>
              </w:rPr>
              <w:t xml:space="preserve"> Occupational </w:t>
            </w:r>
            <w:proofErr w:type="spellStart"/>
            <w:r w:rsidRPr="00275FBD">
              <w:rPr>
                <w:rFonts w:ascii="Calibri" w:hAnsi="Calibri"/>
                <w:color w:val="000000" w:themeColor="text1"/>
                <w:sz w:val="18"/>
                <w:szCs w:val="18"/>
                <w:lang w:val="sl-SI" w:eastAsia="en-GB"/>
              </w:rPr>
              <w:t>Hazards</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r>
            <w:proofErr w:type="spellStart"/>
            <w:r w:rsidRPr="00275FBD">
              <w:rPr>
                <w:rFonts w:ascii="Calibri" w:hAnsi="Calibri"/>
                <w:color w:val="000000" w:themeColor="text1"/>
                <w:sz w:val="18"/>
                <w:szCs w:val="18"/>
                <w:lang w:val="sl-SI" w:eastAsia="en-GB"/>
              </w:rPr>
              <w:t>Issue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relates</w:t>
            </w:r>
            <w:proofErr w:type="spellEnd"/>
            <w:r w:rsidRPr="00275FBD">
              <w:rPr>
                <w:rFonts w:ascii="Calibri" w:hAnsi="Calibri"/>
                <w:color w:val="000000" w:themeColor="text1"/>
                <w:sz w:val="18"/>
                <w:szCs w:val="18"/>
                <w:lang w:val="sl-SI" w:eastAsia="en-GB"/>
              </w:rPr>
              <w:t xml:space="preserve"> to the </w:t>
            </w:r>
            <w:proofErr w:type="spellStart"/>
            <w:r w:rsidRPr="00275FBD">
              <w:rPr>
                <w:rFonts w:ascii="Calibri" w:hAnsi="Calibri"/>
                <w:color w:val="000000" w:themeColor="text1"/>
                <w:sz w:val="18"/>
                <w:szCs w:val="18"/>
                <w:lang w:val="sl-SI" w:eastAsia="en-GB"/>
              </w:rPr>
              <w:t>current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but</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also</w:t>
            </w:r>
            <w:proofErr w:type="spellEnd"/>
            <w:r w:rsidRPr="00275FBD">
              <w:rPr>
                <w:rFonts w:ascii="Calibri" w:hAnsi="Calibri"/>
                <w:color w:val="000000" w:themeColor="text1"/>
                <w:sz w:val="18"/>
                <w:szCs w:val="18"/>
                <w:lang w:val="sl-SI" w:eastAsia="en-GB"/>
              </w:rPr>
              <w:t xml:space="preserve"> to the prior status (as far as </w:t>
            </w:r>
            <w:proofErr w:type="spellStart"/>
            <w:r w:rsidRPr="00275FBD">
              <w:rPr>
                <w:rFonts w:ascii="Calibri" w:hAnsi="Calibri"/>
                <w:color w:val="000000" w:themeColor="text1"/>
                <w:sz w:val="18"/>
                <w:szCs w:val="18"/>
                <w:lang w:val="sl-SI" w:eastAsia="en-GB"/>
              </w:rPr>
              <w:t>understood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hence</w:t>
            </w:r>
            <w:proofErr w:type="spellEnd"/>
            <w:r w:rsidRPr="00275FBD">
              <w:rPr>
                <w:rFonts w:ascii="Calibri" w:hAnsi="Calibri"/>
                <w:color w:val="000000" w:themeColor="text1"/>
                <w:sz w:val="18"/>
                <w:szCs w:val="18"/>
                <w:lang w:val="sl-SI" w:eastAsia="en-GB"/>
              </w:rPr>
              <w:t xml:space="preserve"> prior risk at 3.</w:t>
            </w:r>
          </w:p>
        </w:tc>
        <w:tc>
          <w:tcPr>
            <w:tcW w:w="993" w:type="dxa"/>
          </w:tcPr>
          <w:p w14:paraId="19D09E29"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3.3.3</w:t>
            </w:r>
          </w:p>
        </w:tc>
        <w:tc>
          <w:tcPr>
            <w:tcW w:w="5244" w:type="dxa"/>
          </w:tcPr>
          <w:p w14:paraId="73505A2A"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It is </w:t>
            </w:r>
            <w:proofErr w:type="spellStart"/>
            <w:r w:rsidRPr="00275FBD">
              <w:rPr>
                <w:rFonts w:ascii="Calibri" w:hAnsi="Calibri"/>
                <w:color w:val="000000"/>
                <w:sz w:val="18"/>
                <w:szCs w:val="18"/>
                <w:lang w:val="sl-SI" w:eastAsia="en-GB"/>
              </w:rPr>
              <w:t>self-evident</w:t>
            </w:r>
            <w:proofErr w:type="spellEnd"/>
            <w:r w:rsidRPr="00275FBD">
              <w:rPr>
                <w:rFonts w:ascii="Calibri" w:hAnsi="Calibri"/>
                <w:color w:val="000000"/>
                <w:sz w:val="18"/>
                <w:szCs w:val="18"/>
                <w:lang w:val="sl-SI" w:eastAsia="en-GB"/>
              </w:rPr>
              <w:t xml:space="preserve"> that the UV2 </w:t>
            </w:r>
            <w:proofErr w:type="spellStart"/>
            <w:r w:rsidRPr="00275FBD">
              <w:rPr>
                <w:rFonts w:ascii="Calibri" w:hAnsi="Calibri"/>
                <w:color w:val="000000"/>
                <w:sz w:val="18"/>
                <w:szCs w:val="18"/>
                <w:lang w:val="sl-SI" w:eastAsia="en-GB"/>
              </w:rPr>
              <w:t>must</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followed</w:t>
            </w:r>
            <w:proofErr w:type="spellEnd"/>
            <w:r w:rsidRPr="00275FBD">
              <w:rPr>
                <w:rFonts w:ascii="Calibri" w:hAnsi="Calibri"/>
                <w:color w:val="000000"/>
                <w:sz w:val="18"/>
                <w:szCs w:val="18"/>
                <w:lang w:val="sl-SI" w:eastAsia="en-GB"/>
              </w:rPr>
              <w:t>.</w:t>
            </w:r>
          </w:p>
        </w:tc>
        <w:tc>
          <w:tcPr>
            <w:tcW w:w="2694" w:type="dxa"/>
          </w:tcPr>
          <w:p w14:paraId="6CA00434"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588E79FC" w14:textId="77777777" w:rsidTr="00935B67">
        <w:tc>
          <w:tcPr>
            <w:tcW w:w="1384" w:type="dxa"/>
            <w:shd w:val="clear" w:color="auto" w:fill="DEA400"/>
          </w:tcPr>
          <w:p w14:paraId="6B60C6A0" w14:textId="77777777" w:rsidR="00935B67" w:rsidRPr="00275FBD" w:rsidRDefault="00935B67" w:rsidP="00935B67">
            <w:pPr>
              <w:rPr>
                <w:rFonts w:ascii="Calibri" w:hAnsi="Calibri"/>
                <w:color w:val="000000" w:themeColor="text1"/>
                <w:sz w:val="18"/>
                <w:szCs w:val="18"/>
                <w:lang w:val="sl-SI" w:eastAsia="en-GB"/>
              </w:rPr>
            </w:pPr>
            <w:r w:rsidRPr="00275FBD">
              <w:rPr>
                <w:rFonts w:ascii="Calibri" w:hAnsi="Calibri"/>
                <w:color w:val="000000" w:themeColor="text1"/>
                <w:sz w:val="18"/>
                <w:szCs w:val="18"/>
                <w:lang w:val="sl-SI" w:eastAsia="en-GB"/>
              </w:rPr>
              <w:t>PSR3 7.1-047</w:t>
            </w:r>
          </w:p>
        </w:tc>
        <w:tc>
          <w:tcPr>
            <w:tcW w:w="3827" w:type="dxa"/>
          </w:tcPr>
          <w:p w14:paraId="7AB0DAE9" w14:textId="77777777" w:rsidR="00935B67" w:rsidRPr="00275FBD" w:rsidRDefault="00935B67" w:rsidP="00935B67">
            <w:pPr>
              <w:jc w:val="left"/>
              <w:rPr>
                <w:rFonts w:ascii="Calibri" w:hAnsi="Calibri"/>
                <w:b/>
                <w:bCs/>
                <w:color w:val="000000" w:themeColor="text1"/>
                <w:sz w:val="18"/>
                <w:szCs w:val="18"/>
                <w:lang w:val="sl-SI" w:eastAsia="en-GB"/>
              </w:rPr>
            </w:pPr>
            <w:r w:rsidRPr="00275FBD">
              <w:rPr>
                <w:rFonts w:ascii="Calibri" w:hAnsi="Calibri"/>
                <w:b/>
                <w:bCs/>
                <w:color w:val="000000" w:themeColor="text1"/>
                <w:sz w:val="18"/>
                <w:szCs w:val="18"/>
                <w:lang w:val="sl-SI" w:eastAsia="en-GB"/>
              </w:rPr>
              <w:t xml:space="preserve">RM-55 and RM-56 </w:t>
            </w:r>
            <w:proofErr w:type="spellStart"/>
            <w:r w:rsidRPr="00275FBD">
              <w:rPr>
                <w:rFonts w:ascii="Calibri" w:hAnsi="Calibri"/>
                <w:b/>
                <w:bCs/>
                <w:color w:val="000000" w:themeColor="text1"/>
                <w:sz w:val="18"/>
                <w:szCs w:val="18"/>
                <w:lang w:val="sl-SI" w:eastAsia="en-GB"/>
              </w:rPr>
              <w:t>monitors</w:t>
            </w:r>
            <w:proofErr w:type="spellEnd"/>
            <w:r w:rsidRPr="00275FBD">
              <w:rPr>
                <w:rFonts w:ascii="Calibri" w:hAnsi="Calibri"/>
                <w:color w:val="000000" w:themeColor="text1"/>
                <w:sz w:val="18"/>
                <w:szCs w:val="18"/>
                <w:lang w:val="sl-SI" w:eastAsia="en-GB"/>
              </w:rPr>
              <w:t xml:space="preserve">. In the </w:t>
            </w:r>
            <w:proofErr w:type="spellStart"/>
            <w:r w:rsidRPr="00275FBD">
              <w:rPr>
                <w:rFonts w:ascii="Calibri" w:hAnsi="Calibri"/>
                <w:color w:val="000000" w:themeColor="text1"/>
                <w:sz w:val="18"/>
                <w:szCs w:val="18"/>
                <w:lang w:val="sl-SI" w:eastAsia="en-GB"/>
              </w:rPr>
              <w:t>outage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report</w:t>
            </w:r>
            <w:proofErr w:type="spellEnd"/>
            <w:r w:rsidRPr="00275FBD">
              <w:rPr>
                <w:rFonts w:ascii="Calibri" w:hAnsi="Calibri"/>
                <w:color w:val="000000" w:themeColor="text1"/>
                <w:sz w:val="18"/>
                <w:szCs w:val="18"/>
                <w:lang w:val="sl-SI" w:eastAsia="en-GB"/>
              </w:rPr>
              <w:t xml:space="preserve"> for 2018 </w:t>
            </w:r>
            <w:proofErr w:type="spellStart"/>
            <w:r w:rsidRPr="00275FBD">
              <w:rPr>
                <w:rFonts w:ascii="Calibri" w:hAnsi="Calibri"/>
                <w:color w:val="000000" w:themeColor="text1"/>
                <w:sz w:val="18"/>
                <w:szCs w:val="18"/>
                <w:lang w:val="sl-SI" w:eastAsia="en-GB"/>
              </w:rPr>
              <w:t>among</w:t>
            </w:r>
            <w:proofErr w:type="spellEnd"/>
            <w:r w:rsidRPr="00275FBD">
              <w:rPr>
                <w:rFonts w:ascii="Calibri" w:hAnsi="Calibri"/>
                <w:color w:val="000000" w:themeColor="text1"/>
                <w:sz w:val="18"/>
                <w:szCs w:val="18"/>
                <w:lang w:val="sl-SI" w:eastAsia="en-GB"/>
              </w:rPr>
              <w:t xml:space="preserve"> list of </w:t>
            </w:r>
            <w:proofErr w:type="spellStart"/>
            <w:r w:rsidRPr="00275FBD">
              <w:rPr>
                <w:rFonts w:ascii="Calibri" w:hAnsi="Calibri"/>
                <w:color w:val="000000" w:themeColor="text1"/>
                <w:sz w:val="18"/>
                <w:szCs w:val="18"/>
                <w:lang w:val="sl-SI" w:eastAsia="en-GB"/>
              </w:rPr>
              <w:t>works</w:t>
            </w:r>
            <w:proofErr w:type="spellEnd"/>
            <w:r w:rsidRPr="00275FBD">
              <w:rPr>
                <w:rFonts w:ascii="Calibri" w:hAnsi="Calibri"/>
                <w:color w:val="000000" w:themeColor="text1"/>
                <w:sz w:val="18"/>
                <w:szCs w:val="18"/>
                <w:lang w:val="sl-SI" w:eastAsia="en-GB"/>
              </w:rPr>
              <w:t xml:space="preserve"> performed by TO.RZ </w:t>
            </w:r>
            <w:proofErr w:type="spellStart"/>
            <w:r w:rsidRPr="00275FBD">
              <w:rPr>
                <w:rFonts w:ascii="Calibri" w:hAnsi="Calibri"/>
                <w:color w:val="000000" w:themeColor="text1"/>
                <w:sz w:val="18"/>
                <w:szCs w:val="18"/>
                <w:lang w:val="sl-SI" w:eastAsia="en-GB"/>
              </w:rPr>
              <w:t>there</w:t>
            </w:r>
            <w:proofErr w:type="spellEnd"/>
            <w:r w:rsidRPr="00275FBD">
              <w:rPr>
                <w:rFonts w:ascii="Calibri" w:hAnsi="Calibri"/>
                <w:color w:val="000000" w:themeColor="text1"/>
                <w:sz w:val="18"/>
                <w:szCs w:val="18"/>
                <w:lang w:val="sl-SI" w:eastAsia="en-GB"/>
              </w:rPr>
              <w:t xml:space="preserve"> are </w:t>
            </w:r>
            <w:proofErr w:type="spellStart"/>
            <w:r w:rsidRPr="00275FBD">
              <w:rPr>
                <w:rFonts w:ascii="Calibri" w:hAnsi="Calibri"/>
                <w:color w:val="000000" w:themeColor="text1"/>
                <w:sz w:val="18"/>
                <w:szCs w:val="18"/>
                <w:lang w:val="sl-SI" w:eastAsia="en-GB"/>
              </w:rPr>
              <w:t>two</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new</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monitors</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listed</w:t>
            </w:r>
            <w:proofErr w:type="spellEnd"/>
            <w:r w:rsidRPr="00275FBD">
              <w:rPr>
                <w:rFonts w:ascii="Calibri" w:hAnsi="Calibri"/>
                <w:color w:val="000000" w:themeColor="text1"/>
                <w:sz w:val="18"/>
                <w:szCs w:val="18"/>
                <w:lang w:val="sl-SI" w:eastAsia="en-GB"/>
              </w:rPr>
              <w:t xml:space="preserve"> RM-55 and RM-56, </w:t>
            </w:r>
            <w:proofErr w:type="spellStart"/>
            <w:r w:rsidRPr="00275FBD">
              <w:rPr>
                <w:rFonts w:ascii="Calibri" w:hAnsi="Calibri"/>
                <w:color w:val="000000" w:themeColor="text1"/>
                <w:sz w:val="18"/>
                <w:szCs w:val="18"/>
                <w:lang w:val="sl-SI" w:eastAsia="en-GB"/>
              </w:rPr>
              <w:t>which</w:t>
            </w:r>
            <w:proofErr w:type="spellEnd"/>
            <w:r w:rsidRPr="00275FBD">
              <w:rPr>
                <w:rFonts w:ascii="Calibri" w:hAnsi="Calibri"/>
                <w:color w:val="000000" w:themeColor="text1"/>
                <w:sz w:val="18"/>
                <w:szCs w:val="18"/>
                <w:lang w:val="sl-SI" w:eastAsia="en-GB"/>
              </w:rPr>
              <w:t xml:space="preserve"> are not </w:t>
            </w:r>
            <w:proofErr w:type="spellStart"/>
            <w:r w:rsidRPr="00275FBD">
              <w:rPr>
                <w:rFonts w:ascii="Calibri" w:hAnsi="Calibri"/>
                <w:color w:val="000000" w:themeColor="text1"/>
                <w:sz w:val="18"/>
                <w:szCs w:val="18"/>
                <w:lang w:val="sl-SI" w:eastAsia="en-GB"/>
              </w:rPr>
              <w:t>listed</w:t>
            </w:r>
            <w:proofErr w:type="spellEnd"/>
            <w:r w:rsidRPr="00275FBD">
              <w:rPr>
                <w:rFonts w:ascii="Calibri" w:hAnsi="Calibri"/>
                <w:color w:val="000000" w:themeColor="text1"/>
                <w:sz w:val="18"/>
                <w:szCs w:val="18"/>
                <w:lang w:val="sl-SI" w:eastAsia="en-GB"/>
              </w:rPr>
              <w:t xml:space="preserve"> in USAR 12.1.4. </w:t>
            </w:r>
            <w:proofErr w:type="spellStart"/>
            <w:r w:rsidRPr="00275FBD">
              <w:rPr>
                <w:rFonts w:ascii="Calibri" w:hAnsi="Calibri"/>
                <w:color w:val="000000" w:themeColor="text1"/>
                <w:sz w:val="18"/>
                <w:szCs w:val="18"/>
                <w:lang w:val="sl-SI" w:eastAsia="en-GB"/>
              </w:rPr>
              <w:t>If</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appropriate</w:t>
            </w:r>
            <w:proofErr w:type="spellEnd"/>
            <w:r w:rsidRPr="00275FBD">
              <w:rPr>
                <w:rFonts w:ascii="Calibri" w:hAnsi="Calibri"/>
                <w:color w:val="000000" w:themeColor="text1"/>
                <w:sz w:val="18"/>
                <w:szCs w:val="18"/>
                <w:lang w:val="sl-SI" w:eastAsia="en-GB"/>
              </w:rPr>
              <w:t xml:space="preserve">, we </w:t>
            </w:r>
            <w:proofErr w:type="spellStart"/>
            <w:r w:rsidRPr="00275FBD">
              <w:rPr>
                <w:rFonts w:ascii="Calibri" w:hAnsi="Calibri"/>
                <w:color w:val="000000" w:themeColor="text1"/>
                <w:sz w:val="18"/>
                <w:szCs w:val="18"/>
                <w:lang w:val="sl-SI" w:eastAsia="en-GB"/>
              </w:rPr>
              <w:t>recommend</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these</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new</w:t>
            </w:r>
            <w:proofErr w:type="spellEnd"/>
            <w:r w:rsidRPr="00275FBD">
              <w:rPr>
                <w:rFonts w:ascii="Calibri" w:hAnsi="Calibri"/>
                <w:color w:val="000000" w:themeColor="text1"/>
                <w:sz w:val="18"/>
                <w:szCs w:val="18"/>
                <w:lang w:val="sl-SI" w:eastAsia="en-GB"/>
              </w:rPr>
              <w:t xml:space="preserve"> </w:t>
            </w:r>
            <w:proofErr w:type="spellStart"/>
            <w:r w:rsidRPr="00275FBD">
              <w:rPr>
                <w:rFonts w:ascii="Calibri" w:hAnsi="Calibri"/>
                <w:color w:val="000000" w:themeColor="text1"/>
                <w:sz w:val="18"/>
                <w:szCs w:val="18"/>
                <w:lang w:val="sl-SI" w:eastAsia="en-GB"/>
              </w:rPr>
              <w:t>monitors</w:t>
            </w:r>
            <w:proofErr w:type="spellEnd"/>
            <w:r w:rsidRPr="00275FBD">
              <w:rPr>
                <w:rFonts w:ascii="Calibri" w:hAnsi="Calibri"/>
                <w:color w:val="000000" w:themeColor="text1"/>
                <w:sz w:val="18"/>
                <w:szCs w:val="18"/>
                <w:lang w:val="sl-SI" w:eastAsia="en-GB"/>
              </w:rPr>
              <w:t xml:space="preserve"> are </w:t>
            </w:r>
            <w:proofErr w:type="spellStart"/>
            <w:r w:rsidRPr="00275FBD">
              <w:rPr>
                <w:rFonts w:ascii="Calibri" w:hAnsi="Calibri"/>
                <w:color w:val="000000" w:themeColor="text1"/>
                <w:sz w:val="18"/>
                <w:szCs w:val="18"/>
                <w:lang w:val="sl-SI" w:eastAsia="en-GB"/>
              </w:rPr>
              <w:t>included</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 xml:space="preserve">OSF element: </w:t>
            </w:r>
            <w:proofErr w:type="spellStart"/>
            <w:r w:rsidRPr="00275FBD">
              <w:rPr>
                <w:rFonts w:ascii="Calibri" w:hAnsi="Calibri"/>
                <w:color w:val="000000" w:themeColor="text1"/>
                <w:sz w:val="18"/>
                <w:szCs w:val="18"/>
                <w:lang w:val="sl-SI" w:eastAsia="en-GB"/>
              </w:rPr>
              <w:t>Change</w:t>
            </w:r>
            <w:proofErr w:type="spellEnd"/>
            <w:r w:rsidRPr="00275FBD">
              <w:rPr>
                <w:rFonts w:ascii="Calibri" w:hAnsi="Calibri"/>
                <w:color w:val="000000" w:themeColor="text1"/>
                <w:sz w:val="18"/>
                <w:szCs w:val="18"/>
                <w:lang w:val="sl-SI" w:eastAsia="en-GB"/>
              </w:rPr>
              <w:t xml:space="preserve"> Review </w:t>
            </w:r>
            <w:proofErr w:type="spellStart"/>
            <w:r w:rsidRPr="00275FBD">
              <w:rPr>
                <w:rFonts w:ascii="Calibri" w:hAnsi="Calibri"/>
                <w:color w:val="000000" w:themeColor="text1"/>
                <w:sz w:val="18"/>
                <w:szCs w:val="18"/>
                <w:lang w:val="sl-SI" w:eastAsia="en-GB"/>
              </w:rPr>
              <w:t>Process</w:t>
            </w:r>
            <w:proofErr w:type="spellEnd"/>
            <w:r w:rsidRPr="00275FBD">
              <w:rPr>
                <w:rFonts w:ascii="Calibri" w:hAnsi="Calibri"/>
                <w:color w:val="000000" w:themeColor="text1"/>
                <w:sz w:val="18"/>
                <w:szCs w:val="18"/>
                <w:lang w:val="sl-SI" w:eastAsia="en-GB"/>
              </w:rPr>
              <w:t>.</w:t>
            </w:r>
            <w:r w:rsidRPr="00275FBD">
              <w:rPr>
                <w:rFonts w:ascii="Calibri" w:hAnsi="Calibri"/>
                <w:color w:val="000000" w:themeColor="text1"/>
                <w:sz w:val="18"/>
                <w:szCs w:val="18"/>
                <w:lang w:val="sl-SI" w:eastAsia="en-GB"/>
              </w:rPr>
              <w:br/>
              <w:t xml:space="preserve">TS / USAR update or </w:t>
            </w:r>
            <w:proofErr w:type="spellStart"/>
            <w:r w:rsidRPr="00275FBD">
              <w:rPr>
                <w:rFonts w:ascii="Calibri" w:hAnsi="Calibri"/>
                <w:color w:val="000000" w:themeColor="text1"/>
                <w:sz w:val="18"/>
                <w:szCs w:val="18"/>
                <w:lang w:val="sl-SI" w:eastAsia="en-GB"/>
              </w:rPr>
              <w:t>correction</w:t>
            </w:r>
            <w:proofErr w:type="spellEnd"/>
            <w:r w:rsidRPr="00275FBD">
              <w:rPr>
                <w:rFonts w:ascii="Calibri" w:hAnsi="Calibri"/>
                <w:color w:val="000000" w:themeColor="text1"/>
                <w:sz w:val="18"/>
                <w:szCs w:val="18"/>
                <w:lang w:val="sl-SI" w:eastAsia="en-GB"/>
              </w:rPr>
              <w:t>.</w:t>
            </w:r>
          </w:p>
        </w:tc>
        <w:tc>
          <w:tcPr>
            <w:tcW w:w="993" w:type="dxa"/>
          </w:tcPr>
          <w:p w14:paraId="6DCB2756"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3.3.3</w:t>
            </w:r>
          </w:p>
        </w:tc>
        <w:tc>
          <w:tcPr>
            <w:tcW w:w="5244" w:type="dxa"/>
          </w:tcPr>
          <w:p w14:paraId="25B0F07A"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Monitoring </w:t>
            </w:r>
            <w:proofErr w:type="spellStart"/>
            <w:r w:rsidRPr="00275FBD">
              <w:rPr>
                <w:rFonts w:ascii="Calibri" w:hAnsi="Calibri"/>
                <w:color w:val="000000"/>
                <w:sz w:val="18"/>
                <w:szCs w:val="18"/>
                <w:lang w:val="sl-SI" w:eastAsia="en-GB"/>
              </w:rPr>
              <w:t>equipment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especially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such</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radiation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monitors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should</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listed</w:t>
            </w:r>
            <w:proofErr w:type="spellEnd"/>
            <w:r w:rsidRPr="00275FBD">
              <w:rPr>
                <w:rFonts w:ascii="Calibri" w:hAnsi="Calibri"/>
                <w:color w:val="000000"/>
                <w:sz w:val="18"/>
                <w:szCs w:val="18"/>
                <w:lang w:val="sl-SI" w:eastAsia="en-GB"/>
              </w:rPr>
              <w:t xml:space="preserve"> in USAR.</w:t>
            </w:r>
          </w:p>
        </w:tc>
        <w:tc>
          <w:tcPr>
            <w:tcW w:w="2694" w:type="dxa"/>
          </w:tcPr>
          <w:p w14:paraId="100630E5"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178F4057" w14:textId="77777777" w:rsidTr="00935B67">
        <w:tc>
          <w:tcPr>
            <w:tcW w:w="1384" w:type="dxa"/>
            <w:shd w:val="clear" w:color="auto" w:fill="DEA400"/>
          </w:tcPr>
          <w:p w14:paraId="6CEAAC9C"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sz w:val="18"/>
                <w:szCs w:val="18"/>
                <w:lang w:val="sl-SI" w:eastAsia="en-GB"/>
              </w:rPr>
              <w:lastRenderedPageBreak/>
              <w:t>PSR3 7.1-050</w:t>
            </w:r>
          </w:p>
        </w:tc>
        <w:tc>
          <w:tcPr>
            <w:tcW w:w="3827" w:type="dxa"/>
          </w:tcPr>
          <w:p w14:paraId="01ECC460" w14:textId="77777777" w:rsidR="00935B67" w:rsidRPr="00275FBD" w:rsidRDefault="00935B67" w:rsidP="00935B67">
            <w:pPr>
              <w:jc w:val="left"/>
              <w:rPr>
                <w:rFonts w:ascii="Calibri" w:hAnsi="Calibri"/>
                <w:color w:val="000000"/>
                <w:sz w:val="18"/>
                <w:szCs w:val="18"/>
                <w:lang w:val="sl-SI" w:eastAsia="en-GB"/>
              </w:rPr>
            </w:pPr>
            <w:proofErr w:type="spellStart"/>
            <w:r w:rsidRPr="00275FBD">
              <w:rPr>
                <w:rFonts w:ascii="Calibri" w:hAnsi="Calibri"/>
                <w:color w:val="000000"/>
                <w:sz w:val="18"/>
                <w:szCs w:val="18"/>
                <w:lang w:val="sl-SI" w:eastAsia="en-GB"/>
              </w:rPr>
              <w:t>Dosimetry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systems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discrepancies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Systems</w:t>
            </w:r>
            <w:proofErr w:type="spellEnd"/>
            <w:r w:rsidRPr="00275FBD">
              <w:rPr>
                <w:rFonts w:ascii="Calibri" w:hAnsi="Calibri"/>
                <w:color w:val="000000"/>
                <w:sz w:val="18"/>
                <w:szCs w:val="18"/>
                <w:lang w:val="sl-SI" w:eastAsia="en-GB"/>
              </w:rPr>
              <w:t xml:space="preserve"> / </w:t>
            </w:r>
            <w:proofErr w:type="spellStart"/>
            <w:r w:rsidRPr="00275FBD">
              <w:rPr>
                <w:rFonts w:ascii="Calibri" w:hAnsi="Calibri"/>
                <w:color w:val="000000"/>
                <w:sz w:val="18"/>
                <w:szCs w:val="18"/>
                <w:lang w:val="sl-SI" w:eastAsia="en-GB"/>
              </w:rPr>
              <w:t>functions</w:t>
            </w:r>
            <w:proofErr w:type="spellEnd"/>
            <w:r w:rsidRPr="00275FBD">
              <w:rPr>
                <w:rFonts w:ascii="Calibri" w:hAnsi="Calibri"/>
                <w:color w:val="000000"/>
                <w:sz w:val="18"/>
                <w:szCs w:val="18"/>
                <w:lang w:val="sl-SI" w:eastAsia="en-GB"/>
              </w:rPr>
              <w:t xml:space="preserve">: Health </w:t>
            </w:r>
            <w:proofErr w:type="spellStart"/>
            <w:r w:rsidRPr="00275FBD">
              <w:rPr>
                <w:rFonts w:ascii="Calibri" w:hAnsi="Calibri"/>
                <w:color w:val="000000"/>
                <w:sz w:val="18"/>
                <w:szCs w:val="18"/>
                <w:lang w:val="sl-SI" w:eastAsia="en-GB"/>
              </w:rPr>
              <w:t>protection</w:t>
            </w:r>
            <w:proofErr w:type="spellEnd"/>
            <w:r w:rsidRPr="00275FBD">
              <w:rPr>
                <w:rFonts w:ascii="Calibri" w:hAnsi="Calibri"/>
                <w:color w:val="000000"/>
                <w:sz w:val="18"/>
                <w:szCs w:val="18"/>
                <w:lang w:val="sl-SI" w:eastAsia="en-GB"/>
              </w:rPr>
              <w:t xml:space="preserve"> of </w:t>
            </w:r>
            <w:proofErr w:type="spellStart"/>
            <w:r w:rsidRPr="00275FBD">
              <w:rPr>
                <w:rFonts w:ascii="Calibri" w:hAnsi="Calibri"/>
                <w:color w:val="000000"/>
                <w:sz w:val="18"/>
                <w:szCs w:val="18"/>
                <w:lang w:val="sl-SI" w:eastAsia="en-GB"/>
              </w:rPr>
              <w:t>workers</w:t>
            </w:r>
            <w:proofErr w:type="spellEnd"/>
            <w:r w:rsidRPr="00275FBD">
              <w:rPr>
                <w:rFonts w:ascii="Calibri" w:hAnsi="Calibri"/>
                <w:color w:val="000000"/>
                <w:sz w:val="18"/>
                <w:szCs w:val="18"/>
                <w:lang w:val="sl-SI" w:eastAsia="en-GB"/>
              </w:rPr>
              <w:t xml:space="preserve">; Risk / DOD </w:t>
            </w:r>
            <w:proofErr w:type="spellStart"/>
            <w:r w:rsidRPr="00275FBD">
              <w:rPr>
                <w:rFonts w:ascii="Calibri" w:hAnsi="Calibri"/>
                <w:color w:val="000000"/>
                <w:sz w:val="18"/>
                <w:szCs w:val="18"/>
                <w:lang w:val="sl-SI" w:eastAsia="en-GB"/>
              </w:rPr>
              <w:t>significance</w:t>
            </w:r>
            <w:proofErr w:type="spellEnd"/>
            <w:r w:rsidRPr="00275FBD">
              <w:rPr>
                <w:rFonts w:ascii="Calibri" w:hAnsi="Calibri"/>
                <w:color w:val="000000"/>
                <w:sz w:val="18"/>
                <w:szCs w:val="18"/>
                <w:lang w:val="sl-SI" w:eastAsia="en-GB"/>
              </w:rPr>
              <w:t>: TL.</w:t>
            </w:r>
          </w:p>
        </w:tc>
        <w:tc>
          <w:tcPr>
            <w:tcW w:w="993" w:type="dxa"/>
          </w:tcPr>
          <w:p w14:paraId="73365955"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3.3.3</w:t>
            </w:r>
          </w:p>
        </w:tc>
        <w:tc>
          <w:tcPr>
            <w:tcW w:w="5244" w:type="dxa"/>
          </w:tcPr>
          <w:p w14:paraId="070E1682"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Self-</w:t>
            </w:r>
            <w:proofErr w:type="spellStart"/>
            <w:r w:rsidRPr="00275FBD">
              <w:rPr>
                <w:rFonts w:ascii="Calibri" w:hAnsi="Calibri"/>
                <w:color w:val="000000"/>
                <w:sz w:val="18"/>
                <w:szCs w:val="18"/>
                <w:lang w:val="sl-SI" w:eastAsia="en-GB"/>
              </w:rPr>
              <w:t>evident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finding</w:t>
            </w:r>
            <w:proofErr w:type="spellEnd"/>
            <w:r w:rsidRPr="00275FBD">
              <w:rPr>
                <w:rFonts w:ascii="Calibri" w:hAnsi="Calibri"/>
                <w:color w:val="000000"/>
                <w:sz w:val="18"/>
                <w:szCs w:val="18"/>
                <w:lang w:val="sl-SI" w:eastAsia="en-GB"/>
              </w:rPr>
              <w:t xml:space="preserve"> with no </w:t>
            </w:r>
            <w:proofErr w:type="spellStart"/>
            <w:r w:rsidRPr="00275FBD">
              <w:rPr>
                <w:rFonts w:ascii="Calibri" w:hAnsi="Calibri"/>
                <w:color w:val="000000"/>
                <w:sz w:val="18"/>
                <w:szCs w:val="18"/>
                <w:lang w:val="sl-SI" w:eastAsia="en-GB"/>
              </w:rPr>
              <w:t>need</w:t>
            </w:r>
            <w:proofErr w:type="spellEnd"/>
            <w:r w:rsidRPr="00275FBD">
              <w:rPr>
                <w:rFonts w:ascii="Calibri" w:hAnsi="Calibri"/>
                <w:color w:val="000000"/>
                <w:sz w:val="18"/>
                <w:szCs w:val="18"/>
                <w:lang w:val="sl-SI" w:eastAsia="en-GB"/>
              </w:rPr>
              <w:t xml:space="preserve"> for </w:t>
            </w:r>
            <w:proofErr w:type="spellStart"/>
            <w:r w:rsidRPr="00275FBD">
              <w:rPr>
                <w:rFonts w:ascii="Calibri" w:hAnsi="Calibri"/>
                <w:color w:val="000000"/>
                <w:sz w:val="18"/>
                <w:szCs w:val="18"/>
                <w:lang w:val="sl-SI" w:eastAsia="en-GB"/>
              </w:rPr>
              <w:t>further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justification</w:t>
            </w:r>
            <w:proofErr w:type="spellEnd"/>
            <w:r w:rsidRPr="00275FBD">
              <w:rPr>
                <w:rFonts w:ascii="Calibri" w:hAnsi="Calibri"/>
                <w:color w:val="000000"/>
                <w:sz w:val="18"/>
                <w:szCs w:val="18"/>
                <w:lang w:val="sl-SI" w:eastAsia="en-GB"/>
              </w:rPr>
              <w:t>.</w:t>
            </w:r>
          </w:p>
        </w:tc>
        <w:tc>
          <w:tcPr>
            <w:tcW w:w="2694" w:type="dxa"/>
          </w:tcPr>
          <w:p w14:paraId="42823099"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bl>
    <w:p w14:paraId="68194579" w14:textId="77777777" w:rsidR="00935B67" w:rsidRPr="00275FBD" w:rsidRDefault="00935B67" w:rsidP="00935B67">
      <w:pPr>
        <w:rPr>
          <w:lang w:val="sl-SI"/>
        </w:rPr>
      </w:pPr>
    </w:p>
    <w:p w14:paraId="4D5A991D" w14:textId="77777777" w:rsidR="000623DA" w:rsidRPr="00275FBD" w:rsidRDefault="000623DA" w:rsidP="00935B67">
      <w:pPr>
        <w:rPr>
          <w:lang w:val="sl-SI"/>
        </w:rPr>
      </w:pPr>
    </w:p>
    <w:p w14:paraId="148064A3" w14:textId="06D6B3A4" w:rsidR="00364109" w:rsidRPr="00275FBD" w:rsidRDefault="00364109" w:rsidP="00364109">
      <w:pPr>
        <w:pStyle w:val="Napis"/>
        <w:rPr>
          <w:lang w:val="sl-SI"/>
        </w:rPr>
      </w:pPr>
      <w:bookmarkStart w:id="189" w:name="_Ref138606538"/>
      <w:bookmarkStart w:id="190" w:name="_Toc163197449"/>
      <w:r w:rsidRPr="00275FBD">
        <w:rPr>
          <w:lang w:val="sl-SI"/>
        </w:rPr>
        <w:t>Tabela A-</w:t>
      </w:r>
      <w:r w:rsidRPr="00275FBD">
        <w:rPr>
          <w:lang w:val="sl-SI"/>
        </w:rPr>
        <w:fldChar w:fldCharType="begin"/>
      </w:r>
      <w:r w:rsidRPr="00275FBD">
        <w:rPr>
          <w:lang w:val="sl-SI"/>
        </w:rPr>
        <w:instrText xml:space="preserve"> SEQ Tabela_A- \* ARABIC </w:instrText>
      </w:r>
      <w:r w:rsidRPr="00275FBD">
        <w:rPr>
          <w:lang w:val="sl-SI"/>
        </w:rPr>
        <w:fldChar w:fldCharType="separate"/>
      </w:r>
      <w:r w:rsidR="00BA25CD">
        <w:rPr>
          <w:noProof/>
          <w:lang w:val="sl-SI"/>
        </w:rPr>
        <w:t>5</w:t>
      </w:r>
      <w:r w:rsidRPr="00275FBD">
        <w:rPr>
          <w:lang w:val="sl-SI"/>
        </w:rPr>
        <w:fldChar w:fldCharType="end"/>
      </w:r>
      <w:r w:rsidRPr="00275FBD">
        <w:rPr>
          <w:lang w:val="sl-SI"/>
        </w:rPr>
        <w:t xml:space="preserve">: Seznam </w:t>
      </w:r>
      <w:r w:rsidR="00BD5705" w:rsidRPr="00275FBD">
        <w:rPr>
          <w:lang w:val="sl-SI"/>
        </w:rPr>
        <w:t xml:space="preserve">najdb </w:t>
      </w:r>
      <w:r w:rsidRPr="00275FBD">
        <w:rPr>
          <w:lang w:val="sl-SI"/>
        </w:rPr>
        <w:t xml:space="preserve">za vključitev v IAP / CAP na podlagi praktičnih argumentov – </w:t>
      </w:r>
      <w:bookmarkEnd w:id="189"/>
      <w:r w:rsidR="00F8499D">
        <w:rPr>
          <w:lang w:val="sl-SI"/>
        </w:rPr>
        <w:t>pooblaščena organizacija</w:t>
      </w:r>
      <w:r w:rsidR="007A3D6A">
        <w:rPr>
          <w:lang w:val="sl-SI"/>
        </w:rPr>
        <w:t xml:space="preserve"> (AI)</w:t>
      </w:r>
      <w:bookmarkEnd w:id="190"/>
    </w:p>
    <w:tbl>
      <w:tblPr>
        <w:tblStyle w:val="Tabelamrea"/>
        <w:tblW w:w="14142" w:type="dxa"/>
        <w:tblLook w:val="04A0" w:firstRow="1" w:lastRow="0" w:firstColumn="1" w:lastColumn="0" w:noHBand="0" w:noVBand="1"/>
      </w:tblPr>
      <w:tblGrid>
        <w:gridCol w:w="1384"/>
        <w:gridCol w:w="3827"/>
        <w:gridCol w:w="1244"/>
        <w:gridCol w:w="5986"/>
        <w:gridCol w:w="1701"/>
      </w:tblGrid>
      <w:tr w:rsidR="00935B67" w:rsidRPr="00275FBD" w14:paraId="1D3A1B8B" w14:textId="77777777" w:rsidTr="008D5B31">
        <w:trPr>
          <w:tblHeader/>
        </w:trPr>
        <w:tc>
          <w:tcPr>
            <w:tcW w:w="1384" w:type="dxa"/>
            <w:shd w:val="clear" w:color="auto" w:fill="BFBFBF" w:themeFill="background1" w:themeFillShade="BF"/>
          </w:tcPr>
          <w:p w14:paraId="32A4D372" w14:textId="77777777" w:rsidR="00935B67" w:rsidRPr="00275FBD" w:rsidRDefault="00935B67" w:rsidP="00935B67">
            <w:pPr>
              <w:rPr>
                <w:rFonts w:ascii="Calibri" w:hAnsi="Calibri"/>
                <w:b/>
                <w:bCs/>
                <w:color w:val="000000"/>
                <w:sz w:val="18"/>
                <w:szCs w:val="18"/>
                <w:lang w:val="sl-SI" w:eastAsia="en-GB"/>
              </w:rPr>
            </w:pPr>
            <w:proofErr w:type="spellStart"/>
            <w:r w:rsidRPr="00275FBD">
              <w:rPr>
                <w:rFonts w:ascii="Calibri" w:hAnsi="Calibri"/>
                <w:b/>
                <w:bCs/>
                <w:color w:val="000000"/>
                <w:sz w:val="18"/>
                <w:szCs w:val="18"/>
                <w:lang w:val="sl-SI" w:eastAsia="en-GB"/>
              </w:rPr>
              <w:t>Issue</w:t>
            </w:r>
            <w:proofErr w:type="spellEnd"/>
            <w:r w:rsidRPr="00275FBD">
              <w:rPr>
                <w:rFonts w:ascii="Calibri" w:hAnsi="Calibri"/>
                <w:b/>
                <w:bCs/>
                <w:color w:val="000000"/>
                <w:sz w:val="18"/>
                <w:szCs w:val="18"/>
                <w:lang w:val="sl-SI" w:eastAsia="en-GB"/>
              </w:rPr>
              <w:t xml:space="preserve"> ID</w:t>
            </w:r>
          </w:p>
        </w:tc>
        <w:tc>
          <w:tcPr>
            <w:tcW w:w="3827" w:type="dxa"/>
            <w:shd w:val="clear" w:color="auto" w:fill="BFBFBF" w:themeFill="background1" w:themeFillShade="BF"/>
          </w:tcPr>
          <w:p w14:paraId="78508012" w14:textId="77777777" w:rsidR="00935B67" w:rsidRPr="00275FBD" w:rsidRDefault="00935B67" w:rsidP="00935B67">
            <w:pPr>
              <w:rPr>
                <w:rFonts w:ascii="Calibri" w:hAnsi="Calibri"/>
                <w:b/>
                <w:bCs/>
                <w:color w:val="000000"/>
                <w:sz w:val="18"/>
                <w:szCs w:val="18"/>
                <w:lang w:val="sl-SI" w:eastAsia="en-GB"/>
              </w:rPr>
            </w:pPr>
            <w:proofErr w:type="spellStart"/>
            <w:r w:rsidRPr="00275FBD">
              <w:rPr>
                <w:rFonts w:ascii="Calibri" w:hAnsi="Calibri"/>
                <w:b/>
                <w:bCs/>
                <w:color w:val="000000"/>
                <w:sz w:val="18"/>
                <w:szCs w:val="18"/>
                <w:lang w:val="sl-SI" w:eastAsia="en-GB"/>
              </w:rPr>
              <w:t>Description</w:t>
            </w:r>
            <w:proofErr w:type="spellEnd"/>
            <w:r w:rsidRPr="00275FBD">
              <w:rPr>
                <w:rFonts w:ascii="Calibri" w:hAnsi="Calibri"/>
                <w:b/>
                <w:bCs/>
                <w:color w:val="000000"/>
                <w:sz w:val="18"/>
                <w:szCs w:val="18"/>
                <w:lang w:val="sl-SI" w:eastAsia="en-GB"/>
              </w:rPr>
              <w:t xml:space="preserve"> / Evaluation</w:t>
            </w:r>
          </w:p>
        </w:tc>
        <w:tc>
          <w:tcPr>
            <w:tcW w:w="1244" w:type="dxa"/>
            <w:shd w:val="clear" w:color="auto" w:fill="BFBFBF" w:themeFill="background1" w:themeFillShade="BF"/>
          </w:tcPr>
          <w:p w14:paraId="434E3391" w14:textId="77777777" w:rsidR="00935B67" w:rsidRPr="00275FBD" w:rsidRDefault="00935B67" w:rsidP="00935B67">
            <w:pPr>
              <w:jc w:val="center"/>
              <w:rPr>
                <w:rFonts w:ascii="Calibri" w:hAnsi="Calibri"/>
                <w:b/>
                <w:bCs/>
                <w:color w:val="000000"/>
                <w:sz w:val="18"/>
                <w:szCs w:val="18"/>
                <w:lang w:val="sl-SI" w:eastAsia="en-GB"/>
              </w:rPr>
            </w:pPr>
            <w:r w:rsidRPr="00275FBD">
              <w:rPr>
                <w:rFonts w:ascii="Calibri" w:hAnsi="Calibri"/>
                <w:b/>
                <w:bCs/>
                <w:color w:val="000000"/>
                <w:sz w:val="18"/>
                <w:szCs w:val="18"/>
                <w:lang w:val="sl-SI" w:eastAsia="en-GB"/>
              </w:rPr>
              <w:t xml:space="preserve">SN </w:t>
            </w:r>
            <w:proofErr w:type="spellStart"/>
            <w:r w:rsidRPr="00275FBD">
              <w:rPr>
                <w:rFonts w:ascii="Calibri" w:hAnsi="Calibri"/>
                <w:b/>
                <w:bCs/>
                <w:color w:val="000000"/>
                <w:sz w:val="18"/>
                <w:szCs w:val="18"/>
                <w:lang w:val="sl-SI" w:eastAsia="en-GB"/>
              </w:rPr>
              <w:t>Rank</w:t>
            </w:r>
            <w:proofErr w:type="spellEnd"/>
          </w:p>
        </w:tc>
        <w:tc>
          <w:tcPr>
            <w:tcW w:w="5986" w:type="dxa"/>
            <w:shd w:val="clear" w:color="auto" w:fill="BFBFBF" w:themeFill="background1" w:themeFillShade="BF"/>
          </w:tcPr>
          <w:p w14:paraId="2A1D1346" w14:textId="77777777" w:rsidR="00935B67" w:rsidRPr="00275FBD" w:rsidRDefault="00935B67" w:rsidP="00935B67">
            <w:pPr>
              <w:rPr>
                <w:rFonts w:ascii="Calibri" w:hAnsi="Calibri"/>
                <w:b/>
                <w:bCs/>
                <w:color w:val="000000"/>
                <w:sz w:val="18"/>
                <w:szCs w:val="18"/>
                <w:lang w:val="sl-SI" w:eastAsia="en-GB"/>
              </w:rPr>
            </w:pPr>
            <w:r w:rsidRPr="00275FBD">
              <w:rPr>
                <w:rFonts w:ascii="Calibri" w:hAnsi="Calibri"/>
                <w:b/>
                <w:bCs/>
                <w:color w:val="000000"/>
                <w:sz w:val="18"/>
                <w:szCs w:val="18"/>
                <w:lang w:val="sl-SI" w:eastAsia="en-GB"/>
              </w:rPr>
              <w:t xml:space="preserve">AI </w:t>
            </w:r>
            <w:proofErr w:type="spellStart"/>
            <w:r w:rsidRPr="00275FBD">
              <w:rPr>
                <w:rFonts w:ascii="Calibri" w:hAnsi="Calibri"/>
                <w:b/>
                <w:bCs/>
                <w:color w:val="000000"/>
                <w:sz w:val="18"/>
                <w:szCs w:val="18"/>
                <w:lang w:val="sl-SI" w:eastAsia="en-GB"/>
              </w:rPr>
              <w:t>Justification</w:t>
            </w:r>
            <w:proofErr w:type="spellEnd"/>
          </w:p>
        </w:tc>
        <w:tc>
          <w:tcPr>
            <w:tcW w:w="1701" w:type="dxa"/>
            <w:shd w:val="clear" w:color="auto" w:fill="BFBFBF" w:themeFill="background1" w:themeFillShade="BF"/>
          </w:tcPr>
          <w:p w14:paraId="387936DA" w14:textId="77777777" w:rsidR="00935B67" w:rsidRPr="00275FBD" w:rsidRDefault="00935B67" w:rsidP="00935B67">
            <w:pPr>
              <w:rPr>
                <w:rFonts w:ascii="Calibri" w:hAnsi="Calibri"/>
                <w:b/>
                <w:bCs/>
                <w:color w:val="000000"/>
                <w:sz w:val="18"/>
                <w:szCs w:val="18"/>
                <w:lang w:val="sl-SI" w:eastAsia="en-GB"/>
              </w:rPr>
            </w:pPr>
            <w:r w:rsidRPr="00275FBD">
              <w:rPr>
                <w:rFonts w:ascii="Calibri" w:hAnsi="Calibri"/>
                <w:b/>
                <w:bCs/>
                <w:color w:val="000000"/>
                <w:sz w:val="18"/>
                <w:szCs w:val="18"/>
                <w:lang w:val="sl-SI" w:eastAsia="en-GB"/>
              </w:rPr>
              <w:t xml:space="preserve">Time Implementation </w:t>
            </w:r>
            <w:proofErr w:type="spellStart"/>
            <w:r w:rsidRPr="00275FBD">
              <w:rPr>
                <w:rFonts w:ascii="Calibri" w:hAnsi="Calibri"/>
                <w:b/>
                <w:bCs/>
                <w:color w:val="000000"/>
                <w:sz w:val="18"/>
                <w:szCs w:val="18"/>
                <w:lang w:val="sl-SI" w:eastAsia="en-GB"/>
              </w:rPr>
              <w:t>Category</w:t>
            </w:r>
            <w:proofErr w:type="spellEnd"/>
          </w:p>
        </w:tc>
      </w:tr>
      <w:tr w:rsidR="00935B67" w:rsidRPr="00275FBD" w14:paraId="53E547E8" w14:textId="77777777" w:rsidTr="008D5B31">
        <w:tc>
          <w:tcPr>
            <w:tcW w:w="1384" w:type="dxa"/>
            <w:shd w:val="clear" w:color="auto" w:fill="auto"/>
          </w:tcPr>
          <w:p w14:paraId="593F6EDF"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sz w:val="18"/>
                <w:szCs w:val="18"/>
                <w:lang w:val="sl-SI" w:eastAsia="en-GB"/>
              </w:rPr>
              <w:t>PSR3 3.1-005</w:t>
            </w:r>
          </w:p>
        </w:tc>
        <w:tc>
          <w:tcPr>
            <w:tcW w:w="3827" w:type="dxa"/>
          </w:tcPr>
          <w:p w14:paraId="718D56DF"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VA72441 SSC trend </w:t>
            </w:r>
            <w:proofErr w:type="spellStart"/>
            <w:r w:rsidRPr="00275FBD">
              <w:rPr>
                <w:rFonts w:ascii="Calibri" w:hAnsi="Calibri"/>
                <w:color w:val="000000"/>
                <w:sz w:val="18"/>
                <w:szCs w:val="18"/>
                <w:lang w:val="sl-SI" w:eastAsia="en-GB"/>
              </w:rPr>
              <w:t>analysis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Systems</w:t>
            </w:r>
            <w:proofErr w:type="spellEnd"/>
            <w:r w:rsidRPr="00275FBD">
              <w:rPr>
                <w:rFonts w:ascii="Calibri" w:hAnsi="Calibri"/>
                <w:color w:val="000000"/>
                <w:sz w:val="18"/>
                <w:szCs w:val="18"/>
                <w:lang w:val="sl-SI" w:eastAsia="en-GB"/>
              </w:rPr>
              <w:t xml:space="preserve"> / </w:t>
            </w:r>
            <w:proofErr w:type="spellStart"/>
            <w:r w:rsidRPr="00275FBD">
              <w:rPr>
                <w:rFonts w:ascii="Calibri" w:hAnsi="Calibri"/>
                <w:color w:val="000000"/>
                <w:sz w:val="18"/>
                <w:szCs w:val="18"/>
                <w:lang w:val="sl-SI" w:eastAsia="en-GB"/>
              </w:rPr>
              <w:t>functions</w:t>
            </w:r>
            <w:proofErr w:type="spellEnd"/>
            <w:r w:rsidRPr="00275FBD">
              <w:rPr>
                <w:rFonts w:ascii="Calibri" w:hAnsi="Calibri"/>
                <w:color w:val="000000"/>
                <w:sz w:val="18"/>
                <w:szCs w:val="18"/>
                <w:lang w:val="sl-SI" w:eastAsia="en-GB"/>
              </w:rPr>
              <w:t xml:space="preserve">: FHB SFP area </w:t>
            </w:r>
            <w:proofErr w:type="spellStart"/>
            <w:r w:rsidRPr="00275FBD">
              <w:rPr>
                <w:rFonts w:ascii="Calibri" w:hAnsi="Calibri"/>
                <w:color w:val="000000"/>
                <w:sz w:val="18"/>
                <w:szCs w:val="18"/>
                <w:lang w:val="sl-SI" w:eastAsia="en-GB"/>
              </w:rPr>
              <w:t>charcoal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cleaning</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exhaust</w:t>
            </w:r>
            <w:proofErr w:type="spellEnd"/>
            <w:r w:rsidRPr="00275FBD">
              <w:rPr>
                <w:rFonts w:ascii="Calibri" w:hAnsi="Calibri"/>
                <w:color w:val="000000"/>
                <w:sz w:val="18"/>
                <w:szCs w:val="18"/>
                <w:lang w:val="sl-SI" w:eastAsia="en-GB"/>
              </w:rPr>
              <w:t xml:space="preserve">; Risk / DOD </w:t>
            </w:r>
            <w:proofErr w:type="spellStart"/>
            <w:r w:rsidRPr="00275FBD">
              <w:rPr>
                <w:rFonts w:ascii="Calibri" w:hAnsi="Calibri"/>
                <w:color w:val="000000"/>
                <w:sz w:val="18"/>
                <w:szCs w:val="18"/>
                <w:lang w:val="sl-SI" w:eastAsia="en-GB"/>
              </w:rPr>
              <w:t>significance</w:t>
            </w:r>
            <w:proofErr w:type="spellEnd"/>
            <w:r w:rsidRPr="00275FBD">
              <w:rPr>
                <w:rFonts w:ascii="Calibri" w:hAnsi="Calibri"/>
                <w:color w:val="000000"/>
                <w:sz w:val="18"/>
                <w:szCs w:val="18"/>
                <w:lang w:val="sl-SI" w:eastAsia="en-GB"/>
              </w:rPr>
              <w:t>: MS.</w:t>
            </w:r>
          </w:p>
          <w:p w14:paraId="564A9E80"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It </w:t>
            </w:r>
            <w:proofErr w:type="spellStart"/>
            <w:r w:rsidRPr="00275FBD">
              <w:rPr>
                <w:rFonts w:ascii="Calibri" w:hAnsi="Calibri"/>
                <w:color w:val="000000"/>
                <w:sz w:val="18"/>
                <w:szCs w:val="18"/>
                <w:lang w:val="sl-SI" w:eastAsia="en-GB"/>
              </w:rPr>
              <w:t>was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observed</w:t>
            </w:r>
            <w:proofErr w:type="spellEnd"/>
            <w:r w:rsidRPr="00275FBD">
              <w:rPr>
                <w:rFonts w:ascii="Calibri" w:hAnsi="Calibri"/>
                <w:color w:val="000000"/>
                <w:sz w:val="18"/>
                <w:szCs w:val="18"/>
                <w:lang w:val="sl-SI" w:eastAsia="en-GB"/>
              </w:rPr>
              <w:t xml:space="preserve"> by spot </w:t>
            </w:r>
            <w:proofErr w:type="spellStart"/>
            <w:r w:rsidRPr="00275FBD">
              <w:rPr>
                <w:rFonts w:ascii="Calibri" w:hAnsi="Calibri"/>
                <w:color w:val="000000"/>
                <w:sz w:val="18"/>
                <w:szCs w:val="18"/>
                <w:lang w:val="sl-SI" w:eastAsia="en-GB"/>
              </w:rPr>
              <w:t>check</w:t>
            </w:r>
            <w:proofErr w:type="spellEnd"/>
            <w:r w:rsidRPr="00275FBD">
              <w:rPr>
                <w:rFonts w:ascii="Calibri" w:hAnsi="Calibri"/>
                <w:color w:val="000000"/>
                <w:sz w:val="18"/>
                <w:szCs w:val="18"/>
                <w:lang w:val="sl-SI" w:eastAsia="en-GB"/>
              </w:rPr>
              <w:t xml:space="preserve"> of </w:t>
            </w:r>
            <w:proofErr w:type="spellStart"/>
            <w:r w:rsidRPr="00275FBD">
              <w:rPr>
                <w:rFonts w:ascii="Calibri" w:hAnsi="Calibri"/>
                <w:color w:val="000000"/>
                <w:sz w:val="18"/>
                <w:szCs w:val="18"/>
                <w:lang w:val="sl-SI" w:eastAsia="en-GB"/>
              </w:rPr>
              <w:t>event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reported</w:t>
            </w:r>
            <w:proofErr w:type="spellEnd"/>
            <w:r w:rsidRPr="00275FBD">
              <w:rPr>
                <w:rFonts w:ascii="Calibri" w:hAnsi="Calibri"/>
                <w:color w:val="000000"/>
                <w:sz w:val="18"/>
                <w:szCs w:val="18"/>
                <w:lang w:val="sl-SI" w:eastAsia="en-GB"/>
              </w:rPr>
              <w:t xml:space="preserve"> by CAP 2012- 3256 and a review of the </w:t>
            </w:r>
            <w:proofErr w:type="spellStart"/>
            <w:r w:rsidRPr="00275FBD">
              <w:rPr>
                <w:rFonts w:ascii="Calibri" w:hAnsi="Calibri"/>
                <w:color w:val="000000"/>
                <w:sz w:val="18"/>
                <w:szCs w:val="18"/>
                <w:lang w:val="sl-SI" w:eastAsia="en-GB"/>
              </w:rPr>
              <w:t>history</w:t>
            </w:r>
            <w:proofErr w:type="spellEnd"/>
            <w:r w:rsidRPr="00275FBD">
              <w:rPr>
                <w:rFonts w:ascii="Calibri" w:hAnsi="Calibri"/>
                <w:color w:val="000000"/>
                <w:sz w:val="18"/>
                <w:szCs w:val="18"/>
                <w:lang w:val="sl-SI" w:eastAsia="en-GB"/>
              </w:rPr>
              <w:t xml:space="preserve"> of </w:t>
            </w:r>
            <w:proofErr w:type="spellStart"/>
            <w:r w:rsidRPr="00275FBD">
              <w:rPr>
                <w:rFonts w:ascii="Calibri" w:hAnsi="Calibri"/>
                <w:color w:val="000000"/>
                <w:sz w:val="18"/>
                <w:szCs w:val="18"/>
                <w:lang w:val="sl-SI" w:eastAsia="en-GB"/>
              </w:rPr>
              <w:t>corrective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action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requests</w:t>
            </w:r>
            <w:proofErr w:type="spellEnd"/>
            <w:r w:rsidRPr="00275FBD">
              <w:rPr>
                <w:rFonts w:ascii="Calibri" w:hAnsi="Calibri"/>
                <w:color w:val="000000"/>
                <w:sz w:val="18"/>
                <w:szCs w:val="18"/>
                <w:lang w:val="sl-SI" w:eastAsia="en-GB"/>
              </w:rPr>
              <w:t xml:space="preserve"> on VA72441 SSC on AB115 </w:t>
            </w:r>
            <w:proofErr w:type="spellStart"/>
            <w:r w:rsidRPr="00275FBD">
              <w:rPr>
                <w:rFonts w:ascii="Calibri" w:hAnsi="Calibri"/>
                <w:color w:val="000000"/>
                <w:sz w:val="18"/>
                <w:szCs w:val="18"/>
                <w:lang w:val="sl-SI" w:eastAsia="en-GB"/>
              </w:rPr>
              <w:t>elevation</w:t>
            </w:r>
            <w:proofErr w:type="spellEnd"/>
            <w:r w:rsidRPr="00275FBD">
              <w:rPr>
                <w:rFonts w:ascii="Calibri" w:hAnsi="Calibri"/>
                <w:color w:val="000000"/>
                <w:sz w:val="18"/>
                <w:szCs w:val="18"/>
                <w:lang w:val="sl-SI" w:eastAsia="en-GB"/>
              </w:rPr>
              <w:t xml:space="preserve"> that NEK </w:t>
            </w:r>
            <w:proofErr w:type="spellStart"/>
            <w:r w:rsidRPr="00275FBD">
              <w:rPr>
                <w:rFonts w:ascii="Calibri" w:hAnsi="Calibri"/>
                <w:color w:val="000000"/>
                <w:sz w:val="18"/>
                <w:szCs w:val="18"/>
                <w:lang w:val="sl-SI" w:eastAsia="en-GB"/>
              </w:rPr>
              <w:t>experienced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recurring</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equipment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related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events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which</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included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replacement</w:t>
            </w:r>
            <w:proofErr w:type="spellEnd"/>
            <w:r w:rsidRPr="00275FBD">
              <w:rPr>
                <w:rFonts w:ascii="Calibri" w:hAnsi="Calibri"/>
                <w:color w:val="000000"/>
                <w:sz w:val="18"/>
                <w:szCs w:val="18"/>
                <w:lang w:val="sl-SI" w:eastAsia="en-GB"/>
              </w:rPr>
              <w:t xml:space="preserve"> of </w:t>
            </w:r>
            <w:proofErr w:type="spellStart"/>
            <w:r w:rsidRPr="00275FBD">
              <w:rPr>
                <w:rFonts w:ascii="Calibri" w:hAnsi="Calibri"/>
                <w:color w:val="000000"/>
                <w:sz w:val="18"/>
                <w:szCs w:val="18"/>
                <w:lang w:val="sl-SI" w:eastAsia="en-GB"/>
              </w:rPr>
              <w:t>equipment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bearings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bearing</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housing</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belts</w:t>
            </w:r>
            <w:proofErr w:type="spellEnd"/>
            <w:r w:rsidRPr="00275FBD">
              <w:rPr>
                <w:rFonts w:ascii="Calibri" w:hAnsi="Calibri"/>
                <w:color w:val="000000"/>
                <w:sz w:val="18"/>
                <w:szCs w:val="18"/>
                <w:lang w:val="sl-SI" w:eastAsia="en-GB"/>
              </w:rPr>
              <w:t xml:space="preserve"> on VA72441 </w:t>
            </w:r>
            <w:proofErr w:type="spellStart"/>
            <w:r w:rsidRPr="00275FBD">
              <w:rPr>
                <w:rFonts w:ascii="Calibri" w:hAnsi="Calibri"/>
                <w:color w:val="000000"/>
                <w:sz w:val="18"/>
                <w:szCs w:val="18"/>
                <w:lang w:val="sl-SI" w:eastAsia="en-GB"/>
              </w:rPr>
              <w:t>system</w:t>
            </w:r>
            <w:proofErr w:type="spellEnd"/>
            <w:r w:rsidRPr="00275FBD">
              <w:rPr>
                <w:rFonts w:ascii="Calibri" w:hAnsi="Calibri"/>
                <w:color w:val="000000"/>
                <w:sz w:val="18"/>
                <w:szCs w:val="18"/>
                <w:lang w:val="sl-SI" w:eastAsia="en-GB"/>
              </w:rPr>
              <w:t>.</w:t>
            </w:r>
          </w:p>
        </w:tc>
        <w:tc>
          <w:tcPr>
            <w:tcW w:w="1244" w:type="dxa"/>
          </w:tcPr>
          <w:p w14:paraId="07AF6726"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3.3.2</w:t>
            </w:r>
          </w:p>
        </w:tc>
        <w:tc>
          <w:tcPr>
            <w:tcW w:w="5986" w:type="dxa"/>
          </w:tcPr>
          <w:p w14:paraId="6F14DDB1" w14:textId="77777777" w:rsidR="00935B67" w:rsidRPr="00275FBD" w:rsidRDefault="00935B67" w:rsidP="00935B67">
            <w:pPr>
              <w:rPr>
                <w:rFonts w:ascii="Calibri" w:hAnsi="Calibri"/>
                <w:color w:val="000000"/>
                <w:sz w:val="18"/>
                <w:szCs w:val="18"/>
                <w:lang w:val="sl-SI" w:eastAsia="en-GB"/>
              </w:rPr>
            </w:pPr>
            <w:proofErr w:type="spellStart"/>
            <w:r w:rsidRPr="00275FBD">
              <w:rPr>
                <w:rFonts w:ascii="Calibri" w:hAnsi="Calibri"/>
                <w:color w:val="000000"/>
                <w:sz w:val="18"/>
                <w:szCs w:val="18"/>
                <w:lang w:val="sl-SI" w:eastAsia="en-GB"/>
              </w:rPr>
              <w:t>Description</w:t>
            </w:r>
            <w:proofErr w:type="spellEnd"/>
            <w:r w:rsidRPr="00275FBD">
              <w:rPr>
                <w:rFonts w:ascii="Calibri" w:hAnsi="Calibri"/>
                <w:color w:val="000000"/>
                <w:sz w:val="18"/>
                <w:szCs w:val="18"/>
                <w:lang w:val="sl-SI" w:eastAsia="en-GB"/>
              </w:rPr>
              <w:t xml:space="preserve"> of the </w:t>
            </w:r>
            <w:proofErr w:type="spellStart"/>
            <w:r w:rsidRPr="00275FBD">
              <w:rPr>
                <w:rFonts w:ascii="Calibri" w:hAnsi="Calibri"/>
                <w:color w:val="000000"/>
                <w:sz w:val="18"/>
                <w:szCs w:val="18"/>
                <w:lang w:val="sl-SI" w:eastAsia="en-GB"/>
              </w:rPr>
              <w:t>issue</w:t>
            </w:r>
            <w:proofErr w:type="spellEnd"/>
            <w:r w:rsidRPr="00275FBD">
              <w:rPr>
                <w:rFonts w:ascii="Calibri" w:hAnsi="Calibri"/>
                <w:color w:val="000000"/>
                <w:sz w:val="18"/>
                <w:szCs w:val="18"/>
                <w:lang w:val="sl-SI" w:eastAsia="en-GB"/>
              </w:rPr>
              <w:t xml:space="preserve"> PSR3 3.1-005 is </w:t>
            </w:r>
            <w:proofErr w:type="spellStart"/>
            <w:r w:rsidRPr="00275FBD">
              <w:rPr>
                <w:rFonts w:ascii="Calibri" w:hAnsi="Calibri"/>
                <w:color w:val="000000"/>
                <w:sz w:val="18"/>
                <w:szCs w:val="18"/>
                <w:lang w:val="sl-SI" w:eastAsia="en-GB"/>
              </w:rPr>
              <w:t>explaining</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about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events</w:t>
            </w:r>
            <w:proofErr w:type="spellEnd"/>
            <w:r w:rsidRPr="00275FBD">
              <w:rPr>
                <w:rFonts w:ascii="Calibri" w:hAnsi="Calibri"/>
                <w:color w:val="000000"/>
                <w:sz w:val="18"/>
                <w:szCs w:val="18"/>
                <w:lang w:val="sl-SI" w:eastAsia="en-GB"/>
              </w:rPr>
              <w:t xml:space="preserve"> that are </w:t>
            </w:r>
            <w:proofErr w:type="spellStart"/>
            <w:r w:rsidRPr="00275FBD">
              <w:rPr>
                <w:rFonts w:ascii="Calibri" w:hAnsi="Calibri"/>
                <w:color w:val="000000"/>
                <w:sz w:val="18"/>
                <w:szCs w:val="18"/>
                <w:lang w:val="sl-SI" w:eastAsia="en-GB"/>
              </w:rPr>
              <w:t>recurring</w:t>
            </w:r>
            <w:proofErr w:type="spellEnd"/>
            <w:r w:rsidRPr="00275FBD">
              <w:rPr>
                <w:rFonts w:ascii="Calibri" w:hAnsi="Calibri"/>
                <w:color w:val="000000"/>
                <w:sz w:val="18"/>
                <w:szCs w:val="18"/>
                <w:lang w:val="sl-SI" w:eastAsia="en-GB"/>
              </w:rPr>
              <w:t xml:space="preserve"> and are </w:t>
            </w:r>
            <w:proofErr w:type="spellStart"/>
            <w:r w:rsidRPr="00275FBD">
              <w:rPr>
                <w:rFonts w:ascii="Calibri" w:hAnsi="Calibri"/>
                <w:color w:val="000000"/>
                <w:sz w:val="18"/>
                <w:szCs w:val="18"/>
                <w:lang w:val="sl-SI" w:eastAsia="en-GB"/>
              </w:rPr>
              <w:t>challenging</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safety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function</w:t>
            </w:r>
            <w:proofErr w:type="spellEnd"/>
            <w:r w:rsidRPr="00275FBD">
              <w:rPr>
                <w:rFonts w:ascii="Calibri" w:hAnsi="Calibri"/>
                <w:color w:val="000000"/>
                <w:sz w:val="18"/>
                <w:szCs w:val="18"/>
                <w:lang w:val="sl-SI" w:eastAsia="en-GB"/>
              </w:rPr>
              <w:t xml:space="preserve"> at </w:t>
            </w:r>
            <w:proofErr w:type="spellStart"/>
            <w:r w:rsidRPr="00275FBD">
              <w:rPr>
                <w:rFonts w:ascii="Calibri" w:hAnsi="Calibri"/>
                <w:color w:val="000000"/>
                <w:sz w:val="18"/>
                <w:szCs w:val="18"/>
                <w:lang w:val="sl-SI" w:eastAsia="en-GB"/>
              </w:rPr>
              <w:t>elevation</w:t>
            </w:r>
            <w:proofErr w:type="spellEnd"/>
            <w:r w:rsidRPr="00275FBD">
              <w:rPr>
                <w:rFonts w:ascii="Calibri" w:hAnsi="Calibri"/>
                <w:color w:val="000000"/>
                <w:sz w:val="18"/>
                <w:szCs w:val="18"/>
                <w:lang w:val="sl-SI" w:eastAsia="en-GB"/>
              </w:rPr>
              <w:t xml:space="preserve"> AB115 </w:t>
            </w:r>
            <w:proofErr w:type="spellStart"/>
            <w:r w:rsidRPr="00275FBD">
              <w:rPr>
                <w:rFonts w:ascii="Calibri" w:hAnsi="Calibri"/>
                <w:color w:val="000000"/>
                <w:sz w:val="18"/>
                <w:szCs w:val="18"/>
                <w:lang w:val="sl-SI" w:eastAsia="en-GB"/>
              </w:rPr>
              <w:t>causing</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even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entering</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into</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Limiting</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Condition</w:t>
            </w:r>
            <w:proofErr w:type="spellEnd"/>
            <w:r w:rsidRPr="00275FBD">
              <w:rPr>
                <w:rFonts w:ascii="Calibri" w:hAnsi="Calibri"/>
                <w:color w:val="000000"/>
                <w:sz w:val="18"/>
                <w:szCs w:val="18"/>
                <w:lang w:val="sl-SI" w:eastAsia="en-GB"/>
              </w:rPr>
              <w:t xml:space="preserve"> of Operation of Technical </w:t>
            </w:r>
            <w:proofErr w:type="spellStart"/>
            <w:r w:rsidRPr="00275FBD">
              <w:rPr>
                <w:rFonts w:ascii="Calibri" w:hAnsi="Calibri"/>
                <w:color w:val="000000"/>
                <w:sz w:val="18"/>
                <w:szCs w:val="18"/>
                <w:lang w:val="sl-SI" w:eastAsia="en-GB"/>
              </w:rPr>
              <w:t>Specifications</w:t>
            </w:r>
            <w:proofErr w:type="spellEnd"/>
            <w:r w:rsidRPr="00275FBD">
              <w:rPr>
                <w:rFonts w:ascii="Calibri" w:hAnsi="Calibri"/>
                <w:color w:val="000000"/>
                <w:sz w:val="18"/>
                <w:szCs w:val="18"/>
                <w:lang w:val="sl-SI" w:eastAsia="en-GB"/>
              </w:rPr>
              <w:t xml:space="preserve">. The </w:t>
            </w:r>
            <w:proofErr w:type="spellStart"/>
            <w:r w:rsidRPr="00275FBD">
              <w:rPr>
                <w:rFonts w:ascii="Calibri" w:hAnsi="Calibri"/>
                <w:color w:val="000000"/>
                <w:sz w:val="18"/>
                <w:szCs w:val="18"/>
                <w:lang w:val="sl-SI" w:eastAsia="en-GB"/>
              </w:rPr>
              <w:t>systematic</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analysis</w:t>
            </w:r>
            <w:proofErr w:type="spellEnd"/>
            <w:r w:rsidRPr="00275FBD">
              <w:rPr>
                <w:rFonts w:ascii="Calibri" w:hAnsi="Calibri"/>
                <w:color w:val="000000"/>
                <w:sz w:val="18"/>
                <w:szCs w:val="18"/>
                <w:lang w:val="sl-SI" w:eastAsia="en-GB"/>
              </w:rPr>
              <w:t xml:space="preserve"> is </w:t>
            </w:r>
            <w:proofErr w:type="spellStart"/>
            <w:r w:rsidRPr="00275FBD">
              <w:rPr>
                <w:rFonts w:ascii="Calibri" w:hAnsi="Calibri"/>
                <w:color w:val="000000"/>
                <w:sz w:val="18"/>
                <w:szCs w:val="18"/>
                <w:lang w:val="sl-SI" w:eastAsia="en-GB"/>
              </w:rPr>
              <w:t>proposed</w:t>
            </w:r>
            <w:proofErr w:type="spellEnd"/>
            <w:r w:rsidRPr="00275FBD">
              <w:rPr>
                <w:rFonts w:ascii="Calibri" w:hAnsi="Calibri"/>
                <w:color w:val="000000"/>
                <w:sz w:val="18"/>
                <w:szCs w:val="18"/>
                <w:lang w:val="sl-SI" w:eastAsia="en-GB"/>
              </w:rPr>
              <w:t xml:space="preserve"> to </w:t>
            </w:r>
            <w:proofErr w:type="spellStart"/>
            <w:r w:rsidRPr="00275FBD">
              <w:rPr>
                <w:rFonts w:ascii="Calibri" w:hAnsi="Calibri"/>
                <w:color w:val="000000"/>
                <w:sz w:val="18"/>
                <w:szCs w:val="18"/>
                <w:lang w:val="sl-SI" w:eastAsia="en-GB"/>
              </w:rPr>
              <w:t>eliminate</w:t>
            </w:r>
            <w:proofErr w:type="spellEnd"/>
            <w:r w:rsidRPr="00275FBD">
              <w:rPr>
                <w:rFonts w:ascii="Calibri" w:hAnsi="Calibri"/>
                <w:color w:val="000000"/>
                <w:sz w:val="18"/>
                <w:szCs w:val="18"/>
                <w:lang w:val="sl-SI" w:eastAsia="en-GB"/>
              </w:rPr>
              <w:t xml:space="preserve"> the </w:t>
            </w:r>
            <w:proofErr w:type="spellStart"/>
            <w:r w:rsidRPr="00275FBD">
              <w:rPr>
                <w:rFonts w:ascii="Calibri" w:hAnsi="Calibri"/>
                <w:color w:val="000000"/>
                <w:sz w:val="18"/>
                <w:szCs w:val="18"/>
                <w:lang w:val="sl-SI" w:eastAsia="en-GB"/>
              </w:rPr>
              <w:t>root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cause</w:t>
            </w:r>
            <w:proofErr w:type="spellEnd"/>
            <w:r w:rsidRPr="00275FBD">
              <w:rPr>
                <w:rFonts w:ascii="Calibri" w:hAnsi="Calibri"/>
                <w:color w:val="000000"/>
                <w:sz w:val="18"/>
                <w:szCs w:val="18"/>
                <w:lang w:val="sl-SI" w:eastAsia="en-GB"/>
              </w:rPr>
              <w:t xml:space="preserve"> of the problem. To </w:t>
            </w:r>
            <w:proofErr w:type="spellStart"/>
            <w:r w:rsidRPr="00275FBD">
              <w:rPr>
                <w:rFonts w:ascii="Calibri" w:hAnsi="Calibri"/>
                <w:color w:val="000000"/>
                <w:sz w:val="18"/>
                <w:szCs w:val="18"/>
                <w:lang w:val="sl-SI" w:eastAsia="en-GB"/>
              </w:rPr>
              <w:t>eliminate</w:t>
            </w:r>
            <w:proofErr w:type="spellEnd"/>
            <w:r w:rsidRPr="00275FBD">
              <w:rPr>
                <w:rFonts w:ascii="Calibri" w:hAnsi="Calibri"/>
                <w:color w:val="000000"/>
                <w:sz w:val="18"/>
                <w:szCs w:val="18"/>
                <w:lang w:val="sl-SI" w:eastAsia="en-GB"/>
              </w:rPr>
              <w:t xml:space="preserve"> the </w:t>
            </w:r>
            <w:proofErr w:type="spellStart"/>
            <w:r w:rsidRPr="00275FBD">
              <w:rPr>
                <w:rFonts w:ascii="Calibri" w:hAnsi="Calibri"/>
                <w:color w:val="000000"/>
                <w:sz w:val="18"/>
                <w:szCs w:val="18"/>
                <w:lang w:val="sl-SI" w:eastAsia="en-GB"/>
              </w:rPr>
              <w:t>uncertainty</w:t>
            </w:r>
            <w:proofErr w:type="spellEnd"/>
            <w:r w:rsidRPr="00275FBD">
              <w:rPr>
                <w:rFonts w:ascii="Calibri" w:hAnsi="Calibri"/>
                <w:color w:val="000000"/>
                <w:sz w:val="18"/>
                <w:szCs w:val="18"/>
                <w:lang w:val="sl-SI" w:eastAsia="en-GB"/>
              </w:rPr>
              <w:t xml:space="preserve"> of </w:t>
            </w:r>
            <w:proofErr w:type="spellStart"/>
            <w:r w:rsidRPr="00275FBD">
              <w:rPr>
                <w:rFonts w:ascii="Calibri" w:hAnsi="Calibri"/>
                <w:color w:val="000000"/>
                <w:sz w:val="18"/>
                <w:szCs w:val="18"/>
                <w:lang w:val="sl-SI" w:eastAsia="en-GB"/>
              </w:rPr>
              <w:t>unknown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phenomena</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this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issue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should</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assigned</w:t>
            </w:r>
            <w:proofErr w:type="spellEnd"/>
            <w:r w:rsidRPr="00275FBD">
              <w:rPr>
                <w:rFonts w:ascii="Calibri" w:hAnsi="Calibri"/>
                <w:color w:val="000000"/>
                <w:sz w:val="18"/>
                <w:szCs w:val="18"/>
                <w:lang w:val="sl-SI" w:eastAsia="en-GB"/>
              </w:rPr>
              <w:t xml:space="preserve"> SN&gt;3. </w:t>
            </w:r>
            <w:proofErr w:type="spellStart"/>
            <w:r w:rsidRPr="00275FBD">
              <w:rPr>
                <w:rFonts w:ascii="Calibri" w:hAnsi="Calibri"/>
                <w:color w:val="000000"/>
                <w:sz w:val="18"/>
                <w:szCs w:val="18"/>
                <w:lang w:val="sl-SI" w:eastAsia="en-GB"/>
              </w:rPr>
              <w:t>This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condition</w:t>
            </w:r>
            <w:proofErr w:type="spellEnd"/>
            <w:r w:rsidRPr="00275FBD">
              <w:rPr>
                <w:rFonts w:ascii="Calibri" w:hAnsi="Calibri"/>
                <w:color w:val="000000"/>
                <w:sz w:val="18"/>
                <w:szCs w:val="18"/>
                <w:lang w:val="sl-SI" w:eastAsia="en-GB"/>
              </w:rPr>
              <w:t xml:space="preserve"> is </w:t>
            </w:r>
            <w:proofErr w:type="spellStart"/>
            <w:r w:rsidRPr="00275FBD">
              <w:rPr>
                <w:rFonts w:ascii="Calibri" w:hAnsi="Calibri"/>
                <w:color w:val="000000"/>
                <w:sz w:val="18"/>
                <w:szCs w:val="18"/>
                <w:lang w:val="sl-SI" w:eastAsia="en-GB"/>
              </w:rPr>
              <w:t>based</w:t>
            </w:r>
            <w:proofErr w:type="spellEnd"/>
            <w:r w:rsidRPr="00275FBD">
              <w:rPr>
                <w:rFonts w:ascii="Calibri" w:hAnsi="Calibri"/>
                <w:color w:val="000000"/>
                <w:sz w:val="18"/>
                <w:szCs w:val="18"/>
                <w:lang w:val="sl-SI" w:eastAsia="en-GB"/>
              </w:rPr>
              <w:t xml:space="preserve"> on a general </w:t>
            </w:r>
            <w:proofErr w:type="spellStart"/>
            <w:r w:rsidRPr="00275FBD">
              <w:rPr>
                <w:rFonts w:ascii="Calibri" w:hAnsi="Calibri"/>
                <w:color w:val="000000"/>
                <w:sz w:val="18"/>
                <w:szCs w:val="18"/>
                <w:lang w:val="sl-SI" w:eastAsia="en-GB"/>
              </w:rPr>
              <w:t>principle</w:t>
            </w:r>
            <w:proofErr w:type="spellEnd"/>
            <w:r w:rsidRPr="00275FBD">
              <w:rPr>
                <w:rFonts w:ascii="Calibri" w:hAnsi="Calibri"/>
                <w:color w:val="000000"/>
                <w:sz w:val="18"/>
                <w:szCs w:val="18"/>
                <w:lang w:val="sl-SI" w:eastAsia="en-GB"/>
              </w:rPr>
              <w:t xml:space="preserve"> that </w:t>
            </w:r>
            <w:proofErr w:type="spellStart"/>
            <w:r w:rsidRPr="00275FBD">
              <w:rPr>
                <w:rFonts w:ascii="Calibri" w:hAnsi="Calibri"/>
                <w:color w:val="000000"/>
                <w:sz w:val="18"/>
                <w:szCs w:val="18"/>
                <w:lang w:val="sl-SI" w:eastAsia="en-GB"/>
              </w:rPr>
              <w:t>whenever</w:t>
            </w:r>
            <w:proofErr w:type="spellEnd"/>
            <w:r w:rsidRPr="00275FBD">
              <w:rPr>
                <w:rFonts w:ascii="Calibri" w:hAnsi="Calibri"/>
                <w:color w:val="000000"/>
                <w:sz w:val="18"/>
                <w:szCs w:val="18"/>
                <w:lang w:val="sl-SI" w:eastAsia="en-GB"/>
              </w:rPr>
              <w:t xml:space="preserve"> some </w:t>
            </w:r>
            <w:proofErr w:type="spellStart"/>
            <w:r w:rsidRPr="00275FBD">
              <w:rPr>
                <w:rFonts w:ascii="Calibri" w:hAnsi="Calibri"/>
                <w:color w:val="000000"/>
                <w:sz w:val="18"/>
                <w:szCs w:val="18"/>
                <w:lang w:val="sl-SI" w:eastAsia="en-GB"/>
              </w:rPr>
              <w:t>phenomena</w:t>
            </w:r>
            <w:proofErr w:type="spellEnd"/>
            <w:r w:rsidRPr="00275FBD">
              <w:rPr>
                <w:rFonts w:ascii="Calibri" w:hAnsi="Calibri"/>
                <w:color w:val="000000"/>
                <w:sz w:val="18"/>
                <w:szCs w:val="18"/>
                <w:lang w:val="sl-SI" w:eastAsia="en-GB"/>
              </w:rPr>
              <w:t xml:space="preserve"> is not </w:t>
            </w:r>
            <w:proofErr w:type="spellStart"/>
            <w:r w:rsidRPr="00275FBD">
              <w:rPr>
                <w:rFonts w:ascii="Calibri" w:hAnsi="Calibri"/>
                <w:color w:val="000000"/>
                <w:sz w:val="18"/>
                <w:szCs w:val="18"/>
                <w:lang w:val="sl-SI" w:eastAsia="en-GB"/>
              </w:rPr>
              <w:t>understood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enough</w:t>
            </w:r>
            <w:proofErr w:type="spellEnd"/>
            <w:r w:rsidRPr="00275FBD">
              <w:rPr>
                <w:rFonts w:ascii="Calibri" w:hAnsi="Calibri"/>
                <w:color w:val="000000"/>
                <w:sz w:val="18"/>
                <w:szCs w:val="18"/>
                <w:lang w:val="sl-SI" w:eastAsia="en-GB"/>
              </w:rPr>
              <w:t xml:space="preserve">, the </w:t>
            </w:r>
            <w:proofErr w:type="spellStart"/>
            <w:r w:rsidRPr="00275FBD">
              <w:rPr>
                <w:rFonts w:ascii="Calibri" w:hAnsi="Calibri"/>
                <w:color w:val="000000"/>
                <w:sz w:val="18"/>
                <w:szCs w:val="18"/>
                <w:lang w:val="sl-SI" w:eastAsia="en-GB"/>
              </w:rPr>
              <w:t>analysis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should</w:t>
            </w:r>
            <w:proofErr w:type="spellEnd"/>
            <w:r w:rsidRPr="00275FBD">
              <w:rPr>
                <w:rFonts w:ascii="Calibri" w:hAnsi="Calibri"/>
                <w:color w:val="000000"/>
                <w:sz w:val="18"/>
                <w:szCs w:val="18"/>
                <w:lang w:val="sl-SI" w:eastAsia="en-GB"/>
              </w:rPr>
              <w:t xml:space="preserve"> be performed as </w:t>
            </w:r>
            <w:proofErr w:type="spellStart"/>
            <w:r w:rsidRPr="00275FBD">
              <w:rPr>
                <w:rFonts w:ascii="Calibri" w:hAnsi="Calibri"/>
                <w:color w:val="000000"/>
                <w:sz w:val="18"/>
                <w:szCs w:val="18"/>
                <w:lang w:val="sl-SI" w:eastAsia="en-GB"/>
              </w:rPr>
              <w:t>soon</w:t>
            </w:r>
            <w:proofErr w:type="spellEnd"/>
            <w:r w:rsidRPr="00275FBD">
              <w:rPr>
                <w:rFonts w:ascii="Calibri" w:hAnsi="Calibri"/>
                <w:color w:val="000000"/>
                <w:sz w:val="18"/>
                <w:szCs w:val="18"/>
                <w:lang w:val="sl-SI" w:eastAsia="en-GB"/>
              </w:rPr>
              <w:t xml:space="preserve"> as </w:t>
            </w:r>
            <w:proofErr w:type="spellStart"/>
            <w:r w:rsidRPr="00275FBD">
              <w:rPr>
                <w:rFonts w:ascii="Calibri" w:hAnsi="Calibri"/>
                <w:color w:val="000000"/>
                <w:sz w:val="18"/>
                <w:szCs w:val="18"/>
                <w:lang w:val="sl-SI" w:eastAsia="en-GB"/>
              </w:rPr>
              <w:t>possible</w:t>
            </w:r>
            <w:proofErr w:type="spellEnd"/>
            <w:r w:rsidRPr="00275FBD">
              <w:rPr>
                <w:rFonts w:ascii="Calibri" w:hAnsi="Calibri"/>
                <w:color w:val="000000"/>
                <w:sz w:val="18"/>
                <w:szCs w:val="18"/>
                <w:lang w:val="sl-SI" w:eastAsia="en-GB"/>
              </w:rPr>
              <w:t xml:space="preserve"> to </w:t>
            </w:r>
            <w:proofErr w:type="spellStart"/>
            <w:r w:rsidRPr="00275FBD">
              <w:rPr>
                <w:rFonts w:ascii="Calibri" w:hAnsi="Calibri"/>
                <w:color w:val="000000"/>
                <w:sz w:val="18"/>
                <w:szCs w:val="18"/>
                <w:lang w:val="sl-SI" w:eastAsia="en-GB"/>
              </w:rPr>
              <w:t>find</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eventually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eliminate</w:t>
            </w:r>
            <w:proofErr w:type="spellEnd"/>
            <w:r w:rsidRPr="00275FBD">
              <w:rPr>
                <w:rFonts w:ascii="Calibri" w:hAnsi="Calibri"/>
                <w:color w:val="000000"/>
                <w:sz w:val="18"/>
                <w:szCs w:val="18"/>
                <w:lang w:val="sl-SI" w:eastAsia="en-GB"/>
              </w:rPr>
              <w:t xml:space="preserve"> the </w:t>
            </w:r>
            <w:proofErr w:type="spellStart"/>
            <w:r w:rsidRPr="00275FBD">
              <w:rPr>
                <w:rFonts w:ascii="Calibri" w:hAnsi="Calibri"/>
                <w:color w:val="000000"/>
                <w:sz w:val="18"/>
                <w:szCs w:val="18"/>
                <w:lang w:val="sl-SI" w:eastAsia="en-GB"/>
              </w:rPr>
              <w:t>root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cause</w:t>
            </w:r>
            <w:proofErr w:type="spellEnd"/>
            <w:r w:rsidRPr="00275FBD">
              <w:rPr>
                <w:rFonts w:ascii="Calibri" w:hAnsi="Calibri"/>
                <w:color w:val="000000"/>
                <w:sz w:val="18"/>
                <w:szCs w:val="18"/>
                <w:lang w:val="sl-SI" w:eastAsia="en-GB"/>
              </w:rPr>
              <w:t xml:space="preserve"> for it. </w:t>
            </w:r>
            <w:proofErr w:type="spellStart"/>
            <w:r w:rsidRPr="00275FBD">
              <w:rPr>
                <w:rFonts w:ascii="Calibri" w:hAnsi="Calibri"/>
                <w:color w:val="000000"/>
                <w:sz w:val="18"/>
                <w:szCs w:val="18"/>
                <w:lang w:val="sl-SI" w:eastAsia="en-GB"/>
              </w:rPr>
              <w:t>Such</w:t>
            </w:r>
            <w:proofErr w:type="spellEnd"/>
            <w:r w:rsidRPr="00275FBD">
              <w:rPr>
                <w:rFonts w:ascii="Calibri" w:hAnsi="Calibri"/>
                <w:color w:val="000000"/>
                <w:sz w:val="18"/>
                <w:szCs w:val="18"/>
                <w:lang w:val="sl-SI" w:eastAsia="en-GB"/>
              </w:rPr>
              <w:t xml:space="preserve"> a </w:t>
            </w:r>
            <w:proofErr w:type="spellStart"/>
            <w:r w:rsidRPr="00275FBD">
              <w:rPr>
                <w:rFonts w:ascii="Calibri" w:hAnsi="Calibri"/>
                <w:color w:val="000000"/>
                <w:sz w:val="18"/>
                <w:szCs w:val="18"/>
                <w:lang w:val="sl-SI" w:eastAsia="en-GB"/>
              </w:rPr>
              <w:t>principle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should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have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priority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over</w:t>
            </w:r>
            <w:proofErr w:type="spellEnd"/>
            <w:r w:rsidRPr="00275FBD">
              <w:rPr>
                <w:rFonts w:ascii="Calibri" w:hAnsi="Calibri"/>
                <w:color w:val="000000"/>
                <w:sz w:val="18"/>
                <w:szCs w:val="18"/>
                <w:lang w:val="sl-SI" w:eastAsia="en-GB"/>
              </w:rPr>
              <w:t xml:space="preserve"> any </w:t>
            </w:r>
            <w:proofErr w:type="spellStart"/>
            <w:r w:rsidRPr="00275FBD">
              <w:rPr>
                <w:rFonts w:ascii="Calibri" w:hAnsi="Calibri"/>
                <w:color w:val="000000"/>
                <w:sz w:val="18"/>
                <w:szCs w:val="18"/>
                <w:lang w:val="sl-SI" w:eastAsia="en-GB"/>
              </w:rPr>
              <w:t>other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provisions</w:t>
            </w:r>
            <w:proofErr w:type="spellEnd"/>
            <w:r w:rsidRPr="00275FBD">
              <w:rPr>
                <w:rFonts w:ascii="Calibri" w:hAnsi="Calibri"/>
                <w:color w:val="000000"/>
                <w:sz w:val="18"/>
                <w:szCs w:val="18"/>
                <w:lang w:val="sl-SI" w:eastAsia="en-GB"/>
              </w:rPr>
              <w:t xml:space="preserve"> in programmes, </w:t>
            </w:r>
            <w:proofErr w:type="spellStart"/>
            <w:r w:rsidRPr="00275FBD">
              <w:rPr>
                <w:rFonts w:ascii="Calibri" w:hAnsi="Calibri"/>
                <w:color w:val="000000"/>
                <w:sz w:val="18"/>
                <w:szCs w:val="18"/>
                <w:lang w:val="sl-SI" w:eastAsia="en-GB"/>
              </w:rPr>
              <w:t>methodologies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contractual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arrangement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etc</w:t>
            </w:r>
            <w:proofErr w:type="spellEnd"/>
            <w:r w:rsidRPr="00275FBD">
              <w:rPr>
                <w:rFonts w:ascii="Calibri" w:hAnsi="Calibri"/>
                <w:color w:val="000000"/>
                <w:sz w:val="18"/>
                <w:szCs w:val="18"/>
                <w:lang w:val="sl-SI" w:eastAsia="en-GB"/>
              </w:rPr>
              <w:t>.</w:t>
            </w:r>
          </w:p>
        </w:tc>
        <w:tc>
          <w:tcPr>
            <w:tcW w:w="1701" w:type="dxa"/>
          </w:tcPr>
          <w:p w14:paraId="0E89B4AF"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Time </w:t>
            </w:r>
            <w:proofErr w:type="spellStart"/>
            <w:r w:rsidRPr="00275FBD">
              <w:rPr>
                <w:rFonts w:ascii="Calibri" w:hAnsi="Calibri"/>
                <w:color w:val="000000"/>
                <w:sz w:val="18"/>
                <w:szCs w:val="18"/>
                <w:lang w:val="sl-SI" w:eastAsia="en-GB"/>
              </w:rPr>
              <w:t>frame</w:t>
            </w:r>
            <w:proofErr w:type="spellEnd"/>
            <w:r w:rsidRPr="00275FBD">
              <w:rPr>
                <w:rFonts w:ascii="Calibri" w:hAnsi="Calibri"/>
                <w:color w:val="000000"/>
                <w:sz w:val="18"/>
                <w:szCs w:val="18"/>
                <w:lang w:val="sl-SI" w:eastAsia="en-GB"/>
              </w:rPr>
              <w:t xml:space="preserve"> II</w:t>
            </w:r>
          </w:p>
        </w:tc>
      </w:tr>
      <w:tr w:rsidR="00935B67" w:rsidRPr="00275FBD" w14:paraId="5531828B" w14:textId="77777777" w:rsidTr="008D5B31">
        <w:tc>
          <w:tcPr>
            <w:tcW w:w="1384" w:type="dxa"/>
            <w:shd w:val="clear" w:color="auto" w:fill="auto"/>
          </w:tcPr>
          <w:p w14:paraId="1E04812D" w14:textId="77777777" w:rsidR="00935B67" w:rsidRPr="00275FBD" w:rsidRDefault="00935B67" w:rsidP="00935B67">
            <w:pPr>
              <w:rPr>
                <w:rFonts w:ascii="Calibri" w:hAnsi="Calibri"/>
                <w:color w:val="000000"/>
                <w:sz w:val="18"/>
                <w:szCs w:val="18"/>
                <w:lang w:val="sl-SI" w:eastAsia="en-GB"/>
              </w:rPr>
            </w:pPr>
            <w:r w:rsidRPr="00275FBD">
              <w:rPr>
                <w:rFonts w:ascii="Calibri" w:hAnsi="Calibri"/>
                <w:color w:val="000000"/>
                <w:sz w:val="18"/>
                <w:szCs w:val="18"/>
                <w:lang w:val="sl-SI" w:eastAsia="en-GB"/>
              </w:rPr>
              <w:t>PSR3 4.5-017</w:t>
            </w:r>
          </w:p>
        </w:tc>
        <w:tc>
          <w:tcPr>
            <w:tcW w:w="3827" w:type="dxa"/>
          </w:tcPr>
          <w:p w14:paraId="2DDC526C"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Social </w:t>
            </w:r>
            <w:proofErr w:type="spellStart"/>
            <w:r w:rsidRPr="00275FBD">
              <w:rPr>
                <w:rFonts w:ascii="Calibri" w:hAnsi="Calibri"/>
                <w:color w:val="000000"/>
                <w:sz w:val="18"/>
                <w:szCs w:val="18"/>
                <w:lang w:val="sl-SI" w:eastAsia="en-GB"/>
              </w:rPr>
              <w:t>media</w:t>
            </w:r>
            <w:proofErr w:type="spellEnd"/>
            <w:r w:rsidRPr="00275FBD">
              <w:rPr>
                <w:rFonts w:ascii="Calibri" w:hAnsi="Calibri"/>
                <w:color w:val="000000"/>
                <w:sz w:val="18"/>
                <w:szCs w:val="18"/>
                <w:lang w:val="sl-SI" w:eastAsia="en-GB"/>
              </w:rPr>
              <w:t xml:space="preserve"> monitoring. The NZIR </w:t>
            </w:r>
            <w:proofErr w:type="spellStart"/>
            <w:r w:rsidRPr="00275FBD">
              <w:rPr>
                <w:rFonts w:ascii="Calibri" w:hAnsi="Calibri"/>
                <w:color w:val="000000"/>
                <w:sz w:val="18"/>
                <w:szCs w:val="18"/>
                <w:lang w:val="sl-SI" w:eastAsia="en-GB"/>
              </w:rPr>
              <w:t>presently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doesn’t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foresee</w:t>
            </w:r>
            <w:proofErr w:type="spellEnd"/>
            <w:r w:rsidRPr="00275FBD">
              <w:rPr>
                <w:rFonts w:ascii="Calibri" w:hAnsi="Calibri"/>
                <w:color w:val="000000"/>
                <w:sz w:val="18"/>
                <w:szCs w:val="18"/>
                <w:lang w:val="sl-SI" w:eastAsia="en-GB"/>
              </w:rPr>
              <w:t xml:space="preserve"> the monitoring of social </w:t>
            </w:r>
            <w:proofErr w:type="spellStart"/>
            <w:r w:rsidRPr="00275FBD">
              <w:rPr>
                <w:rFonts w:ascii="Calibri" w:hAnsi="Calibri"/>
                <w:color w:val="000000"/>
                <w:sz w:val="18"/>
                <w:szCs w:val="18"/>
                <w:lang w:val="sl-SI" w:eastAsia="en-GB"/>
              </w:rPr>
              <w:t>media</w:t>
            </w:r>
            <w:proofErr w:type="spellEnd"/>
            <w:r w:rsidRPr="00275FBD">
              <w:rPr>
                <w:rFonts w:ascii="Calibri" w:hAnsi="Calibri"/>
                <w:color w:val="000000"/>
                <w:sz w:val="18"/>
                <w:szCs w:val="18"/>
                <w:lang w:val="sl-SI" w:eastAsia="en-GB"/>
              </w:rPr>
              <w:t xml:space="preserve"> during an emergency and </w:t>
            </w:r>
            <w:proofErr w:type="spellStart"/>
            <w:r w:rsidRPr="00275FBD">
              <w:rPr>
                <w:rFonts w:ascii="Calibri" w:hAnsi="Calibri"/>
                <w:color w:val="000000"/>
                <w:sz w:val="18"/>
                <w:szCs w:val="18"/>
                <w:lang w:val="sl-SI" w:eastAsia="en-GB"/>
              </w:rPr>
              <w:t>responding</w:t>
            </w:r>
            <w:proofErr w:type="spellEnd"/>
            <w:r w:rsidRPr="00275FBD">
              <w:rPr>
                <w:rFonts w:ascii="Calibri" w:hAnsi="Calibri"/>
                <w:color w:val="000000"/>
                <w:sz w:val="18"/>
                <w:szCs w:val="18"/>
                <w:lang w:val="sl-SI" w:eastAsia="en-GB"/>
              </w:rPr>
              <w:t xml:space="preserve"> to </w:t>
            </w:r>
            <w:proofErr w:type="spellStart"/>
            <w:r w:rsidRPr="00275FBD">
              <w:rPr>
                <w:rFonts w:ascii="Calibri" w:hAnsi="Calibri"/>
                <w:color w:val="000000"/>
                <w:sz w:val="18"/>
                <w:szCs w:val="18"/>
                <w:lang w:val="sl-SI" w:eastAsia="en-GB"/>
              </w:rPr>
              <w:t>misinformation</w:t>
            </w:r>
            <w:proofErr w:type="spellEnd"/>
            <w:r w:rsidRPr="00275FBD">
              <w:rPr>
                <w:rFonts w:ascii="Calibri" w:hAnsi="Calibri"/>
                <w:color w:val="000000"/>
                <w:sz w:val="18"/>
                <w:szCs w:val="18"/>
                <w:lang w:val="sl-SI" w:eastAsia="en-GB"/>
              </w:rPr>
              <w:t xml:space="preserve"> and </w:t>
            </w:r>
            <w:proofErr w:type="spellStart"/>
            <w:r w:rsidRPr="00275FBD">
              <w:rPr>
                <w:rFonts w:ascii="Calibri" w:hAnsi="Calibri"/>
                <w:color w:val="000000"/>
                <w:sz w:val="18"/>
                <w:szCs w:val="18"/>
                <w:lang w:val="sl-SI" w:eastAsia="en-GB"/>
              </w:rPr>
              <w:t>rumors</w:t>
            </w:r>
            <w:proofErr w:type="spellEnd"/>
            <w:r w:rsidRPr="00275FBD">
              <w:rPr>
                <w:rFonts w:ascii="Calibri" w:hAnsi="Calibri"/>
                <w:color w:val="000000"/>
                <w:sz w:val="18"/>
                <w:szCs w:val="18"/>
                <w:lang w:val="sl-SI" w:eastAsia="en-GB"/>
              </w:rPr>
              <w:t xml:space="preserve"> through social </w:t>
            </w:r>
            <w:proofErr w:type="spellStart"/>
            <w:r w:rsidRPr="00275FBD">
              <w:rPr>
                <w:rFonts w:ascii="Calibri" w:hAnsi="Calibri"/>
                <w:color w:val="000000"/>
                <w:sz w:val="18"/>
                <w:szCs w:val="18"/>
                <w:lang w:val="sl-SI" w:eastAsia="en-GB"/>
              </w:rPr>
              <w:t>media</w:t>
            </w:r>
            <w:proofErr w:type="spellEnd"/>
            <w:r w:rsidRPr="00275FBD">
              <w:rPr>
                <w:rFonts w:ascii="Calibri" w:hAnsi="Calibri"/>
                <w:color w:val="000000"/>
                <w:sz w:val="18"/>
                <w:szCs w:val="18"/>
                <w:lang w:val="sl-SI" w:eastAsia="en-GB"/>
              </w:rPr>
              <w:t>.</w:t>
            </w:r>
          </w:p>
          <w:p w14:paraId="7852C01D" w14:textId="77777777" w:rsidR="00935B67" w:rsidRPr="00275FBD" w:rsidRDefault="00935B67" w:rsidP="00935B67">
            <w:pPr>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OSF element: Self-Assessment </w:t>
            </w:r>
            <w:proofErr w:type="spellStart"/>
            <w:r w:rsidRPr="00275FBD">
              <w:rPr>
                <w:rFonts w:ascii="Calibri" w:hAnsi="Calibri"/>
                <w:color w:val="000000"/>
                <w:sz w:val="18"/>
                <w:szCs w:val="18"/>
                <w:lang w:val="sl-SI" w:eastAsia="en-GB"/>
              </w:rPr>
              <w:t>Process</w:t>
            </w:r>
            <w:proofErr w:type="spellEnd"/>
            <w:r w:rsidRPr="00275FBD">
              <w:rPr>
                <w:rFonts w:ascii="Calibri" w:hAnsi="Calibri"/>
                <w:color w:val="000000"/>
                <w:sz w:val="18"/>
                <w:szCs w:val="18"/>
                <w:lang w:val="sl-SI" w:eastAsia="en-GB"/>
              </w:rPr>
              <w:t>.</w:t>
            </w:r>
          </w:p>
        </w:tc>
        <w:tc>
          <w:tcPr>
            <w:tcW w:w="1244" w:type="dxa"/>
          </w:tcPr>
          <w:p w14:paraId="19A1124C" w14:textId="77777777" w:rsidR="00935B67" w:rsidRPr="00275FBD" w:rsidRDefault="00935B67" w:rsidP="00935B67">
            <w:pPr>
              <w:jc w:val="center"/>
              <w:rPr>
                <w:rFonts w:ascii="Calibri" w:hAnsi="Calibri"/>
                <w:color w:val="000000"/>
                <w:sz w:val="18"/>
                <w:szCs w:val="18"/>
                <w:lang w:val="sl-SI" w:eastAsia="en-GB"/>
              </w:rPr>
            </w:pPr>
            <w:r w:rsidRPr="00275FBD">
              <w:rPr>
                <w:rFonts w:ascii="Calibri" w:hAnsi="Calibri"/>
                <w:color w:val="000000"/>
                <w:sz w:val="18"/>
                <w:szCs w:val="18"/>
                <w:lang w:val="sl-SI" w:eastAsia="en-GB"/>
              </w:rPr>
              <w:t>2.1.3</w:t>
            </w:r>
          </w:p>
        </w:tc>
        <w:tc>
          <w:tcPr>
            <w:tcW w:w="5986" w:type="dxa"/>
          </w:tcPr>
          <w:p w14:paraId="5347A787" w14:textId="77777777" w:rsidR="00935B67" w:rsidRPr="00275FBD" w:rsidRDefault="00935B67" w:rsidP="00935B67">
            <w:pPr>
              <w:spacing w:after="0"/>
              <w:jc w:val="left"/>
              <w:rPr>
                <w:rFonts w:ascii="Calibri" w:hAnsi="Calibri"/>
                <w:color w:val="000000"/>
                <w:sz w:val="18"/>
                <w:szCs w:val="18"/>
                <w:lang w:val="sl-SI" w:eastAsia="en-GB"/>
              </w:rPr>
            </w:pPr>
            <w:r w:rsidRPr="00275FBD">
              <w:rPr>
                <w:rFonts w:ascii="Calibri" w:hAnsi="Calibri"/>
                <w:color w:val="000000"/>
                <w:sz w:val="18"/>
                <w:szCs w:val="18"/>
                <w:lang w:val="sl-SI" w:eastAsia="en-GB"/>
              </w:rPr>
              <w:t xml:space="preserve">The </w:t>
            </w:r>
            <w:proofErr w:type="spellStart"/>
            <w:r w:rsidRPr="00275FBD">
              <w:rPr>
                <w:rFonts w:ascii="Calibri" w:hAnsi="Calibri"/>
                <w:color w:val="000000"/>
                <w:sz w:val="18"/>
                <w:szCs w:val="18"/>
                <w:lang w:val="sl-SI" w:eastAsia="en-GB"/>
              </w:rPr>
              <w:t>issue</w:t>
            </w:r>
            <w:proofErr w:type="spellEnd"/>
            <w:r w:rsidRPr="00275FBD">
              <w:rPr>
                <w:rFonts w:ascii="Calibri" w:hAnsi="Calibri"/>
                <w:color w:val="000000"/>
                <w:sz w:val="18"/>
                <w:szCs w:val="18"/>
                <w:lang w:val="sl-SI" w:eastAsia="en-GB"/>
              </w:rPr>
              <w:t xml:space="preserve"> PSR3 4.5-017 is </w:t>
            </w:r>
            <w:proofErr w:type="spellStart"/>
            <w:r w:rsidRPr="00275FBD">
              <w:rPr>
                <w:rFonts w:ascii="Calibri" w:hAnsi="Calibri"/>
                <w:color w:val="000000"/>
                <w:sz w:val="18"/>
                <w:szCs w:val="18"/>
                <w:lang w:val="sl-SI" w:eastAsia="en-GB"/>
              </w:rPr>
              <w:t>recommending</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establishment</w:t>
            </w:r>
            <w:proofErr w:type="spellEnd"/>
            <w:r w:rsidRPr="00275FBD">
              <w:rPr>
                <w:rFonts w:ascii="Calibri" w:hAnsi="Calibri"/>
                <w:color w:val="000000"/>
                <w:sz w:val="18"/>
                <w:szCs w:val="18"/>
                <w:lang w:val="sl-SI" w:eastAsia="en-GB"/>
              </w:rPr>
              <w:t xml:space="preserve"> of the </w:t>
            </w:r>
            <w:proofErr w:type="spellStart"/>
            <w:r w:rsidRPr="00275FBD">
              <w:rPr>
                <w:rFonts w:ascii="Calibri" w:hAnsi="Calibri"/>
                <w:color w:val="000000"/>
                <w:sz w:val="18"/>
                <w:szCs w:val="18"/>
                <w:lang w:val="sl-SI" w:eastAsia="en-GB"/>
              </w:rPr>
              <w:t>system</w:t>
            </w:r>
            <w:proofErr w:type="spellEnd"/>
            <w:r w:rsidRPr="00275FBD">
              <w:rPr>
                <w:rFonts w:ascii="Calibri" w:hAnsi="Calibri"/>
                <w:color w:val="000000"/>
                <w:sz w:val="18"/>
                <w:szCs w:val="18"/>
                <w:lang w:val="sl-SI" w:eastAsia="en-GB"/>
              </w:rPr>
              <w:t xml:space="preserve"> for monitoring social </w:t>
            </w:r>
            <w:proofErr w:type="spellStart"/>
            <w:r w:rsidRPr="00275FBD">
              <w:rPr>
                <w:rFonts w:ascii="Calibri" w:hAnsi="Calibri"/>
                <w:color w:val="000000"/>
                <w:sz w:val="18"/>
                <w:szCs w:val="18"/>
                <w:lang w:val="sl-SI" w:eastAsia="en-GB"/>
              </w:rPr>
              <w:t>media</w:t>
            </w:r>
            <w:proofErr w:type="spellEnd"/>
            <w:r w:rsidRPr="00275FBD">
              <w:rPr>
                <w:rFonts w:ascii="Calibri" w:hAnsi="Calibri"/>
                <w:color w:val="000000"/>
                <w:sz w:val="18"/>
                <w:szCs w:val="18"/>
                <w:lang w:val="sl-SI" w:eastAsia="en-GB"/>
              </w:rPr>
              <w:t xml:space="preserve"> during an emergency. </w:t>
            </w:r>
            <w:proofErr w:type="spellStart"/>
            <w:r w:rsidRPr="00275FBD">
              <w:rPr>
                <w:rFonts w:ascii="Calibri" w:hAnsi="Calibri"/>
                <w:color w:val="000000"/>
                <w:sz w:val="18"/>
                <w:szCs w:val="18"/>
                <w:lang w:val="sl-SI" w:eastAsia="en-GB"/>
              </w:rPr>
              <w:t>This</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issue</w:t>
            </w:r>
            <w:proofErr w:type="spellEnd"/>
            <w:r w:rsidRPr="00275FBD">
              <w:rPr>
                <w:rFonts w:ascii="Calibri" w:hAnsi="Calibri"/>
                <w:color w:val="000000"/>
                <w:sz w:val="18"/>
                <w:szCs w:val="18"/>
                <w:lang w:val="sl-SI" w:eastAsia="en-GB"/>
              </w:rPr>
              <w:t xml:space="preserve"> is </w:t>
            </w:r>
            <w:proofErr w:type="spellStart"/>
            <w:r w:rsidRPr="00275FBD">
              <w:rPr>
                <w:rFonts w:ascii="Calibri" w:hAnsi="Calibri"/>
                <w:color w:val="000000"/>
                <w:sz w:val="18"/>
                <w:szCs w:val="18"/>
                <w:lang w:val="sl-SI" w:eastAsia="en-GB"/>
              </w:rPr>
              <w:t>ranked</w:t>
            </w:r>
            <w:proofErr w:type="spellEnd"/>
            <w:r w:rsidRPr="00275FBD">
              <w:rPr>
                <w:rFonts w:ascii="Calibri" w:hAnsi="Calibri"/>
                <w:color w:val="000000"/>
                <w:sz w:val="18"/>
                <w:szCs w:val="18"/>
                <w:lang w:val="sl-SI" w:eastAsia="en-GB"/>
              </w:rPr>
              <w:t xml:space="preserve"> only SN=2 with the </w:t>
            </w:r>
            <w:proofErr w:type="spellStart"/>
            <w:r w:rsidRPr="00275FBD">
              <w:rPr>
                <w:rFonts w:ascii="Calibri" w:hAnsi="Calibri"/>
                <w:color w:val="000000"/>
                <w:sz w:val="18"/>
                <w:szCs w:val="18"/>
                <w:lang w:val="sl-SI" w:eastAsia="en-GB"/>
              </w:rPr>
              <w:t>explanation</w:t>
            </w:r>
            <w:proofErr w:type="spellEnd"/>
            <w:r w:rsidRPr="00275FBD">
              <w:rPr>
                <w:rFonts w:ascii="Calibri" w:hAnsi="Calibri"/>
                <w:color w:val="000000"/>
                <w:sz w:val="18"/>
                <w:szCs w:val="18"/>
                <w:lang w:val="sl-SI" w:eastAsia="en-GB"/>
              </w:rPr>
              <w:t xml:space="preserve">, that </w:t>
            </w:r>
            <w:proofErr w:type="spellStart"/>
            <w:r w:rsidRPr="00275FBD">
              <w:rPr>
                <w:rFonts w:ascii="Calibri" w:hAnsi="Calibri"/>
                <w:color w:val="000000"/>
                <w:sz w:val="18"/>
                <w:szCs w:val="18"/>
                <w:lang w:val="sl-SI" w:eastAsia="en-GB"/>
              </w:rPr>
              <w:t>there</w:t>
            </w:r>
            <w:proofErr w:type="spellEnd"/>
            <w:r w:rsidRPr="00275FBD">
              <w:rPr>
                <w:rFonts w:ascii="Calibri" w:hAnsi="Calibri"/>
                <w:color w:val="000000"/>
                <w:sz w:val="18"/>
                <w:szCs w:val="18"/>
                <w:lang w:val="sl-SI" w:eastAsia="en-GB"/>
              </w:rPr>
              <w:t xml:space="preserve"> is no legal </w:t>
            </w:r>
            <w:proofErr w:type="spellStart"/>
            <w:r w:rsidRPr="00275FBD">
              <w:rPr>
                <w:rFonts w:ascii="Calibri" w:hAnsi="Calibri"/>
                <w:color w:val="000000"/>
                <w:sz w:val="18"/>
                <w:szCs w:val="18"/>
                <w:lang w:val="sl-SI" w:eastAsia="en-GB"/>
              </w:rPr>
              <w:t>requirement</w:t>
            </w:r>
            <w:proofErr w:type="spellEnd"/>
            <w:r w:rsidRPr="00275FBD">
              <w:rPr>
                <w:rFonts w:ascii="Calibri" w:hAnsi="Calibri"/>
                <w:color w:val="000000"/>
                <w:sz w:val="18"/>
                <w:szCs w:val="18"/>
                <w:lang w:val="sl-SI" w:eastAsia="en-GB"/>
              </w:rPr>
              <w:t xml:space="preserve"> for it, </w:t>
            </w:r>
            <w:proofErr w:type="spellStart"/>
            <w:r w:rsidRPr="00275FBD">
              <w:rPr>
                <w:rFonts w:ascii="Calibri" w:hAnsi="Calibri"/>
                <w:color w:val="000000"/>
                <w:sz w:val="18"/>
                <w:szCs w:val="18"/>
                <w:lang w:val="sl-SI" w:eastAsia="en-GB"/>
              </w:rPr>
              <w:t>which</w:t>
            </w:r>
            <w:proofErr w:type="spellEnd"/>
            <w:r w:rsidRPr="00275FBD">
              <w:rPr>
                <w:rFonts w:ascii="Calibri" w:hAnsi="Calibri"/>
                <w:color w:val="000000"/>
                <w:sz w:val="18"/>
                <w:szCs w:val="18"/>
                <w:lang w:val="sl-SI" w:eastAsia="en-GB"/>
              </w:rPr>
              <w:t xml:space="preserve"> is </w:t>
            </w:r>
            <w:proofErr w:type="spellStart"/>
            <w:r w:rsidRPr="00275FBD">
              <w:rPr>
                <w:rFonts w:ascii="Calibri" w:hAnsi="Calibri"/>
                <w:color w:val="000000"/>
                <w:sz w:val="18"/>
                <w:szCs w:val="18"/>
                <w:lang w:val="sl-SI" w:eastAsia="en-GB"/>
              </w:rPr>
              <w:t>true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However</w:t>
            </w:r>
            <w:proofErr w:type="spellEnd"/>
            <w:r w:rsidRPr="00275FBD">
              <w:rPr>
                <w:rFonts w:ascii="Calibri" w:hAnsi="Calibri"/>
                <w:color w:val="000000"/>
                <w:sz w:val="18"/>
                <w:szCs w:val="18"/>
                <w:lang w:val="sl-SI" w:eastAsia="en-GB"/>
              </w:rPr>
              <w:t xml:space="preserve">, social </w:t>
            </w:r>
            <w:proofErr w:type="spellStart"/>
            <w:r w:rsidRPr="00275FBD">
              <w:rPr>
                <w:rFonts w:ascii="Calibri" w:hAnsi="Calibri"/>
                <w:color w:val="000000"/>
                <w:sz w:val="18"/>
                <w:szCs w:val="18"/>
                <w:lang w:val="sl-SI" w:eastAsia="en-GB"/>
              </w:rPr>
              <w:t>media</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today</w:t>
            </w:r>
            <w:proofErr w:type="spellEnd"/>
            <w:r w:rsidRPr="00275FBD">
              <w:rPr>
                <w:rFonts w:ascii="Calibri" w:hAnsi="Calibri"/>
                <w:color w:val="000000"/>
                <w:sz w:val="18"/>
                <w:szCs w:val="18"/>
                <w:lang w:val="sl-SI" w:eastAsia="en-GB"/>
              </w:rPr>
              <w:t xml:space="preserve"> are </w:t>
            </w:r>
            <w:proofErr w:type="spellStart"/>
            <w:r w:rsidRPr="00275FBD">
              <w:rPr>
                <w:rFonts w:ascii="Calibri" w:hAnsi="Calibri"/>
                <w:color w:val="000000"/>
                <w:sz w:val="18"/>
                <w:szCs w:val="18"/>
                <w:lang w:val="sl-SI" w:eastAsia="en-GB"/>
              </w:rPr>
              <w:t>playing</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such</w:t>
            </w:r>
            <w:proofErr w:type="spellEnd"/>
            <w:r w:rsidRPr="00275FBD">
              <w:rPr>
                <w:rFonts w:ascii="Calibri" w:hAnsi="Calibri"/>
                <w:color w:val="000000"/>
                <w:sz w:val="18"/>
                <w:szCs w:val="18"/>
                <w:lang w:val="sl-SI" w:eastAsia="en-GB"/>
              </w:rPr>
              <w:t xml:space="preserve"> an </w:t>
            </w:r>
            <w:proofErr w:type="spellStart"/>
            <w:r w:rsidRPr="00275FBD">
              <w:rPr>
                <w:rFonts w:ascii="Calibri" w:hAnsi="Calibri"/>
                <w:color w:val="000000"/>
                <w:sz w:val="18"/>
                <w:szCs w:val="18"/>
                <w:lang w:val="sl-SI" w:eastAsia="en-GB"/>
              </w:rPr>
              <w:t>important</w:t>
            </w:r>
            <w:proofErr w:type="spellEnd"/>
            <w:r w:rsidRPr="00275FBD">
              <w:rPr>
                <w:rFonts w:ascii="Calibri" w:hAnsi="Calibri"/>
                <w:color w:val="000000"/>
                <w:sz w:val="18"/>
                <w:szCs w:val="18"/>
                <w:lang w:val="sl-SI" w:eastAsia="en-GB"/>
              </w:rPr>
              <w:t xml:space="preserve"> role in the general </w:t>
            </w:r>
            <w:proofErr w:type="spellStart"/>
            <w:r w:rsidRPr="00275FBD">
              <w:rPr>
                <w:rFonts w:ascii="Calibri" w:hAnsi="Calibri"/>
                <w:color w:val="000000"/>
                <w:sz w:val="18"/>
                <w:szCs w:val="18"/>
                <w:lang w:val="sl-SI" w:eastAsia="en-GB"/>
              </w:rPr>
              <w:t>society</w:t>
            </w:r>
            <w:proofErr w:type="spellEnd"/>
            <w:r w:rsidRPr="00275FBD">
              <w:rPr>
                <w:rFonts w:ascii="Calibri" w:hAnsi="Calibri"/>
                <w:color w:val="000000"/>
                <w:sz w:val="18"/>
                <w:szCs w:val="18"/>
                <w:lang w:val="sl-SI" w:eastAsia="en-GB"/>
              </w:rPr>
              <w:t xml:space="preserve"> that it </w:t>
            </w:r>
            <w:proofErr w:type="spellStart"/>
            <w:r w:rsidRPr="00275FBD">
              <w:rPr>
                <w:rFonts w:ascii="Calibri" w:hAnsi="Calibri"/>
                <w:color w:val="000000"/>
                <w:sz w:val="18"/>
                <w:szCs w:val="18"/>
                <w:lang w:val="sl-SI" w:eastAsia="en-GB"/>
              </w:rPr>
              <w:t>can</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expected</w:t>
            </w:r>
            <w:proofErr w:type="spellEnd"/>
            <w:r w:rsidRPr="00275FBD">
              <w:rPr>
                <w:rFonts w:ascii="Calibri" w:hAnsi="Calibri"/>
                <w:color w:val="000000"/>
                <w:sz w:val="18"/>
                <w:szCs w:val="18"/>
                <w:lang w:val="sl-SI" w:eastAsia="en-GB"/>
              </w:rPr>
              <w:t xml:space="preserve"> with </w:t>
            </w:r>
            <w:proofErr w:type="spellStart"/>
            <w:r w:rsidRPr="00275FBD">
              <w:rPr>
                <w:rFonts w:ascii="Calibri" w:hAnsi="Calibri"/>
                <w:color w:val="000000"/>
                <w:sz w:val="18"/>
                <w:szCs w:val="18"/>
                <w:lang w:val="sl-SI" w:eastAsia="en-GB"/>
              </w:rPr>
              <w:t>high</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probability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they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will</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play</w:t>
            </w:r>
            <w:proofErr w:type="spellEnd"/>
            <w:r w:rsidRPr="00275FBD">
              <w:rPr>
                <w:rFonts w:ascii="Calibri" w:hAnsi="Calibri"/>
                <w:color w:val="000000"/>
                <w:sz w:val="18"/>
                <w:szCs w:val="18"/>
                <w:lang w:val="sl-SI" w:eastAsia="en-GB"/>
              </w:rPr>
              <w:t xml:space="preserve"> a </w:t>
            </w:r>
            <w:proofErr w:type="spellStart"/>
            <w:r w:rsidRPr="00275FBD">
              <w:rPr>
                <w:rFonts w:ascii="Calibri" w:hAnsi="Calibri"/>
                <w:color w:val="000000"/>
                <w:sz w:val="18"/>
                <w:szCs w:val="18"/>
                <w:lang w:val="sl-SI" w:eastAsia="en-GB"/>
              </w:rPr>
              <w:t>crucial</w:t>
            </w:r>
            <w:proofErr w:type="spellEnd"/>
            <w:r w:rsidRPr="00275FBD">
              <w:rPr>
                <w:rFonts w:ascii="Calibri" w:hAnsi="Calibri"/>
                <w:color w:val="000000"/>
                <w:sz w:val="18"/>
                <w:szCs w:val="18"/>
                <w:lang w:val="sl-SI" w:eastAsia="en-GB"/>
              </w:rPr>
              <w:t xml:space="preserve"> role in </w:t>
            </w:r>
            <w:proofErr w:type="spellStart"/>
            <w:r w:rsidRPr="00275FBD">
              <w:rPr>
                <w:rFonts w:ascii="Calibri" w:hAnsi="Calibri"/>
                <w:color w:val="000000"/>
                <w:sz w:val="18"/>
                <w:szCs w:val="18"/>
                <w:lang w:val="sl-SI" w:eastAsia="en-GB"/>
              </w:rPr>
              <w:t>case</w:t>
            </w:r>
            <w:proofErr w:type="spellEnd"/>
            <w:r w:rsidRPr="00275FBD">
              <w:rPr>
                <w:rFonts w:ascii="Calibri" w:hAnsi="Calibri"/>
                <w:color w:val="000000"/>
                <w:sz w:val="18"/>
                <w:szCs w:val="18"/>
                <w:lang w:val="sl-SI" w:eastAsia="en-GB"/>
              </w:rPr>
              <w:t xml:space="preserve"> of a </w:t>
            </w:r>
            <w:proofErr w:type="spellStart"/>
            <w:r w:rsidRPr="00275FBD">
              <w:rPr>
                <w:rFonts w:ascii="Calibri" w:hAnsi="Calibri"/>
                <w:color w:val="000000"/>
                <w:sz w:val="18"/>
                <w:szCs w:val="18"/>
                <w:lang w:val="sl-SI" w:eastAsia="en-GB"/>
              </w:rPr>
              <w:t>nuclear</w:t>
            </w:r>
            <w:proofErr w:type="spellEnd"/>
            <w:r w:rsidRPr="00275FBD">
              <w:rPr>
                <w:rFonts w:ascii="Calibri" w:hAnsi="Calibri"/>
                <w:color w:val="000000"/>
                <w:sz w:val="18"/>
                <w:szCs w:val="18"/>
                <w:lang w:val="sl-SI" w:eastAsia="en-GB"/>
              </w:rPr>
              <w:t xml:space="preserve"> emergency. The influence of social </w:t>
            </w:r>
            <w:proofErr w:type="spellStart"/>
            <w:r w:rsidRPr="00275FBD">
              <w:rPr>
                <w:rFonts w:ascii="Calibri" w:hAnsi="Calibri"/>
                <w:color w:val="000000"/>
                <w:sz w:val="18"/>
                <w:szCs w:val="18"/>
                <w:lang w:val="sl-SI" w:eastAsia="en-GB"/>
              </w:rPr>
              <w:t>media</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could</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drastically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change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protection</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actions</w:t>
            </w:r>
            <w:proofErr w:type="spellEnd"/>
            <w:r w:rsidRPr="00275FBD">
              <w:rPr>
                <w:rFonts w:ascii="Calibri" w:hAnsi="Calibri"/>
                <w:color w:val="000000"/>
                <w:sz w:val="18"/>
                <w:szCs w:val="18"/>
                <w:lang w:val="sl-SI" w:eastAsia="en-GB"/>
              </w:rPr>
              <w:t xml:space="preserve"> during an emergency and </w:t>
            </w:r>
            <w:proofErr w:type="spellStart"/>
            <w:r w:rsidRPr="00275FBD">
              <w:rPr>
                <w:rFonts w:ascii="Calibri" w:hAnsi="Calibri"/>
                <w:color w:val="000000"/>
                <w:sz w:val="18"/>
                <w:szCs w:val="18"/>
                <w:lang w:val="sl-SI" w:eastAsia="en-GB"/>
              </w:rPr>
              <w:t>thereby</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strongly</w:t>
            </w:r>
            <w:proofErr w:type="spellEnd"/>
            <w:r w:rsidRPr="00275FBD">
              <w:rPr>
                <w:rFonts w:ascii="Calibri" w:hAnsi="Calibri"/>
                <w:color w:val="000000"/>
                <w:sz w:val="18"/>
                <w:szCs w:val="18"/>
                <w:lang w:val="sl-SI" w:eastAsia="en-GB"/>
              </w:rPr>
              <w:t xml:space="preserve"> influence the </w:t>
            </w:r>
            <w:proofErr w:type="spellStart"/>
            <w:r w:rsidRPr="00275FBD">
              <w:rPr>
                <w:rFonts w:ascii="Calibri" w:hAnsi="Calibri"/>
                <w:color w:val="000000"/>
                <w:sz w:val="18"/>
                <w:szCs w:val="18"/>
                <w:lang w:val="sl-SI" w:eastAsia="en-GB"/>
              </w:rPr>
              <w:t>nuclear</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safety</w:t>
            </w:r>
            <w:proofErr w:type="spellEnd"/>
            <w:r w:rsidRPr="00275FBD">
              <w:rPr>
                <w:rFonts w:ascii="Calibri" w:hAnsi="Calibri"/>
                <w:color w:val="000000"/>
                <w:sz w:val="18"/>
                <w:szCs w:val="18"/>
                <w:lang w:val="sl-SI" w:eastAsia="en-GB"/>
              </w:rPr>
              <w:t xml:space="preserve"> at the last </w:t>
            </w:r>
            <w:proofErr w:type="spellStart"/>
            <w:r w:rsidRPr="00275FBD">
              <w:rPr>
                <w:rFonts w:ascii="Calibri" w:hAnsi="Calibri"/>
                <w:color w:val="000000"/>
                <w:sz w:val="18"/>
                <w:szCs w:val="18"/>
                <w:lang w:val="sl-SI" w:eastAsia="en-GB"/>
              </w:rPr>
              <w:t>level</w:t>
            </w:r>
            <w:proofErr w:type="spellEnd"/>
            <w:r w:rsidRPr="00275FBD">
              <w:rPr>
                <w:rFonts w:ascii="Calibri" w:hAnsi="Calibri"/>
                <w:color w:val="000000"/>
                <w:sz w:val="18"/>
                <w:szCs w:val="18"/>
                <w:lang w:val="sl-SI" w:eastAsia="en-GB"/>
              </w:rPr>
              <w:t xml:space="preserve"> of </w:t>
            </w:r>
            <w:proofErr w:type="spellStart"/>
            <w:r w:rsidRPr="00275FBD">
              <w:rPr>
                <w:rFonts w:ascii="Calibri" w:hAnsi="Calibri"/>
                <w:color w:val="000000"/>
                <w:sz w:val="18"/>
                <w:szCs w:val="18"/>
                <w:lang w:val="sl-SI" w:eastAsia="en-GB"/>
              </w:rPr>
              <w:t>defense</w:t>
            </w:r>
            <w:proofErr w:type="spellEnd"/>
            <w:r w:rsidRPr="00275FBD">
              <w:rPr>
                <w:rFonts w:ascii="Calibri" w:hAnsi="Calibri"/>
                <w:color w:val="000000"/>
                <w:sz w:val="18"/>
                <w:szCs w:val="18"/>
                <w:lang w:val="sl-SI" w:eastAsia="en-GB"/>
              </w:rPr>
              <w:t xml:space="preserve"> that is </w:t>
            </w:r>
            <w:proofErr w:type="spellStart"/>
            <w:r w:rsidRPr="00275FBD">
              <w:rPr>
                <w:rFonts w:ascii="Calibri" w:hAnsi="Calibri"/>
                <w:color w:val="000000"/>
                <w:sz w:val="18"/>
                <w:szCs w:val="18"/>
                <w:lang w:val="sl-SI" w:eastAsia="en-GB"/>
              </w:rPr>
              <w:t>protection</w:t>
            </w:r>
            <w:proofErr w:type="spellEnd"/>
            <w:r w:rsidRPr="00275FBD">
              <w:rPr>
                <w:rFonts w:ascii="Calibri" w:hAnsi="Calibri"/>
                <w:color w:val="000000"/>
                <w:sz w:val="18"/>
                <w:szCs w:val="18"/>
                <w:lang w:val="sl-SI" w:eastAsia="en-GB"/>
              </w:rPr>
              <w:t xml:space="preserve"> of general </w:t>
            </w:r>
            <w:proofErr w:type="spellStart"/>
            <w:r w:rsidRPr="00275FBD">
              <w:rPr>
                <w:rFonts w:ascii="Calibri" w:hAnsi="Calibri"/>
                <w:color w:val="000000"/>
                <w:sz w:val="18"/>
                <w:szCs w:val="18"/>
                <w:lang w:val="sl-SI" w:eastAsia="en-GB"/>
              </w:rPr>
              <w:t>public</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Therefore</w:t>
            </w:r>
            <w:proofErr w:type="spellEnd"/>
            <w:r w:rsidRPr="00275FBD">
              <w:rPr>
                <w:rFonts w:ascii="Calibri" w:hAnsi="Calibri"/>
                <w:color w:val="000000"/>
                <w:sz w:val="18"/>
                <w:szCs w:val="18"/>
                <w:lang w:val="sl-SI" w:eastAsia="en-GB"/>
              </w:rPr>
              <w:t xml:space="preserve">, the </w:t>
            </w:r>
            <w:proofErr w:type="spellStart"/>
            <w:r w:rsidRPr="00275FBD">
              <w:rPr>
                <w:rFonts w:ascii="Calibri" w:hAnsi="Calibri"/>
                <w:color w:val="000000"/>
                <w:sz w:val="18"/>
                <w:szCs w:val="18"/>
                <w:lang w:val="sl-SI" w:eastAsia="en-GB"/>
              </w:rPr>
              <w:t>plant</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should</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prepared</w:t>
            </w:r>
            <w:proofErr w:type="spellEnd"/>
            <w:r w:rsidRPr="00275FBD">
              <w:rPr>
                <w:rFonts w:ascii="Calibri" w:hAnsi="Calibri"/>
                <w:color w:val="000000"/>
                <w:sz w:val="18"/>
                <w:szCs w:val="18"/>
                <w:lang w:val="sl-SI" w:eastAsia="en-GB"/>
              </w:rPr>
              <w:t xml:space="preserve"> to social </w:t>
            </w:r>
            <w:proofErr w:type="spellStart"/>
            <w:r w:rsidRPr="00275FBD">
              <w:rPr>
                <w:rFonts w:ascii="Calibri" w:hAnsi="Calibri"/>
                <w:color w:val="000000"/>
                <w:sz w:val="18"/>
                <w:szCs w:val="18"/>
                <w:lang w:val="sl-SI" w:eastAsia="en-GB"/>
              </w:rPr>
              <w:t>media</w:t>
            </w:r>
            <w:proofErr w:type="spellEnd"/>
            <w:r w:rsidRPr="00275FBD">
              <w:rPr>
                <w:rFonts w:ascii="Calibri" w:hAnsi="Calibri"/>
                <w:color w:val="000000"/>
                <w:sz w:val="18"/>
                <w:szCs w:val="18"/>
                <w:lang w:val="sl-SI" w:eastAsia="en-GB"/>
              </w:rPr>
              <w:t xml:space="preserve"> as </w:t>
            </w:r>
            <w:proofErr w:type="spellStart"/>
            <w:r w:rsidRPr="00275FBD">
              <w:rPr>
                <w:rFonts w:ascii="Calibri" w:hAnsi="Calibri"/>
                <w:color w:val="000000"/>
                <w:sz w:val="18"/>
                <w:szCs w:val="18"/>
                <w:lang w:val="sl-SI" w:eastAsia="en-GB"/>
              </w:rPr>
              <w:t>soon</w:t>
            </w:r>
            <w:proofErr w:type="spellEnd"/>
            <w:r w:rsidRPr="00275FBD">
              <w:rPr>
                <w:rFonts w:ascii="Calibri" w:hAnsi="Calibri"/>
                <w:color w:val="000000"/>
                <w:sz w:val="18"/>
                <w:szCs w:val="18"/>
                <w:lang w:val="sl-SI" w:eastAsia="en-GB"/>
              </w:rPr>
              <w:t xml:space="preserve"> as </w:t>
            </w:r>
            <w:proofErr w:type="spellStart"/>
            <w:r w:rsidRPr="00275FBD">
              <w:rPr>
                <w:rFonts w:ascii="Calibri" w:hAnsi="Calibri"/>
                <w:color w:val="000000"/>
                <w:sz w:val="18"/>
                <w:szCs w:val="18"/>
                <w:lang w:val="sl-SI" w:eastAsia="en-GB"/>
              </w:rPr>
              <w:t>possible</w:t>
            </w:r>
            <w:proofErr w:type="spellEnd"/>
            <w:r w:rsidRPr="00275FBD">
              <w:rPr>
                <w:rFonts w:ascii="Calibri" w:hAnsi="Calibri"/>
                <w:color w:val="000000"/>
                <w:sz w:val="18"/>
                <w:szCs w:val="18"/>
                <w:lang w:val="sl-SI" w:eastAsia="en-GB"/>
              </w:rPr>
              <w:t xml:space="preserve"> and the </w:t>
            </w:r>
            <w:proofErr w:type="spellStart"/>
            <w:r w:rsidRPr="00275FBD">
              <w:rPr>
                <w:rFonts w:ascii="Calibri" w:hAnsi="Calibri"/>
                <w:color w:val="000000"/>
                <w:sz w:val="18"/>
                <w:szCs w:val="18"/>
                <w:lang w:val="sl-SI" w:eastAsia="en-GB"/>
              </w:rPr>
              <w:t>issue</w:t>
            </w:r>
            <w:proofErr w:type="spellEnd"/>
            <w:r w:rsidRPr="00275FBD">
              <w:rPr>
                <w:rFonts w:ascii="Calibri" w:hAnsi="Calibri"/>
                <w:color w:val="000000"/>
                <w:sz w:val="18"/>
                <w:szCs w:val="18"/>
                <w:lang w:val="sl-SI" w:eastAsia="en-GB"/>
              </w:rPr>
              <w:t xml:space="preserve"> </w:t>
            </w:r>
            <w:proofErr w:type="spellStart"/>
            <w:r w:rsidRPr="00275FBD">
              <w:rPr>
                <w:rFonts w:ascii="Calibri" w:hAnsi="Calibri"/>
                <w:color w:val="000000"/>
                <w:sz w:val="18"/>
                <w:szCs w:val="18"/>
                <w:lang w:val="sl-SI" w:eastAsia="en-GB"/>
              </w:rPr>
              <w:t>should</w:t>
            </w:r>
            <w:proofErr w:type="spellEnd"/>
            <w:r w:rsidRPr="00275FBD">
              <w:rPr>
                <w:rFonts w:ascii="Calibri" w:hAnsi="Calibri"/>
                <w:color w:val="000000"/>
                <w:sz w:val="18"/>
                <w:szCs w:val="18"/>
                <w:lang w:val="sl-SI" w:eastAsia="en-GB"/>
              </w:rPr>
              <w:t xml:space="preserve"> be </w:t>
            </w:r>
            <w:proofErr w:type="spellStart"/>
            <w:r w:rsidRPr="00275FBD">
              <w:rPr>
                <w:rFonts w:ascii="Calibri" w:hAnsi="Calibri"/>
                <w:color w:val="000000"/>
                <w:sz w:val="18"/>
                <w:szCs w:val="18"/>
                <w:lang w:val="sl-SI" w:eastAsia="en-GB"/>
              </w:rPr>
              <w:t>given</w:t>
            </w:r>
            <w:proofErr w:type="spellEnd"/>
            <w:r w:rsidRPr="00275FBD">
              <w:rPr>
                <w:rFonts w:ascii="Calibri" w:hAnsi="Calibri"/>
                <w:color w:val="000000"/>
                <w:sz w:val="18"/>
                <w:szCs w:val="18"/>
                <w:lang w:val="sl-SI" w:eastAsia="en-GB"/>
              </w:rPr>
              <w:t xml:space="preserve"> SN&gt;3.</w:t>
            </w:r>
          </w:p>
        </w:tc>
        <w:tc>
          <w:tcPr>
            <w:tcW w:w="1701" w:type="dxa"/>
          </w:tcPr>
          <w:p w14:paraId="7EF2CF8A" w14:textId="77777777" w:rsidR="00935B67" w:rsidRPr="00275FBD" w:rsidRDefault="00935B67" w:rsidP="00935B67">
            <w:pPr>
              <w:pStyle w:val="xmsonormal"/>
              <w:rPr>
                <w:sz w:val="18"/>
                <w:szCs w:val="18"/>
              </w:rPr>
            </w:pPr>
            <w:r w:rsidRPr="00275FBD">
              <w:rPr>
                <w:sz w:val="18"/>
                <w:szCs w:val="18"/>
              </w:rPr>
              <w:t xml:space="preserve">Time </w:t>
            </w:r>
            <w:proofErr w:type="spellStart"/>
            <w:r w:rsidRPr="00275FBD">
              <w:rPr>
                <w:sz w:val="18"/>
                <w:szCs w:val="18"/>
              </w:rPr>
              <w:t>frame</w:t>
            </w:r>
            <w:proofErr w:type="spellEnd"/>
            <w:r w:rsidRPr="00275FBD">
              <w:rPr>
                <w:sz w:val="18"/>
                <w:szCs w:val="18"/>
              </w:rPr>
              <w:t xml:space="preserve"> II</w:t>
            </w:r>
          </w:p>
          <w:p w14:paraId="4410D7BF" w14:textId="77777777" w:rsidR="00935B67" w:rsidRPr="00275FBD" w:rsidRDefault="00935B67" w:rsidP="00935B67">
            <w:pPr>
              <w:pStyle w:val="xmsonormal"/>
              <w:rPr>
                <w:color w:val="000000"/>
                <w:sz w:val="18"/>
                <w:szCs w:val="18"/>
                <w:lang w:eastAsia="en-GB"/>
              </w:rPr>
            </w:pPr>
          </w:p>
        </w:tc>
      </w:tr>
    </w:tbl>
    <w:p w14:paraId="45BD90C1" w14:textId="4AF91AEA" w:rsidR="00661971" w:rsidRPr="00275FBD" w:rsidRDefault="00661971" w:rsidP="00181C2E">
      <w:pPr>
        <w:tabs>
          <w:tab w:val="left" w:pos="0"/>
        </w:tabs>
        <w:rPr>
          <w:szCs w:val="20"/>
          <w:lang w:val="sl-SI"/>
        </w:rPr>
      </w:pPr>
    </w:p>
    <w:sectPr w:rsidR="00661971" w:rsidRPr="00275FBD" w:rsidSect="005F6909">
      <w:footerReference w:type="default" r:id="rId5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3494" w14:textId="77777777" w:rsidR="00786C31" w:rsidRDefault="00786C31">
      <w:r>
        <w:separator/>
      </w:r>
    </w:p>
  </w:endnote>
  <w:endnote w:type="continuationSeparator" w:id="0">
    <w:p w14:paraId="406F83C1" w14:textId="77777777" w:rsidR="00786C31" w:rsidRDefault="0078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MT">
    <w:altName w:val="Malgun Gothic"/>
    <w:panose1 w:val="00000000000000000000"/>
    <w:charset w:val="81"/>
    <w:family w:val="auto"/>
    <w:notTrueType/>
    <w:pitch w:val="default"/>
    <w:sig w:usb0="00000005" w:usb1="09060000" w:usb2="00000010" w:usb3="00000000" w:csb0="00080002"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pprplGoth Hv BT">
    <w:altName w:val="Arial Black"/>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6A5D" w14:textId="77777777" w:rsidR="00A86D2D" w:rsidRDefault="00A86D2D">
    <w:pPr>
      <w:pStyle w:val="Nog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gridCol w:w="4292"/>
    </w:tblGrid>
    <w:tr w:rsidR="00FB4DD2" w:rsidRPr="0033223E" w14:paraId="2069BC4D" w14:textId="77777777">
      <w:tc>
        <w:tcPr>
          <w:tcW w:w="3498" w:type="pct"/>
          <w:tcBorders>
            <w:top w:val="nil"/>
            <w:left w:val="nil"/>
            <w:bottom w:val="single" w:sz="4" w:space="0" w:color="auto"/>
            <w:right w:val="nil"/>
          </w:tcBorders>
          <w:tcMar>
            <w:top w:w="28" w:type="dxa"/>
          </w:tcMar>
          <w:vAlign w:val="center"/>
        </w:tcPr>
        <w:p w14:paraId="424DCB25" w14:textId="77777777" w:rsidR="00FB4DD2" w:rsidRPr="0033223E" w:rsidRDefault="00FB4DD2" w:rsidP="001D33D0">
          <w:pPr>
            <w:pStyle w:val="ENCOFooterright"/>
            <w:jc w:val="left"/>
            <w:rPr>
              <w:rStyle w:val="tevilkastrani"/>
              <w:rFonts w:ascii="Times New Roman" w:hAnsi="Times New Roman"/>
              <w:noProof/>
              <w:lang w:val="nb-NO"/>
            </w:rPr>
          </w:pPr>
        </w:p>
      </w:tc>
      <w:tc>
        <w:tcPr>
          <w:tcW w:w="1502" w:type="pct"/>
          <w:tcBorders>
            <w:top w:val="nil"/>
            <w:left w:val="nil"/>
            <w:bottom w:val="single" w:sz="4" w:space="0" w:color="auto"/>
            <w:right w:val="nil"/>
          </w:tcBorders>
          <w:tcMar>
            <w:top w:w="28" w:type="dxa"/>
          </w:tcMar>
        </w:tcPr>
        <w:p w14:paraId="3D772F98" w14:textId="77777777" w:rsidR="00FB4DD2" w:rsidRPr="0033223E" w:rsidRDefault="00FB4DD2" w:rsidP="004605D2">
          <w:pPr>
            <w:pStyle w:val="ENCOFooterright"/>
            <w:rPr>
              <w:rStyle w:val="tevilkastrani"/>
              <w:rFonts w:ascii="Times New Roman" w:hAnsi="Times New Roman"/>
              <w:noProof/>
            </w:rPr>
          </w:pPr>
        </w:p>
      </w:tc>
    </w:tr>
    <w:tr w:rsidR="00FB4DD2" w:rsidRPr="0033223E" w14:paraId="1410EE33" w14:textId="77777777">
      <w:trPr>
        <w:trHeight w:val="62"/>
      </w:trPr>
      <w:tc>
        <w:tcPr>
          <w:tcW w:w="3498" w:type="pct"/>
          <w:tcBorders>
            <w:top w:val="single" w:sz="4" w:space="0" w:color="auto"/>
            <w:left w:val="nil"/>
            <w:bottom w:val="nil"/>
            <w:right w:val="nil"/>
          </w:tcBorders>
          <w:tcMar>
            <w:top w:w="28" w:type="dxa"/>
          </w:tcMar>
          <w:vAlign w:val="center"/>
        </w:tcPr>
        <w:p w14:paraId="1369A6E6" w14:textId="3216CA8D" w:rsidR="00FB4DD2" w:rsidRPr="00746B4A" w:rsidRDefault="00DD78ED" w:rsidP="00223C1E">
          <w:pPr>
            <w:pStyle w:val="ENCOFooter"/>
          </w:pPr>
          <w:r w:rsidRPr="00871DCD">
            <w:rPr>
              <w:noProof/>
              <w:lang w:val="sl-SI"/>
            </w:rPr>
            <w:t xml:space="preserve">PSR3-NEK-10.0: Povzetek zbirnega poročila </w:t>
          </w:r>
          <w:r w:rsidRPr="00871DCD">
            <w:rPr>
              <w:rFonts w:cs="ArialMT"/>
              <w:noProof/>
              <w:lang w:val="sl-SI" w:eastAsia="zh-CN"/>
            </w:rPr>
            <w:t xml:space="preserve">o tretjem občasnem varnostnem pregledu </w:t>
          </w:r>
          <w:r w:rsidR="00452B81">
            <w:rPr>
              <w:rFonts w:cs="ArialMT"/>
              <w:noProof/>
              <w:lang w:val="sl-SI" w:eastAsia="zh-CN"/>
            </w:rPr>
            <w:t>s celovito</w:t>
          </w:r>
          <w:r w:rsidR="00452B81" w:rsidRPr="00871DCD">
            <w:rPr>
              <w:rFonts w:cs="ArialMT"/>
              <w:noProof/>
              <w:lang w:val="sl-SI" w:eastAsia="zh-CN"/>
            </w:rPr>
            <w:t xml:space="preserve"> </w:t>
          </w:r>
          <w:r w:rsidRPr="00871DCD">
            <w:rPr>
              <w:rFonts w:cs="ArialMT"/>
              <w:noProof/>
              <w:lang w:val="sl-SI" w:eastAsia="zh-CN"/>
            </w:rPr>
            <w:t>oceno varnosti NEK</w:t>
          </w:r>
        </w:p>
      </w:tc>
      <w:tc>
        <w:tcPr>
          <w:tcW w:w="1502" w:type="pct"/>
          <w:tcBorders>
            <w:top w:val="single" w:sz="4" w:space="0" w:color="auto"/>
            <w:left w:val="nil"/>
            <w:bottom w:val="nil"/>
            <w:right w:val="nil"/>
          </w:tcBorders>
          <w:tcMar>
            <w:top w:w="28" w:type="dxa"/>
          </w:tcMar>
        </w:tcPr>
        <w:p w14:paraId="57347F9F" w14:textId="76B17766" w:rsidR="00FB4DD2" w:rsidRPr="0033223E" w:rsidRDefault="00326AA3" w:rsidP="0048505F">
          <w:pPr>
            <w:pStyle w:val="ENCOFooterright"/>
            <w:rPr>
              <w:lang w:val="de-DE"/>
            </w:rPr>
          </w:pPr>
          <w:proofErr w:type="spellStart"/>
          <w:r>
            <w:rPr>
              <w:lang w:val="de-DE"/>
            </w:rPr>
            <w:t>Stran</w:t>
          </w:r>
          <w:proofErr w:type="spellEnd"/>
          <w:r w:rsidR="00FB4DD2" w:rsidRPr="0033223E">
            <w:rPr>
              <w:lang w:val="de-DE"/>
            </w:rPr>
            <w:t xml:space="preserve"> </w:t>
          </w:r>
          <w:r w:rsidR="00FB4DD2">
            <w:rPr>
              <w:rStyle w:val="tevilkastrani"/>
              <w:szCs w:val="24"/>
              <w:lang w:val="en-US" w:eastAsia="en-US"/>
            </w:rPr>
            <w:fldChar w:fldCharType="begin"/>
          </w:r>
          <w:r w:rsidR="00FB4DD2">
            <w:rPr>
              <w:rStyle w:val="tevilkastrani"/>
              <w:szCs w:val="24"/>
              <w:lang w:val="en-US" w:eastAsia="en-US"/>
            </w:rPr>
            <w:instrText xml:space="preserve"> PAGE </w:instrText>
          </w:r>
          <w:r w:rsidR="00FB4DD2">
            <w:rPr>
              <w:rStyle w:val="tevilkastrani"/>
              <w:szCs w:val="24"/>
              <w:lang w:val="en-US" w:eastAsia="en-US"/>
            </w:rPr>
            <w:fldChar w:fldCharType="separate"/>
          </w:r>
          <w:r w:rsidR="00610E20">
            <w:rPr>
              <w:rStyle w:val="tevilkastrani"/>
              <w:noProof/>
              <w:szCs w:val="24"/>
              <w:lang w:val="en-US" w:eastAsia="en-US"/>
            </w:rPr>
            <w:t>27</w:t>
          </w:r>
          <w:r w:rsidR="00FB4DD2">
            <w:rPr>
              <w:rStyle w:val="tevilkastrani"/>
              <w:szCs w:val="24"/>
              <w:lang w:val="en-US" w:eastAsia="en-US"/>
            </w:rPr>
            <w:fldChar w:fldCharType="end"/>
          </w:r>
          <w:r w:rsidR="00FB4DD2">
            <w:rPr>
              <w:rStyle w:val="tevilkastrani"/>
              <w:szCs w:val="24"/>
              <w:lang w:val="en-US" w:eastAsia="en-US"/>
            </w:rPr>
            <w:t xml:space="preserve"> o</w:t>
          </w:r>
          <w:r>
            <w:rPr>
              <w:rStyle w:val="tevilkastrani"/>
              <w:szCs w:val="24"/>
              <w:lang w:val="en-US" w:eastAsia="en-US"/>
            </w:rPr>
            <w:t>d</w:t>
          </w:r>
          <w:r w:rsidR="00FB4DD2">
            <w:rPr>
              <w:rStyle w:val="tevilkastrani"/>
              <w:szCs w:val="24"/>
              <w:lang w:val="en-US" w:eastAsia="en-US"/>
            </w:rPr>
            <w:t xml:space="preserve"> </w:t>
          </w:r>
          <w:r w:rsidR="00FB4DD2">
            <w:rPr>
              <w:rStyle w:val="tevilkastrani"/>
              <w:szCs w:val="24"/>
              <w:lang w:val="en-US" w:eastAsia="en-US"/>
            </w:rPr>
            <w:fldChar w:fldCharType="begin"/>
          </w:r>
          <w:r w:rsidR="00FB4DD2">
            <w:rPr>
              <w:rStyle w:val="tevilkastrani"/>
              <w:szCs w:val="24"/>
              <w:lang w:val="en-US" w:eastAsia="en-US"/>
            </w:rPr>
            <w:instrText xml:space="preserve"> NUMPAGES   \* MERGEFORMAT </w:instrText>
          </w:r>
          <w:r w:rsidR="00FB4DD2">
            <w:rPr>
              <w:rStyle w:val="tevilkastrani"/>
              <w:szCs w:val="24"/>
              <w:lang w:val="en-US" w:eastAsia="en-US"/>
            </w:rPr>
            <w:fldChar w:fldCharType="separate"/>
          </w:r>
          <w:r w:rsidR="00610E20">
            <w:rPr>
              <w:rStyle w:val="tevilkastrani"/>
              <w:noProof/>
              <w:szCs w:val="24"/>
              <w:lang w:val="en-US" w:eastAsia="en-US"/>
            </w:rPr>
            <w:t>88</w:t>
          </w:r>
          <w:r w:rsidR="00FB4DD2">
            <w:rPr>
              <w:rStyle w:val="tevilkastrani"/>
              <w:szCs w:val="24"/>
              <w:lang w:val="en-US" w:eastAsia="en-US"/>
            </w:rPr>
            <w:fldChar w:fldCharType="end"/>
          </w:r>
        </w:p>
      </w:tc>
    </w:tr>
  </w:tbl>
  <w:p w14:paraId="688EE288" w14:textId="77777777" w:rsidR="00FB4DD2" w:rsidRPr="00F9371C" w:rsidRDefault="00FB4DD2" w:rsidP="00F9371C">
    <w:pPr>
      <w:pStyle w:val="Noga"/>
      <w:tabs>
        <w:tab w:val="clear" w:pos="4153"/>
        <w:tab w:val="clear" w:pos="8306"/>
        <w:tab w:val="center" w:pos="7200"/>
        <w:tab w:val="right" w:pos="8931"/>
      </w:tabs>
      <w:spacing w:before="0"/>
      <w:jc w:val="center"/>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7"/>
      <w:gridCol w:w="2725"/>
    </w:tblGrid>
    <w:tr w:rsidR="00FB4DD2" w:rsidRPr="0033223E" w14:paraId="44F8D58B" w14:textId="77777777">
      <w:tc>
        <w:tcPr>
          <w:tcW w:w="3498" w:type="pct"/>
          <w:tcBorders>
            <w:top w:val="nil"/>
            <w:left w:val="nil"/>
            <w:bottom w:val="single" w:sz="4" w:space="0" w:color="auto"/>
            <w:right w:val="nil"/>
          </w:tcBorders>
          <w:tcMar>
            <w:top w:w="28" w:type="dxa"/>
          </w:tcMar>
          <w:vAlign w:val="center"/>
        </w:tcPr>
        <w:p w14:paraId="08E4A19E" w14:textId="77777777" w:rsidR="00FB4DD2" w:rsidRPr="0033223E" w:rsidRDefault="00FB4DD2" w:rsidP="001D33D0">
          <w:pPr>
            <w:pStyle w:val="ENCOFooterright"/>
            <w:jc w:val="left"/>
            <w:rPr>
              <w:rStyle w:val="tevilkastrani"/>
              <w:rFonts w:ascii="Times New Roman" w:hAnsi="Times New Roman"/>
              <w:noProof/>
              <w:lang w:val="nb-NO"/>
            </w:rPr>
          </w:pPr>
        </w:p>
      </w:tc>
      <w:tc>
        <w:tcPr>
          <w:tcW w:w="1502" w:type="pct"/>
          <w:tcBorders>
            <w:top w:val="nil"/>
            <w:left w:val="nil"/>
            <w:bottom w:val="single" w:sz="4" w:space="0" w:color="auto"/>
            <w:right w:val="nil"/>
          </w:tcBorders>
          <w:tcMar>
            <w:top w:w="28" w:type="dxa"/>
          </w:tcMar>
        </w:tcPr>
        <w:p w14:paraId="4618EAE9" w14:textId="77777777" w:rsidR="00FB4DD2" w:rsidRPr="0033223E" w:rsidRDefault="00FB4DD2" w:rsidP="004605D2">
          <w:pPr>
            <w:pStyle w:val="ENCOFooterright"/>
            <w:rPr>
              <w:rStyle w:val="tevilkastrani"/>
              <w:rFonts w:ascii="Times New Roman" w:hAnsi="Times New Roman"/>
              <w:noProof/>
            </w:rPr>
          </w:pPr>
        </w:p>
      </w:tc>
    </w:tr>
    <w:tr w:rsidR="00FB4DD2" w:rsidRPr="0033223E" w14:paraId="0938F4C8" w14:textId="77777777">
      <w:trPr>
        <w:trHeight w:val="62"/>
      </w:trPr>
      <w:tc>
        <w:tcPr>
          <w:tcW w:w="3498" w:type="pct"/>
          <w:tcBorders>
            <w:top w:val="single" w:sz="4" w:space="0" w:color="auto"/>
            <w:left w:val="nil"/>
            <w:bottom w:val="nil"/>
            <w:right w:val="nil"/>
          </w:tcBorders>
          <w:tcMar>
            <w:top w:w="28" w:type="dxa"/>
          </w:tcMar>
          <w:vAlign w:val="center"/>
        </w:tcPr>
        <w:p w14:paraId="19251ABA" w14:textId="2F6552DF" w:rsidR="00FB4DD2" w:rsidRPr="00746B4A" w:rsidRDefault="00DD78ED" w:rsidP="00223C1E">
          <w:pPr>
            <w:pStyle w:val="ENCOFooter"/>
          </w:pPr>
          <w:r w:rsidRPr="00871DCD">
            <w:rPr>
              <w:noProof/>
              <w:lang w:val="sl-SI"/>
            </w:rPr>
            <w:t xml:space="preserve">PSR3-NEK-10.0: Povzetek zbirnega poročila </w:t>
          </w:r>
          <w:r w:rsidRPr="00871DCD">
            <w:rPr>
              <w:rFonts w:cs="ArialMT"/>
              <w:noProof/>
              <w:lang w:val="sl-SI" w:eastAsia="zh-CN"/>
            </w:rPr>
            <w:t xml:space="preserve">o tretjem občasnem varnostnem pregledu </w:t>
          </w:r>
          <w:r w:rsidR="00452B81">
            <w:rPr>
              <w:rFonts w:cs="ArialMT"/>
              <w:noProof/>
              <w:lang w:val="sl-SI" w:eastAsia="zh-CN"/>
            </w:rPr>
            <w:t>s celovito</w:t>
          </w:r>
          <w:r w:rsidR="00452B81" w:rsidRPr="00871DCD">
            <w:rPr>
              <w:rFonts w:cs="ArialMT"/>
              <w:noProof/>
              <w:lang w:val="sl-SI" w:eastAsia="zh-CN"/>
            </w:rPr>
            <w:t xml:space="preserve"> </w:t>
          </w:r>
          <w:r w:rsidRPr="00871DCD">
            <w:rPr>
              <w:rFonts w:cs="ArialMT"/>
              <w:noProof/>
              <w:lang w:val="sl-SI" w:eastAsia="zh-CN"/>
            </w:rPr>
            <w:t>oceno varnosti NEK</w:t>
          </w:r>
        </w:p>
      </w:tc>
      <w:tc>
        <w:tcPr>
          <w:tcW w:w="1502" w:type="pct"/>
          <w:tcBorders>
            <w:top w:val="single" w:sz="4" w:space="0" w:color="auto"/>
            <w:left w:val="nil"/>
            <w:bottom w:val="nil"/>
            <w:right w:val="nil"/>
          </w:tcBorders>
          <w:tcMar>
            <w:top w:w="28" w:type="dxa"/>
          </w:tcMar>
        </w:tcPr>
        <w:p w14:paraId="3F7F1442" w14:textId="4D12BDC8" w:rsidR="00FB4DD2" w:rsidRPr="0033223E" w:rsidRDefault="00326AA3" w:rsidP="00434A23">
          <w:pPr>
            <w:pStyle w:val="ENCOFooterright"/>
            <w:rPr>
              <w:lang w:val="de-DE"/>
            </w:rPr>
          </w:pPr>
          <w:proofErr w:type="spellStart"/>
          <w:r>
            <w:rPr>
              <w:lang w:val="de-DE"/>
            </w:rPr>
            <w:t>Stran</w:t>
          </w:r>
          <w:proofErr w:type="spellEnd"/>
          <w:r w:rsidR="00FB4DD2" w:rsidRPr="0033223E">
            <w:rPr>
              <w:lang w:val="de-DE"/>
            </w:rPr>
            <w:t xml:space="preserve"> </w:t>
          </w:r>
          <w:r w:rsidR="00FB4DD2">
            <w:rPr>
              <w:rStyle w:val="tevilkastrani"/>
              <w:szCs w:val="24"/>
              <w:lang w:val="en-US" w:eastAsia="en-US"/>
            </w:rPr>
            <w:fldChar w:fldCharType="begin"/>
          </w:r>
          <w:r w:rsidR="00FB4DD2">
            <w:rPr>
              <w:rStyle w:val="tevilkastrani"/>
              <w:szCs w:val="24"/>
              <w:lang w:val="en-US" w:eastAsia="en-US"/>
            </w:rPr>
            <w:instrText xml:space="preserve"> PAGE </w:instrText>
          </w:r>
          <w:r w:rsidR="00FB4DD2">
            <w:rPr>
              <w:rStyle w:val="tevilkastrani"/>
              <w:szCs w:val="24"/>
              <w:lang w:val="en-US" w:eastAsia="en-US"/>
            </w:rPr>
            <w:fldChar w:fldCharType="separate"/>
          </w:r>
          <w:r w:rsidR="00610E20">
            <w:rPr>
              <w:rStyle w:val="tevilkastrani"/>
              <w:noProof/>
              <w:szCs w:val="24"/>
              <w:lang w:val="en-US" w:eastAsia="en-US"/>
            </w:rPr>
            <w:t>49</w:t>
          </w:r>
          <w:r w:rsidR="00FB4DD2">
            <w:rPr>
              <w:rStyle w:val="tevilkastrani"/>
              <w:szCs w:val="24"/>
              <w:lang w:val="en-US" w:eastAsia="en-US"/>
            </w:rPr>
            <w:fldChar w:fldCharType="end"/>
          </w:r>
          <w:r w:rsidR="00FB4DD2">
            <w:rPr>
              <w:rStyle w:val="tevilkastrani"/>
              <w:szCs w:val="24"/>
              <w:lang w:val="en-US" w:eastAsia="en-US"/>
            </w:rPr>
            <w:t xml:space="preserve"> o</w:t>
          </w:r>
          <w:r>
            <w:rPr>
              <w:rStyle w:val="tevilkastrani"/>
              <w:szCs w:val="24"/>
              <w:lang w:val="en-US" w:eastAsia="en-US"/>
            </w:rPr>
            <w:t>d</w:t>
          </w:r>
          <w:r w:rsidR="00FB4DD2">
            <w:rPr>
              <w:rStyle w:val="tevilkastrani"/>
              <w:szCs w:val="24"/>
              <w:lang w:val="en-US" w:eastAsia="en-US"/>
            </w:rPr>
            <w:t xml:space="preserve"> </w:t>
          </w:r>
          <w:r w:rsidR="00FB4DD2">
            <w:rPr>
              <w:rStyle w:val="tevilkastrani"/>
              <w:szCs w:val="24"/>
              <w:lang w:val="en-US" w:eastAsia="en-US"/>
            </w:rPr>
            <w:fldChar w:fldCharType="begin"/>
          </w:r>
          <w:r w:rsidR="00FB4DD2">
            <w:rPr>
              <w:rStyle w:val="tevilkastrani"/>
              <w:szCs w:val="24"/>
              <w:lang w:val="en-US" w:eastAsia="en-US"/>
            </w:rPr>
            <w:instrText xml:space="preserve"> NUMPAGES   \* MERGEFORMAT </w:instrText>
          </w:r>
          <w:r w:rsidR="00FB4DD2">
            <w:rPr>
              <w:rStyle w:val="tevilkastrani"/>
              <w:szCs w:val="24"/>
              <w:lang w:val="en-US" w:eastAsia="en-US"/>
            </w:rPr>
            <w:fldChar w:fldCharType="separate"/>
          </w:r>
          <w:r w:rsidR="00610E20">
            <w:rPr>
              <w:rStyle w:val="tevilkastrani"/>
              <w:noProof/>
              <w:szCs w:val="24"/>
              <w:lang w:val="en-US" w:eastAsia="en-US"/>
            </w:rPr>
            <w:t>88</w:t>
          </w:r>
          <w:r w:rsidR="00FB4DD2">
            <w:rPr>
              <w:rStyle w:val="tevilkastrani"/>
              <w:szCs w:val="24"/>
              <w:lang w:val="en-US" w:eastAsia="en-US"/>
            </w:rPr>
            <w:fldChar w:fldCharType="end"/>
          </w:r>
        </w:p>
      </w:tc>
    </w:tr>
  </w:tbl>
  <w:p w14:paraId="69135719" w14:textId="77777777" w:rsidR="00FB4DD2" w:rsidRPr="00F9371C" w:rsidRDefault="00FB4DD2" w:rsidP="00F9371C">
    <w:pPr>
      <w:pStyle w:val="Noga"/>
      <w:tabs>
        <w:tab w:val="clear" w:pos="4153"/>
        <w:tab w:val="clear" w:pos="8306"/>
        <w:tab w:val="center" w:pos="7200"/>
        <w:tab w:val="right" w:pos="8931"/>
      </w:tabs>
      <w:spacing w:before="0"/>
      <w:jc w:val="center"/>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5"/>
      <w:gridCol w:w="2711"/>
    </w:tblGrid>
    <w:tr w:rsidR="00FB4DD2" w:rsidRPr="0033223E" w14:paraId="3948B25B" w14:textId="77777777">
      <w:tc>
        <w:tcPr>
          <w:tcW w:w="3498" w:type="pct"/>
          <w:tcBorders>
            <w:top w:val="nil"/>
            <w:left w:val="nil"/>
            <w:bottom w:val="single" w:sz="4" w:space="0" w:color="auto"/>
            <w:right w:val="nil"/>
          </w:tcBorders>
          <w:tcMar>
            <w:top w:w="28" w:type="dxa"/>
          </w:tcMar>
          <w:vAlign w:val="center"/>
        </w:tcPr>
        <w:p w14:paraId="2AFF2EC5" w14:textId="77777777" w:rsidR="00FB4DD2" w:rsidRPr="0033223E" w:rsidRDefault="00FB4DD2" w:rsidP="001D33D0">
          <w:pPr>
            <w:pStyle w:val="ENCOFooterright"/>
            <w:jc w:val="left"/>
            <w:rPr>
              <w:rStyle w:val="tevilkastrani"/>
              <w:rFonts w:ascii="Times New Roman" w:hAnsi="Times New Roman"/>
              <w:noProof/>
              <w:lang w:val="nb-NO"/>
            </w:rPr>
          </w:pPr>
        </w:p>
      </w:tc>
      <w:tc>
        <w:tcPr>
          <w:tcW w:w="1502" w:type="pct"/>
          <w:tcBorders>
            <w:top w:val="nil"/>
            <w:left w:val="nil"/>
            <w:bottom w:val="single" w:sz="4" w:space="0" w:color="auto"/>
            <w:right w:val="nil"/>
          </w:tcBorders>
          <w:tcMar>
            <w:top w:w="28" w:type="dxa"/>
          </w:tcMar>
        </w:tcPr>
        <w:p w14:paraId="1AB1FD22" w14:textId="77777777" w:rsidR="00FB4DD2" w:rsidRPr="0033223E" w:rsidRDefault="00FB4DD2" w:rsidP="004605D2">
          <w:pPr>
            <w:pStyle w:val="ENCOFooterright"/>
            <w:rPr>
              <w:rStyle w:val="tevilkastrani"/>
              <w:rFonts w:ascii="Times New Roman" w:hAnsi="Times New Roman"/>
              <w:noProof/>
            </w:rPr>
          </w:pPr>
        </w:p>
      </w:tc>
    </w:tr>
    <w:tr w:rsidR="00FB4DD2" w:rsidRPr="0033223E" w14:paraId="4FC40D0D" w14:textId="77777777">
      <w:trPr>
        <w:trHeight w:val="62"/>
      </w:trPr>
      <w:tc>
        <w:tcPr>
          <w:tcW w:w="3498" w:type="pct"/>
          <w:tcBorders>
            <w:top w:val="single" w:sz="4" w:space="0" w:color="auto"/>
            <w:left w:val="nil"/>
            <w:bottom w:val="nil"/>
            <w:right w:val="nil"/>
          </w:tcBorders>
          <w:tcMar>
            <w:top w:w="28" w:type="dxa"/>
          </w:tcMar>
          <w:vAlign w:val="center"/>
        </w:tcPr>
        <w:p w14:paraId="34EF1EF5" w14:textId="5D291212" w:rsidR="00FB4DD2" w:rsidRPr="00746B4A" w:rsidRDefault="00DD78ED" w:rsidP="00223C1E">
          <w:pPr>
            <w:pStyle w:val="ENCOFooter"/>
          </w:pPr>
          <w:r w:rsidRPr="00871DCD">
            <w:rPr>
              <w:noProof/>
              <w:lang w:val="sl-SI"/>
            </w:rPr>
            <w:t xml:space="preserve">PSR3-NEK-10.0: Povzetek zbirnega poročila </w:t>
          </w:r>
          <w:r w:rsidRPr="00871DCD">
            <w:rPr>
              <w:rFonts w:cs="ArialMT"/>
              <w:noProof/>
              <w:lang w:val="sl-SI" w:eastAsia="zh-CN"/>
            </w:rPr>
            <w:t xml:space="preserve">o tretjem občasnem varnostnem pregledu </w:t>
          </w:r>
          <w:r w:rsidR="00452B81">
            <w:rPr>
              <w:rFonts w:cs="ArialMT"/>
              <w:noProof/>
              <w:lang w:val="sl-SI" w:eastAsia="zh-CN"/>
            </w:rPr>
            <w:t>s celovito</w:t>
          </w:r>
          <w:r w:rsidR="00452B81" w:rsidRPr="00871DCD">
            <w:rPr>
              <w:rFonts w:cs="ArialMT"/>
              <w:noProof/>
              <w:lang w:val="sl-SI" w:eastAsia="zh-CN"/>
            </w:rPr>
            <w:t xml:space="preserve"> </w:t>
          </w:r>
          <w:r w:rsidRPr="00871DCD">
            <w:rPr>
              <w:rFonts w:cs="ArialMT"/>
              <w:noProof/>
              <w:lang w:val="sl-SI" w:eastAsia="zh-CN"/>
            </w:rPr>
            <w:t>oceno varnosti NEK</w:t>
          </w:r>
        </w:p>
      </w:tc>
      <w:tc>
        <w:tcPr>
          <w:tcW w:w="1502" w:type="pct"/>
          <w:tcBorders>
            <w:top w:val="single" w:sz="4" w:space="0" w:color="auto"/>
            <w:left w:val="nil"/>
            <w:bottom w:val="nil"/>
            <w:right w:val="nil"/>
          </w:tcBorders>
          <w:tcMar>
            <w:top w:w="28" w:type="dxa"/>
          </w:tcMar>
        </w:tcPr>
        <w:p w14:paraId="548364EF" w14:textId="4C0FEE9A" w:rsidR="00FB4DD2" w:rsidRPr="0033223E" w:rsidRDefault="00326AA3" w:rsidP="00434A23">
          <w:pPr>
            <w:pStyle w:val="ENCOFooterright"/>
            <w:rPr>
              <w:lang w:val="de-DE"/>
            </w:rPr>
          </w:pPr>
          <w:proofErr w:type="spellStart"/>
          <w:r>
            <w:rPr>
              <w:lang w:val="de-DE"/>
            </w:rPr>
            <w:t>Stran</w:t>
          </w:r>
          <w:proofErr w:type="spellEnd"/>
          <w:r w:rsidR="00FB4DD2" w:rsidRPr="0033223E">
            <w:rPr>
              <w:lang w:val="de-DE"/>
            </w:rPr>
            <w:t xml:space="preserve"> </w:t>
          </w:r>
          <w:r w:rsidR="00FB4DD2">
            <w:rPr>
              <w:rStyle w:val="tevilkastrani"/>
              <w:szCs w:val="24"/>
              <w:lang w:val="en-US" w:eastAsia="en-US"/>
            </w:rPr>
            <w:fldChar w:fldCharType="begin"/>
          </w:r>
          <w:r w:rsidR="00FB4DD2">
            <w:rPr>
              <w:rStyle w:val="tevilkastrani"/>
              <w:szCs w:val="24"/>
              <w:lang w:val="en-US" w:eastAsia="en-US"/>
            </w:rPr>
            <w:instrText xml:space="preserve"> PAGE </w:instrText>
          </w:r>
          <w:r w:rsidR="00FB4DD2">
            <w:rPr>
              <w:rStyle w:val="tevilkastrani"/>
              <w:szCs w:val="24"/>
              <w:lang w:val="en-US" w:eastAsia="en-US"/>
            </w:rPr>
            <w:fldChar w:fldCharType="separate"/>
          </w:r>
          <w:r w:rsidR="00610E20">
            <w:rPr>
              <w:rStyle w:val="tevilkastrani"/>
              <w:noProof/>
              <w:szCs w:val="24"/>
              <w:lang w:val="en-US" w:eastAsia="en-US"/>
            </w:rPr>
            <w:t>58</w:t>
          </w:r>
          <w:r w:rsidR="00FB4DD2">
            <w:rPr>
              <w:rStyle w:val="tevilkastrani"/>
              <w:szCs w:val="24"/>
              <w:lang w:val="en-US" w:eastAsia="en-US"/>
            </w:rPr>
            <w:fldChar w:fldCharType="end"/>
          </w:r>
          <w:r w:rsidR="00FB4DD2">
            <w:rPr>
              <w:rStyle w:val="tevilkastrani"/>
              <w:szCs w:val="24"/>
              <w:lang w:val="en-US" w:eastAsia="en-US"/>
            </w:rPr>
            <w:t xml:space="preserve"> o</w:t>
          </w:r>
          <w:r>
            <w:rPr>
              <w:rStyle w:val="tevilkastrani"/>
              <w:szCs w:val="24"/>
              <w:lang w:val="en-US" w:eastAsia="en-US"/>
            </w:rPr>
            <w:t>d</w:t>
          </w:r>
          <w:r w:rsidR="00FB4DD2">
            <w:rPr>
              <w:rStyle w:val="tevilkastrani"/>
              <w:szCs w:val="24"/>
              <w:lang w:val="en-US" w:eastAsia="en-US"/>
            </w:rPr>
            <w:t xml:space="preserve"> </w:t>
          </w:r>
          <w:r w:rsidR="00FB4DD2">
            <w:rPr>
              <w:rStyle w:val="tevilkastrani"/>
              <w:szCs w:val="24"/>
              <w:lang w:val="en-US" w:eastAsia="en-US"/>
            </w:rPr>
            <w:fldChar w:fldCharType="begin"/>
          </w:r>
          <w:r w:rsidR="00FB4DD2">
            <w:rPr>
              <w:rStyle w:val="tevilkastrani"/>
              <w:szCs w:val="24"/>
              <w:lang w:val="en-US" w:eastAsia="en-US"/>
            </w:rPr>
            <w:instrText xml:space="preserve"> NUMPAGES   \* MERGEFORMAT </w:instrText>
          </w:r>
          <w:r w:rsidR="00FB4DD2">
            <w:rPr>
              <w:rStyle w:val="tevilkastrani"/>
              <w:szCs w:val="24"/>
              <w:lang w:val="en-US" w:eastAsia="en-US"/>
            </w:rPr>
            <w:fldChar w:fldCharType="separate"/>
          </w:r>
          <w:r w:rsidR="00610E20">
            <w:rPr>
              <w:rStyle w:val="tevilkastrani"/>
              <w:noProof/>
              <w:szCs w:val="24"/>
              <w:lang w:val="en-US" w:eastAsia="en-US"/>
            </w:rPr>
            <w:t>88</w:t>
          </w:r>
          <w:r w:rsidR="00FB4DD2">
            <w:rPr>
              <w:rStyle w:val="tevilkastrani"/>
              <w:szCs w:val="24"/>
              <w:lang w:val="en-US" w:eastAsia="en-US"/>
            </w:rPr>
            <w:fldChar w:fldCharType="end"/>
          </w:r>
        </w:p>
      </w:tc>
    </w:tr>
  </w:tbl>
  <w:p w14:paraId="2F35789A" w14:textId="77777777" w:rsidR="00FB4DD2" w:rsidRPr="00F9371C" w:rsidRDefault="00FB4DD2" w:rsidP="00F9371C">
    <w:pPr>
      <w:pStyle w:val="Noga"/>
      <w:tabs>
        <w:tab w:val="clear" w:pos="4153"/>
        <w:tab w:val="clear" w:pos="8306"/>
        <w:tab w:val="center" w:pos="7200"/>
        <w:tab w:val="right" w:pos="8931"/>
      </w:tabs>
      <w:spacing w:before="0"/>
      <w:jc w:val="center"/>
      <w:rPr>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5025"/>
    </w:tblGrid>
    <w:tr w:rsidR="00FB4DD2" w:rsidRPr="0033223E" w14:paraId="5C8E6C52" w14:textId="77777777" w:rsidTr="00740CD5">
      <w:tc>
        <w:tcPr>
          <w:tcW w:w="2230" w:type="pct"/>
          <w:tcBorders>
            <w:top w:val="nil"/>
            <w:left w:val="nil"/>
            <w:bottom w:val="single" w:sz="4" w:space="0" w:color="auto"/>
            <w:right w:val="nil"/>
          </w:tcBorders>
          <w:tcMar>
            <w:top w:w="28" w:type="dxa"/>
          </w:tcMar>
          <w:vAlign w:val="center"/>
        </w:tcPr>
        <w:p w14:paraId="27AFE760" w14:textId="77777777" w:rsidR="00FB4DD2" w:rsidRPr="0033223E" w:rsidRDefault="00FB4DD2" w:rsidP="001D33D0">
          <w:pPr>
            <w:pStyle w:val="ENCOFooterright"/>
            <w:jc w:val="left"/>
            <w:rPr>
              <w:rStyle w:val="tevilkastrani"/>
              <w:rFonts w:ascii="Times New Roman" w:hAnsi="Times New Roman"/>
              <w:noProof/>
              <w:lang w:val="nb-NO"/>
            </w:rPr>
          </w:pPr>
        </w:p>
      </w:tc>
      <w:tc>
        <w:tcPr>
          <w:tcW w:w="2770" w:type="pct"/>
          <w:tcBorders>
            <w:top w:val="nil"/>
            <w:left w:val="nil"/>
            <w:bottom w:val="single" w:sz="4" w:space="0" w:color="auto"/>
            <w:right w:val="nil"/>
          </w:tcBorders>
          <w:tcMar>
            <w:top w:w="28" w:type="dxa"/>
          </w:tcMar>
        </w:tcPr>
        <w:p w14:paraId="224C1A01" w14:textId="77777777" w:rsidR="00FB4DD2" w:rsidRPr="0033223E" w:rsidRDefault="00FB4DD2" w:rsidP="004605D2">
          <w:pPr>
            <w:pStyle w:val="ENCOFooterright"/>
            <w:rPr>
              <w:rStyle w:val="tevilkastrani"/>
              <w:rFonts w:ascii="Times New Roman" w:hAnsi="Times New Roman"/>
              <w:noProof/>
            </w:rPr>
          </w:pPr>
        </w:p>
      </w:tc>
    </w:tr>
    <w:tr w:rsidR="00FB4DD2" w:rsidRPr="0033223E" w14:paraId="3C24EEA2" w14:textId="77777777" w:rsidTr="00740CD5">
      <w:trPr>
        <w:trHeight w:val="62"/>
      </w:trPr>
      <w:tc>
        <w:tcPr>
          <w:tcW w:w="2230" w:type="pct"/>
          <w:tcBorders>
            <w:top w:val="single" w:sz="4" w:space="0" w:color="auto"/>
            <w:left w:val="nil"/>
            <w:bottom w:val="nil"/>
            <w:right w:val="nil"/>
          </w:tcBorders>
          <w:tcMar>
            <w:top w:w="28" w:type="dxa"/>
          </w:tcMar>
          <w:vAlign w:val="center"/>
        </w:tcPr>
        <w:p w14:paraId="5EDE60B7" w14:textId="0BA72D4F" w:rsidR="00FB4DD2" w:rsidRPr="00746B4A" w:rsidRDefault="00DD78ED" w:rsidP="00223C1E">
          <w:pPr>
            <w:pStyle w:val="ENCOFooter"/>
          </w:pPr>
          <w:r w:rsidRPr="00871DCD">
            <w:rPr>
              <w:noProof/>
              <w:lang w:val="sl-SI"/>
            </w:rPr>
            <w:t xml:space="preserve">PSR3-NEK-10.0: Povzetek zbirnega poročila </w:t>
          </w:r>
          <w:r w:rsidRPr="00871DCD">
            <w:rPr>
              <w:rFonts w:cs="ArialMT"/>
              <w:noProof/>
              <w:lang w:val="sl-SI" w:eastAsia="zh-CN"/>
            </w:rPr>
            <w:t xml:space="preserve">o tretjem občasnem varnostnem pregledu </w:t>
          </w:r>
          <w:r w:rsidR="00452B81">
            <w:rPr>
              <w:rFonts w:cs="ArialMT"/>
              <w:noProof/>
              <w:lang w:val="sl-SI" w:eastAsia="zh-CN"/>
            </w:rPr>
            <w:t>s celovito</w:t>
          </w:r>
          <w:r w:rsidR="00452B81" w:rsidRPr="00871DCD">
            <w:rPr>
              <w:rFonts w:cs="ArialMT"/>
              <w:noProof/>
              <w:lang w:val="sl-SI" w:eastAsia="zh-CN"/>
            </w:rPr>
            <w:t xml:space="preserve"> </w:t>
          </w:r>
          <w:r w:rsidRPr="00871DCD">
            <w:rPr>
              <w:rFonts w:cs="ArialMT"/>
              <w:noProof/>
              <w:lang w:val="sl-SI" w:eastAsia="zh-CN"/>
            </w:rPr>
            <w:t>oceno varnosti NEK</w:t>
          </w:r>
        </w:p>
      </w:tc>
      <w:tc>
        <w:tcPr>
          <w:tcW w:w="2770" w:type="pct"/>
          <w:tcBorders>
            <w:top w:val="single" w:sz="4" w:space="0" w:color="auto"/>
            <w:left w:val="nil"/>
            <w:bottom w:val="nil"/>
            <w:right w:val="nil"/>
          </w:tcBorders>
          <w:tcMar>
            <w:top w:w="28" w:type="dxa"/>
          </w:tcMar>
        </w:tcPr>
        <w:p w14:paraId="14312353" w14:textId="1CD40666" w:rsidR="00FB4DD2" w:rsidRPr="0033223E" w:rsidRDefault="00326AA3" w:rsidP="00434A23">
          <w:pPr>
            <w:pStyle w:val="ENCOFooterright"/>
            <w:rPr>
              <w:lang w:val="de-DE"/>
            </w:rPr>
          </w:pPr>
          <w:proofErr w:type="spellStart"/>
          <w:r>
            <w:rPr>
              <w:lang w:val="de-DE"/>
            </w:rPr>
            <w:t>Stran</w:t>
          </w:r>
          <w:proofErr w:type="spellEnd"/>
          <w:r w:rsidR="00FB4DD2" w:rsidRPr="0033223E">
            <w:rPr>
              <w:lang w:val="de-DE"/>
            </w:rPr>
            <w:t xml:space="preserve"> </w:t>
          </w:r>
          <w:r w:rsidR="00FB4DD2">
            <w:rPr>
              <w:rStyle w:val="tevilkastrani"/>
              <w:szCs w:val="24"/>
              <w:lang w:val="en-US" w:eastAsia="en-US"/>
            </w:rPr>
            <w:fldChar w:fldCharType="begin"/>
          </w:r>
          <w:r w:rsidR="00FB4DD2">
            <w:rPr>
              <w:rStyle w:val="tevilkastrani"/>
              <w:szCs w:val="24"/>
              <w:lang w:val="en-US" w:eastAsia="en-US"/>
            </w:rPr>
            <w:instrText xml:space="preserve"> PAGE </w:instrText>
          </w:r>
          <w:r w:rsidR="00FB4DD2">
            <w:rPr>
              <w:rStyle w:val="tevilkastrani"/>
              <w:szCs w:val="24"/>
              <w:lang w:val="en-US" w:eastAsia="en-US"/>
            </w:rPr>
            <w:fldChar w:fldCharType="separate"/>
          </w:r>
          <w:r w:rsidR="00610E20">
            <w:rPr>
              <w:rStyle w:val="tevilkastrani"/>
              <w:noProof/>
              <w:szCs w:val="24"/>
              <w:lang w:val="en-US" w:eastAsia="en-US"/>
            </w:rPr>
            <w:t>68</w:t>
          </w:r>
          <w:r w:rsidR="00FB4DD2">
            <w:rPr>
              <w:rStyle w:val="tevilkastrani"/>
              <w:szCs w:val="24"/>
              <w:lang w:val="en-US" w:eastAsia="en-US"/>
            </w:rPr>
            <w:fldChar w:fldCharType="end"/>
          </w:r>
          <w:r w:rsidR="00FB4DD2">
            <w:rPr>
              <w:rStyle w:val="tevilkastrani"/>
              <w:szCs w:val="24"/>
              <w:lang w:val="en-US" w:eastAsia="en-US"/>
            </w:rPr>
            <w:t xml:space="preserve"> o</w:t>
          </w:r>
          <w:r>
            <w:rPr>
              <w:rStyle w:val="tevilkastrani"/>
              <w:szCs w:val="24"/>
              <w:lang w:val="en-US" w:eastAsia="en-US"/>
            </w:rPr>
            <w:t>d</w:t>
          </w:r>
          <w:r w:rsidR="00FB4DD2">
            <w:rPr>
              <w:rStyle w:val="tevilkastrani"/>
              <w:szCs w:val="24"/>
              <w:lang w:val="en-US" w:eastAsia="en-US"/>
            </w:rPr>
            <w:t xml:space="preserve"> </w:t>
          </w:r>
          <w:r w:rsidR="00FB4DD2">
            <w:rPr>
              <w:rStyle w:val="tevilkastrani"/>
              <w:szCs w:val="24"/>
              <w:lang w:val="en-US" w:eastAsia="en-US"/>
            </w:rPr>
            <w:fldChar w:fldCharType="begin"/>
          </w:r>
          <w:r w:rsidR="00FB4DD2">
            <w:rPr>
              <w:rStyle w:val="tevilkastrani"/>
              <w:szCs w:val="24"/>
              <w:lang w:val="en-US" w:eastAsia="en-US"/>
            </w:rPr>
            <w:instrText xml:space="preserve"> NUMPAGES   \* MERGEFORMAT </w:instrText>
          </w:r>
          <w:r w:rsidR="00FB4DD2">
            <w:rPr>
              <w:rStyle w:val="tevilkastrani"/>
              <w:szCs w:val="24"/>
              <w:lang w:val="en-US" w:eastAsia="en-US"/>
            </w:rPr>
            <w:fldChar w:fldCharType="separate"/>
          </w:r>
          <w:r w:rsidR="00610E20">
            <w:rPr>
              <w:rStyle w:val="tevilkastrani"/>
              <w:noProof/>
              <w:szCs w:val="24"/>
              <w:lang w:val="en-US" w:eastAsia="en-US"/>
            </w:rPr>
            <w:t>88</w:t>
          </w:r>
          <w:r w:rsidR="00FB4DD2">
            <w:rPr>
              <w:rStyle w:val="tevilkastrani"/>
              <w:szCs w:val="24"/>
              <w:lang w:val="en-US" w:eastAsia="en-US"/>
            </w:rPr>
            <w:fldChar w:fldCharType="end"/>
          </w:r>
        </w:p>
      </w:tc>
    </w:tr>
  </w:tbl>
  <w:p w14:paraId="6FE3A1A1" w14:textId="77777777" w:rsidR="00FB4DD2" w:rsidRPr="00F9371C" w:rsidRDefault="00FB4DD2" w:rsidP="00F9371C">
    <w:pPr>
      <w:pStyle w:val="Noga"/>
      <w:tabs>
        <w:tab w:val="clear" w:pos="4153"/>
        <w:tab w:val="clear" w:pos="8306"/>
        <w:tab w:val="center" w:pos="7200"/>
        <w:tab w:val="right" w:pos="8931"/>
      </w:tabs>
      <w:spacing w:before="0"/>
      <w:jc w:val="center"/>
      <w:rPr>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6"/>
      <w:gridCol w:w="4983"/>
    </w:tblGrid>
    <w:tr w:rsidR="00FB4DD2" w:rsidRPr="0033223E" w14:paraId="0D520EC6" w14:textId="77777777" w:rsidTr="00740CD5">
      <w:tc>
        <w:tcPr>
          <w:tcW w:w="2274" w:type="pct"/>
          <w:tcBorders>
            <w:top w:val="nil"/>
            <w:left w:val="nil"/>
            <w:bottom w:val="single" w:sz="4" w:space="0" w:color="auto"/>
            <w:right w:val="nil"/>
          </w:tcBorders>
          <w:tcMar>
            <w:top w:w="28" w:type="dxa"/>
          </w:tcMar>
          <w:vAlign w:val="center"/>
        </w:tcPr>
        <w:p w14:paraId="59FDDE59" w14:textId="77777777" w:rsidR="00FB4DD2" w:rsidRPr="0033223E" w:rsidRDefault="00FB4DD2" w:rsidP="001D33D0">
          <w:pPr>
            <w:pStyle w:val="ENCOFooterright"/>
            <w:jc w:val="left"/>
            <w:rPr>
              <w:rStyle w:val="tevilkastrani"/>
              <w:rFonts w:ascii="Times New Roman" w:hAnsi="Times New Roman"/>
              <w:noProof/>
              <w:lang w:val="nb-NO"/>
            </w:rPr>
          </w:pPr>
        </w:p>
      </w:tc>
      <w:tc>
        <w:tcPr>
          <w:tcW w:w="2726" w:type="pct"/>
          <w:tcBorders>
            <w:top w:val="nil"/>
            <w:left w:val="nil"/>
            <w:bottom w:val="single" w:sz="4" w:space="0" w:color="auto"/>
            <w:right w:val="nil"/>
          </w:tcBorders>
          <w:tcMar>
            <w:top w:w="28" w:type="dxa"/>
          </w:tcMar>
        </w:tcPr>
        <w:p w14:paraId="7B47D20C" w14:textId="77777777" w:rsidR="00FB4DD2" w:rsidRPr="0033223E" w:rsidRDefault="00FB4DD2" w:rsidP="004605D2">
          <w:pPr>
            <w:pStyle w:val="ENCOFooterright"/>
            <w:rPr>
              <w:rStyle w:val="tevilkastrani"/>
              <w:rFonts w:ascii="Times New Roman" w:hAnsi="Times New Roman"/>
              <w:noProof/>
            </w:rPr>
          </w:pPr>
        </w:p>
      </w:tc>
    </w:tr>
    <w:tr w:rsidR="00FB4DD2" w:rsidRPr="0033223E" w14:paraId="2A5E0138" w14:textId="77777777" w:rsidTr="00740CD5">
      <w:trPr>
        <w:trHeight w:val="62"/>
      </w:trPr>
      <w:tc>
        <w:tcPr>
          <w:tcW w:w="2274" w:type="pct"/>
          <w:tcBorders>
            <w:top w:val="single" w:sz="4" w:space="0" w:color="auto"/>
            <w:left w:val="nil"/>
            <w:bottom w:val="nil"/>
            <w:right w:val="nil"/>
          </w:tcBorders>
          <w:tcMar>
            <w:top w:w="28" w:type="dxa"/>
          </w:tcMar>
          <w:vAlign w:val="center"/>
        </w:tcPr>
        <w:p w14:paraId="200D7183" w14:textId="2781F157" w:rsidR="00FB4DD2" w:rsidRPr="00746B4A" w:rsidRDefault="00DD78ED" w:rsidP="00223C1E">
          <w:pPr>
            <w:pStyle w:val="ENCOFooter"/>
          </w:pPr>
          <w:r w:rsidRPr="00871DCD">
            <w:rPr>
              <w:noProof/>
              <w:lang w:val="sl-SI"/>
            </w:rPr>
            <w:t xml:space="preserve">PSR3-NEK-10.0: Povzetek zbirnega poročila </w:t>
          </w:r>
          <w:r w:rsidRPr="00871DCD">
            <w:rPr>
              <w:rFonts w:cs="ArialMT"/>
              <w:noProof/>
              <w:lang w:val="sl-SI" w:eastAsia="zh-CN"/>
            </w:rPr>
            <w:t xml:space="preserve">o tretjem občasnem varnostnem pregledu </w:t>
          </w:r>
          <w:r w:rsidR="00452B81">
            <w:rPr>
              <w:rFonts w:cs="ArialMT"/>
              <w:noProof/>
              <w:lang w:val="sl-SI" w:eastAsia="zh-CN"/>
            </w:rPr>
            <w:t>s celovito</w:t>
          </w:r>
          <w:r w:rsidR="00452B81" w:rsidRPr="00871DCD">
            <w:rPr>
              <w:rFonts w:cs="ArialMT"/>
              <w:noProof/>
              <w:lang w:val="sl-SI" w:eastAsia="zh-CN"/>
            </w:rPr>
            <w:t xml:space="preserve"> </w:t>
          </w:r>
          <w:r w:rsidRPr="00871DCD">
            <w:rPr>
              <w:rFonts w:cs="ArialMT"/>
              <w:noProof/>
              <w:lang w:val="sl-SI" w:eastAsia="zh-CN"/>
            </w:rPr>
            <w:t>oceno varnosti NEK</w:t>
          </w:r>
        </w:p>
      </w:tc>
      <w:tc>
        <w:tcPr>
          <w:tcW w:w="2726" w:type="pct"/>
          <w:tcBorders>
            <w:top w:val="single" w:sz="4" w:space="0" w:color="auto"/>
            <w:left w:val="nil"/>
            <w:bottom w:val="nil"/>
            <w:right w:val="nil"/>
          </w:tcBorders>
          <w:tcMar>
            <w:top w:w="28" w:type="dxa"/>
          </w:tcMar>
        </w:tcPr>
        <w:p w14:paraId="3EC86F2E" w14:textId="77777777" w:rsidR="00FB4DD2" w:rsidRPr="0033223E" w:rsidRDefault="00FB4DD2" w:rsidP="00434A23">
          <w:pPr>
            <w:pStyle w:val="ENCOFooterright"/>
            <w:rPr>
              <w:lang w:val="de-DE"/>
            </w:rPr>
          </w:pPr>
          <w:r w:rsidRPr="0033223E">
            <w:rPr>
              <w:lang w:val="de-DE"/>
            </w:rPr>
            <w:t xml:space="preserve">Page </w:t>
          </w:r>
          <w:r>
            <w:rPr>
              <w:rStyle w:val="tevilkastrani"/>
              <w:szCs w:val="24"/>
              <w:lang w:val="en-US" w:eastAsia="en-US"/>
            </w:rPr>
            <w:fldChar w:fldCharType="begin"/>
          </w:r>
          <w:r>
            <w:rPr>
              <w:rStyle w:val="tevilkastrani"/>
              <w:szCs w:val="24"/>
              <w:lang w:val="en-US" w:eastAsia="en-US"/>
            </w:rPr>
            <w:instrText xml:space="preserve"> PAGE </w:instrText>
          </w:r>
          <w:r>
            <w:rPr>
              <w:rStyle w:val="tevilkastrani"/>
              <w:szCs w:val="24"/>
              <w:lang w:val="en-US" w:eastAsia="en-US"/>
            </w:rPr>
            <w:fldChar w:fldCharType="separate"/>
          </w:r>
          <w:r w:rsidR="00610E20">
            <w:rPr>
              <w:rStyle w:val="tevilkastrani"/>
              <w:noProof/>
              <w:szCs w:val="24"/>
              <w:lang w:val="en-US" w:eastAsia="en-US"/>
            </w:rPr>
            <w:t>88</w:t>
          </w:r>
          <w:r>
            <w:rPr>
              <w:rStyle w:val="tevilkastrani"/>
              <w:szCs w:val="24"/>
              <w:lang w:val="en-US" w:eastAsia="en-US"/>
            </w:rPr>
            <w:fldChar w:fldCharType="end"/>
          </w:r>
          <w:r>
            <w:rPr>
              <w:rStyle w:val="tevilkastrani"/>
              <w:szCs w:val="24"/>
              <w:lang w:val="en-US" w:eastAsia="en-US"/>
            </w:rPr>
            <w:t xml:space="preserve"> of </w:t>
          </w:r>
          <w:r>
            <w:rPr>
              <w:rStyle w:val="tevilkastrani"/>
              <w:szCs w:val="24"/>
              <w:lang w:val="en-US" w:eastAsia="en-US"/>
            </w:rPr>
            <w:fldChar w:fldCharType="begin"/>
          </w:r>
          <w:r>
            <w:rPr>
              <w:rStyle w:val="tevilkastrani"/>
              <w:szCs w:val="24"/>
              <w:lang w:val="en-US" w:eastAsia="en-US"/>
            </w:rPr>
            <w:instrText xml:space="preserve"> NUMPAGES   \* MERGEFORMAT </w:instrText>
          </w:r>
          <w:r>
            <w:rPr>
              <w:rStyle w:val="tevilkastrani"/>
              <w:szCs w:val="24"/>
              <w:lang w:val="en-US" w:eastAsia="en-US"/>
            </w:rPr>
            <w:fldChar w:fldCharType="separate"/>
          </w:r>
          <w:r w:rsidR="00610E20">
            <w:rPr>
              <w:rStyle w:val="tevilkastrani"/>
              <w:noProof/>
              <w:szCs w:val="24"/>
              <w:lang w:val="en-US" w:eastAsia="en-US"/>
            </w:rPr>
            <w:t>88</w:t>
          </w:r>
          <w:r>
            <w:rPr>
              <w:rStyle w:val="tevilkastrani"/>
              <w:szCs w:val="24"/>
              <w:lang w:val="en-US" w:eastAsia="en-US"/>
            </w:rPr>
            <w:fldChar w:fldCharType="end"/>
          </w:r>
        </w:p>
      </w:tc>
    </w:tr>
  </w:tbl>
  <w:p w14:paraId="73617C16" w14:textId="77777777" w:rsidR="00FB4DD2" w:rsidRPr="00F9371C" w:rsidRDefault="00FB4DD2" w:rsidP="00F9371C">
    <w:pPr>
      <w:pStyle w:val="Noga"/>
      <w:tabs>
        <w:tab w:val="clear" w:pos="4153"/>
        <w:tab w:val="clear" w:pos="8306"/>
        <w:tab w:val="center" w:pos="7200"/>
        <w:tab w:val="right" w:pos="8931"/>
      </w:tabs>
      <w:spacing w:before="0"/>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5"/>
      <w:gridCol w:w="3283"/>
    </w:tblGrid>
    <w:tr w:rsidR="00FB4DD2" w:rsidRPr="00BE314D" w14:paraId="5F3DD57D" w14:textId="77777777">
      <w:tc>
        <w:tcPr>
          <w:tcW w:w="5825" w:type="dxa"/>
          <w:tcBorders>
            <w:top w:val="nil"/>
            <w:left w:val="nil"/>
            <w:bottom w:val="single" w:sz="4" w:space="0" w:color="auto"/>
            <w:right w:val="nil"/>
          </w:tcBorders>
          <w:tcMar>
            <w:top w:w="28" w:type="dxa"/>
          </w:tcMar>
          <w:vAlign w:val="center"/>
        </w:tcPr>
        <w:p w14:paraId="5696F688" w14:textId="77777777" w:rsidR="00FB4DD2" w:rsidRPr="00BE314D" w:rsidRDefault="00FB4DD2" w:rsidP="00BE314D">
          <w:pPr>
            <w:pStyle w:val="ENCOFooterright"/>
            <w:jc w:val="left"/>
            <w:rPr>
              <w:rStyle w:val="tevilkastrani"/>
              <w:rFonts w:ascii="Trebuchet MS" w:hAnsi="Trebuchet MS" w:cs="Tahoma"/>
              <w:noProof/>
              <w:lang w:val="nb-NO"/>
            </w:rPr>
          </w:pPr>
        </w:p>
      </w:tc>
      <w:tc>
        <w:tcPr>
          <w:tcW w:w="3283" w:type="dxa"/>
          <w:tcBorders>
            <w:top w:val="nil"/>
            <w:left w:val="nil"/>
            <w:bottom w:val="single" w:sz="4" w:space="0" w:color="auto"/>
            <w:right w:val="nil"/>
          </w:tcBorders>
          <w:tcMar>
            <w:top w:w="28" w:type="dxa"/>
          </w:tcMar>
        </w:tcPr>
        <w:p w14:paraId="787C9A71" w14:textId="77777777" w:rsidR="00FB4DD2" w:rsidRPr="00BE314D" w:rsidRDefault="00FB4DD2" w:rsidP="00551F00">
          <w:pPr>
            <w:pStyle w:val="ENCOFooterright"/>
            <w:rPr>
              <w:rStyle w:val="tevilkastrani"/>
              <w:rFonts w:ascii="Trebuchet MS" w:hAnsi="Trebuchet MS" w:cs="Tahoma"/>
              <w:noProof/>
            </w:rPr>
          </w:pPr>
        </w:p>
      </w:tc>
    </w:tr>
    <w:tr w:rsidR="00FB4DD2" w:rsidRPr="00BE314D" w14:paraId="15B00DD2" w14:textId="77777777">
      <w:trPr>
        <w:trHeight w:val="62"/>
      </w:trPr>
      <w:tc>
        <w:tcPr>
          <w:tcW w:w="5825" w:type="dxa"/>
          <w:tcBorders>
            <w:top w:val="single" w:sz="4" w:space="0" w:color="auto"/>
            <w:left w:val="nil"/>
            <w:bottom w:val="nil"/>
            <w:right w:val="nil"/>
          </w:tcBorders>
          <w:tcMar>
            <w:top w:w="28" w:type="dxa"/>
          </w:tcMar>
          <w:vAlign w:val="center"/>
        </w:tcPr>
        <w:p w14:paraId="623400BD" w14:textId="77777777" w:rsidR="00FB4DD2" w:rsidRPr="002D7BAF" w:rsidRDefault="00FB4DD2" w:rsidP="00E05861">
          <w:pPr>
            <w:pStyle w:val="ENCOFooter"/>
          </w:pPr>
          <w:r>
            <w:t>PSR3-NEK-9.3</w:t>
          </w:r>
          <w:r w:rsidRPr="009B26EB">
            <w:t xml:space="preserve">: </w:t>
          </w:r>
          <w:r w:rsidRPr="009B26EB">
            <w:rPr>
              <w:rFonts w:cs="ArialMT"/>
              <w:lang w:val="hr-HR" w:eastAsia="zh-CN"/>
            </w:rPr>
            <w:t xml:space="preserve">Summary Report and Global Assessment </w:t>
          </w:r>
          <w:r>
            <w:rPr>
              <w:rFonts w:cs="ArialMT"/>
              <w:lang w:val="hr-HR" w:eastAsia="zh-CN"/>
            </w:rPr>
            <w:br/>
          </w:r>
          <w:r w:rsidRPr="009B26EB">
            <w:rPr>
              <w:rFonts w:cs="ArialMT"/>
              <w:lang w:val="hr-HR" w:eastAsia="zh-CN"/>
            </w:rPr>
            <w:t>of Plant Status</w:t>
          </w:r>
        </w:p>
      </w:tc>
      <w:tc>
        <w:tcPr>
          <w:tcW w:w="3283" w:type="dxa"/>
          <w:tcBorders>
            <w:top w:val="single" w:sz="4" w:space="0" w:color="auto"/>
            <w:left w:val="nil"/>
            <w:bottom w:val="nil"/>
            <w:right w:val="nil"/>
          </w:tcBorders>
          <w:tcMar>
            <w:top w:w="28" w:type="dxa"/>
          </w:tcMar>
        </w:tcPr>
        <w:p w14:paraId="000D34D2" w14:textId="5FD40AC7" w:rsidR="00FB4DD2" w:rsidRPr="0033223E" w:rsidRDefault="00FB4DD2" w:rsidP="00661971">
          <w:pPr>
            <w:pStyle w:val="ENCOFooterright"/>
            <w:rPr>
              <w:lang w:val="de-DE"/>
            </w:rPr>
          </w:pPr>
          <w:r w:rsidRPr="0033223E">
            <w:rPr>
              <w:lang w:val="de-DE"/>
            </w:rPr>
            <w:t xml:space="preserve">Page </w:t>
          </w:r>
          <w:r>
            <w:rPr>
              <w:rStyle w:val="tevilkastrani"/>
              <w:szCs w:val="24"/>
              <w:lang w:val="en-US" w:eastAsia="en-US"/>
            </w:rPr>
            <w:fldChar w:fldCharType="begin"/>
          </w:r>
          <w:r>
            <w:rPr>
              <w:rStyle w:val="tevilkastrani"/>
              <w:szCs w:val="24"/>
              <w:lang w:val="en-US" w:eastAsia="en-US"/>
            </w:rPr>
            <w:instrText xml:space="preserve"> PAGE </w:instrText>
          </w:r>
          <w:r>
            <w:rPr>
              <w:rStyle w:val="tevilkastrani"/>
              <w:szCs w:val="24"/>
              <w:lang w:val="en-US" w:eastAsia="en-US"/>
            </w:rPr>
            <w:fldChar w:fldCharType="separate"/>
          </w:r>
          <w:r>
            <w:rPr>
              <w:rStyle w:val="tevilkastrani"/>
              <w:noProof/>
              <w:szCs w:val="24"/>
              <w:lang w:val="en-US" w:eastAsia="en-US"/>
            </w:rPr>
            <w:t>1</w:t>
          </w:r>
          <w:r>
            <w:rPr>
              <w:rStyle w:val="tevilkastrani"/>
              <w:szCs w:val="24"/>
              <w:lang w:val="en-US" w:eastAsia="en-US"/>
            </w:rPr>
            <w:fldChar w:fldCharType="end"/>
          </w:r>
          <w:r>
            <w:rPr>
              <w:rStyle w:val="tevilkastrani"/>
              <w:szCs w:val="24"/>
              <w:lang w:val="en-US" w:eastAsia="en-US"/>
            </w:rPr>
            <w:t xml:space="preserve"> of </w:t>
          </w:r>
          <w:r>
            <w:rPr>
              <w:rStyle w:val="tevilkastrani"/>
              <w:szCs w:val="24"/>
              <w:lang w:val="en-US" w:eastAsia="en-US"/>
            </w:rPr>
            <w:fldChar w:fldCharType="begin"/>
          </w:r>
          <w:r>
            <w:rPr>
              <w:rStyle w:val="tevilkastrani"/>
              <w:szCs w:val="24"/>
              <w:lang w:val="en-US" w:eastAsia="en-US"/>
            </w:rPr>
            <w:instrText xml:space="preserve"> NUMPAGES   \* MERGEFORMAT </w:instrText>
          </w:r>
          <w:r>
            <w:rPr>
              <w:rStyle w:val="tevilkastrani"/>
              <w:szCs w:val="24"/>
              <w:lang w:val="en-US" w:eastAsia="en-US"/>
            </w:rPr>
            <w:fldChar w:fldCharType="separate"/>
          </w:r>
          <w:r w:rsidR="00610E20">
            <w:rPr>
              <w:rStyle w:val="tevilkastrani"/>
              <w:noProof/>
              <w:szCs w:val="24"/>
              <w:lang w:val="en-US" w:eastAsia="en-US"/>
            </w:rPr>
            <w:t>88</w:t>
          </w:r>
          <w:r>
            <w:rPr>
              <w:rStyle w:val="tevilkastrani"/>
              <w:szCs w:val="24"/>
              <w:lang w:val="en-US" w:eastAsia="en-US"/>
            </w:rPr>
            <w:fldChar w:fldCharType="end"/>
          </w:r>
        </w:p>
      </w:tc>
    </w:tr>
  </w:tbl>
  <w:p w14:paraId="1E0EE73E" w14:textId="77777777" w:rsidR="00FB4DD2" w:rsidRPr="00F9371C" w:rsidRDefault="00FB4DD2" w:rsidP="00F9371C">
    <w:pPr>
      <w:pStyle w:val="Noga"/>
      <w:tabs>
        <w:tab w:val="clear" w:pos="4153"/>
        <w:tab w:val="clear" w:pos="8306"/>
        <w:tab w:val="center" w:pos="7200"/>
        <w:tab w:val="right" w:pos="8931"/>
      </w:tabs>
      <w:spacing w:before="0"/>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C446" w14:textId="77777777" w:rsidR="00A86D2D" w:rsidRDefault="00A86D2D">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5"/>
      <w:gridCol w:w="3283"/>
    </w:tblGrid>
    <w:tr w:rsidR="00FB4DD2" w:rsidRPr="00871DCD" w14:paraId="7F7E369A" w14:textId="77777777">
      <w:tc>
        <w:tcPr>
          <w:tcW w:w="5825" w:type="dxa"/>
          <w:tcBorders>
            <w:top w:val="nil"/>
            <w:left w:val="nil"/>
            <w:bottom w:val="single" w:sz="4" w:space="0" w:color="auto"/>
            <w:right w:val="nil"/>
          </w:tcBorders>
          <w:tcMar>
            <w:top w:w="28" w:type="dxa"/>
          </w:tcMar>
          <w:vAlign w:val="center"/>
        </w:tcPr>
        <w:p w14:paraId="24269280" w14:textId="77777777" w:rsidR="00FB4DD2" w:rsidRPr="00871DCD" w:rsidRDefault="00FB4DD2" w:rsidP="00BE314D">
          <w:pPr>
            <w:pStyle w:val="ENCOFooterright"/>
            <w:jc w:val="left"/>
            <w:rPr>
              <w:rStyle w:val="tevilkastrani"/>
              <w:rFonts w:ascii="Trebuchet MS" w:hAnsi="Trebuchet MS" w:cs="Tahoma"/>
              <w:noProof/>
              <w:lang w:val="sl-SI"/>
            </w:rPr>
          </w:pPr>
        </w:p>
      </w:tc>
      <w:tc>
        <w:tcPr>
          <w:tcW w:w="3283" w:type="dxa"/>
          <w:tcBorders>
            <w:top w:val="nil"/>
            <w:left w:val="nil"/>
            <w:bottom w:val="single" w:sz="4" w:space="0" w:color="auto"/>
            <w:right w:val="nil"/>
          </w:tcBorders>
          <w:tcMar>
            <w:top w:w="28" w:type="dxa"/>
          </w:tcMar>
        </w:tcPr>
        <w:p w14:paraId="76CF084C" w14:textId="77777777" w:rsidR="00FB4DD2" w:rsidRPr="00871DCD" w:rsidRDefault="00FB4DD2" w:rsidP="00551F00">
          <w:pPr>
            <w:pStyle w:val="ENCOFooterright"/>
            <w:rPr>
              <w:rStyle w:val="tevilkastrani"/>
              <w:rFonts w:ascii="Trebuchet MS" w:hAnsi="Trebuchet MS" w:cs="Tahoma"/>
              <w:noProof/>
              <w:lang w:val="sl-SI"/>
            </w:rPr>
          </w:pPr>
        </w:p>
      </w:tc>
    </w:tr>
    <w:tr w:rsidR="00FB4DD2" w:rsidRPr="00871DCD" w14:paraId="15F56D27" w14:textId="77777777">
      <w:trPr>
        <w:trHeight w:val="62"/>
      </w:trPr>
      <w:tc>
        <w:tcPr>
          <w:tcW w:w="5825" w:type="dxa"/>
          <w:tcBorders>
            <w:top w:val="single" w:sz="4" w:space="0" w:color="auto"/>
            <w:left w:val="nil"/>
            <w:bottom w:val="nil"/>
            <w:right w:val="nil"/>
          </w:tcBorders>
          <w:tcMar>
            <w:top w:w="28" w:type="dxa"/>
          </w:tcMar>
          <w:vAlign w:val="center"/>
        </w:tcPr>
        <w:p w14:paraId="2801C0D6" w14:textId="285595A1" w:rsidR="00FB4DD2" w:rsidRPr="00871DCD" w:rsidRDefault="00FB4DD2" w:rsidP="00E05861">
          <w:pPr>
            <w:pStyle w:val="ENCOFooter"/>
            <w:rPr>
              <w:noProof/>
              <w:lang w:val="sl-SI"/>
            </w:rPr>
          </w:pPr>
          <w:r w:rsidRPr="00871DCD">
            <w:rPr>
              <w:noProof/>
              <w:lang w:val="sl-SI"/>
            </w:rPr>
            <w:t>PSR3-NEK-</w:t>
          </w:r>
          <w:r w:rsidR="00871DCD" w:rsidRPr="00871DCD">
            <w:rPr>
              <w:noProof/>
              <w:lang w:val="sl-SI"/>
            </w:rPr>
            <w:t>10</w:t>
          </w:r>
          <w:r w:rsidRPr="00871DCD">
            <w:rPr>
              <w:noProof/>
              <w:lang w:val="sl-SI"/>
            </w:rPr>
            <w:t>.</w:t>
          </w:r>
          <w:r w:rsidR="00871DCD" w:rsidRPr="00871DCD">
            <w:rPr>
              <w:noProof/>
              <w:lang w:val="sl-SI"/>
            </w:rPr>
            <w:t>0</w:t>
          </w:r>
          <w:r w:rsidRPr="00871DCD">
            <w:rPr>
              <w:noProof/>
              <w:lang w:val="sl-SI"/>
            </w:rPr>
            <w:t xml:space="preserve">: </w:t>
          </w:r>
          <w:r w:rsidR="00454A15" w:rsidRPr="00454A15">
            <w:rPr>
              <w:noProof/>
              <w:lang w:val="sl-SI"/>
            </w:rPr>
            <w:t>Povzetek zbirnega poročila o tretjem občasnem varnostnem pregledu s celovito oceno varnosti NEK</w:t>
          </w:r>
        </w:p>
      </w:tc>
      <w:tc>
        <w:tcPr>
          <w:tcW w:w="3283" w:type="dxa"/>
          <w:tcBorders>
            <w:top w:val="single" w:sz="4" w:space="0" w:color="auto"/>
            <w:left w:val="nil"/>
            <w:bottom w:val="nil"/>
            <w:right w:val="nil"/>
          </w:tcBorders>
          <w:tcMar>
            <w:top w:w="28" w:type="dxa"/>
          </w:tcMar>
        </w:tcPr>
        <w:p w14:paraId="664F9434" w14:textId="5A08FF22" w:rsidR="00FB4DD2" w:rsidRPr="00871DCD" w:rsidRDefault="00326AA3" w:rsidP="00661971">
          <w:pPr>
            <w:pStyle w:val="ENCOFooterright"/>
            <w:rPr>
              <w:noProof/>
              <w:lang w:val="sl-SI"/>
            </w:rPr>
          </w:pPr>
          <w:r>
            <w:rPr>
              <w:noProof/>
              <w:lang w:val="sl-SI"/>
            </w:rPr>
            <w:t>Stran</w:t>
          </w:r>
          <w:r w:rsidR="00FB4DD2" w:rsidRPr="00871DCD">
            <w:rPr>
              <w:noProof/>
              <w:lang w:val="sl-SI"/>
            </w:rPr>
            <w:t xml:space="preserve"> </w:t>
          </w:r>
          <w:r w:rsidR="00FB4DD2" w:rsidRPr="00871DCD">
            <w:rPr>
              <w:rStyle w:val="tevilkastrani"/>
              <w:noProof/>
              <w:szCs w:val="24"/>
              <w:lang w:val="sl-SI" w:eastAsia="en-US"/>
            </w:rPr>
            <w:fldChar w:fldCharType="begin"/>
          </w:r>
          <w:r w:rsidR="00FB4DD2" w:rsidRPr="00871DCD">
            <w:rPr>
              <w:rStyle w:val="tevilkastrani"/>
              <w:noProof/>
              <w:szCs w:val="24"/>
              <w:lang w:val="sl-SI" w:eastAsia="en-US"/>
            </w:rPr>
            <w:instrText xml:space="preserve"> PAGE </w:instrText>
          </w:r>
          <w:r w:rsidR="00FB4DD2" w:rsidRPr="00871DCD">
            <w:rPr>
              <w:rStyle w:val="tevilkastrani"/>
              <w:noProof/>
              <w:szCs w:val="24"/>
              <w:lang w:val="sl-SI" w:eastAsia="en-US"/>
            </w:rPr>
            <w:fldChar w:fldCharType="separate"/>
          </w:r>
          <w:r w:rsidR="00610E20">
            <w:rPr>
              <w:rStyle w:val="tevilkastrani"/>
              <w:noProof/>
              <w:szCs w:val="24"/>
              <w:lang w:val="sl-SI" w:eastAsia="en-US"/>
            </w:rPr>
            <w:t>2</w:t>
          </w:r>
          <w:r w:rsidR="00FB4DD2" w:rsidRPr="00871DCD">
            <w:rPr>
              <w:rStyle w:val="tevilkastrani"/>
              <w:noProof/>
              <w:szCs w:val="24"/>
              <w:lang w:val="sl-SI" w:eastAsia="en-US"/>
            </w:rPr>
            <w:fldChar w:fldCharType="end"/>
          </w:r>
          <w:r w:rsidR="00FB4DD2" w:rsidRPr="00871DCD">
            <w:rPr>
              <w:rStyle w:val="tevilkastrani"/>
              <w:noProof/>
              <w:szCs w:val="24"/>
              <w:lang w:val="sl-SI" w:eastAsia="en-US"/>
            </w:rPr>
            <w:t xml:space="preserve"> o</w:t>
          </w:r>
          <w:r>
            <w:rPr>
              <w:rStyle w:val="tevilkastrani"/>
              <w:noProof/>
              <w:szCs w:val="24"/>
              <w:lang w:val="sl-SI" w:eastAsia="en-US"/>
            </w:rPr>
            <w:t>d</w:t>
          </w:r>
          <w:r w:rsidR="00FB4DD2" w:rsidRPr="00871DCD">
            <w:rPr>
              <w:rStyle w:val="tevilkastrani"/>
              <w:noProof/>
              <w:szCs w:val="24"/>
              <w:lang w:val="sl-SI" w:eastAsia="en-US"/>
            </w:rPr>
            <w:t xml:space="preserve"> </w:t>
          </w:r>
          <w:r w:rsidR="00FB4DD2" w:rsidRPr="00871DCD">
            <w:rPr>
              <w:rStyle w:val="tevilkastrani"/>
              <w:noProof/>
              <w:szCs w:val="24"/>
              <w:lang w:val="sl-SI" w:eastAsia="en-US"/>
            </w:rPr>
            <w:fldChar w:fldCharType="begin"/>
          </w:r>
          <w:r w:rsidR="00FB4DD2" w:rsidRPr="00871DCD">
            <w:rPr>
              <w:rStyle w:val="tevilkastrani"/>
              <w:noProof/>
              <w:szCs w:val="24"/>
              <w:lang w:val="sl-SI" w:eastAsia="en-US"/>
            </w:rPr>
            <w:instrText xml:space="preserve"> NUMPAGES   \* MERGEFORMAT </w:instrText>
          </w:r>
          <w:r w:rsidR="00FB4DD2" w:rsidRPr="00871DCD">
            <w:rPr>
              <w:rStyle w:val="tevilkastrani"/>
              <w:noProof/>
              <w:szCs w:val="24"/>
              <w:lang w:val="sl-SI" w:eastAsia="en-US"/>
            </w:rPr>
            <w:fldChar w:fldCharType="separate"/>
          </w:r>
          <w:r w:rsidR="00610E20">
            <w:rPr>
              <w:rStyle w:val="tevilkastrani"/>
              <w:noProof/>
              <w:szCs w:val="24"/>
              <w:lang w:val="sl-SI" w:eastAsia="en-US"/>
            </w:rPr>
            <w:t>88</w:t>
          </w:r>
          <w:r w:rsidR="00FB4DD2" w:rsidRPr="00871DCD">
            <w:rPr>
              <w:rStyle w:val="tevilkastrani"/>
              <w:noProof/>
              <w:szCs w:val="24"/>
              <w:lang w:val="sl-SI" w:eastAsia="en-US"/>
            </w:rPr>
            <w:fldChar w:fldCharType="end"/>
          </w:r>
        </w:p>
      </w:tc>
    </w:tr>
  </w:tbl>
  <w:p w14:paraId="036937FB" w14:textId="77777777" w:rsidR="00FB4DD2" w:rsidRPr="00871DCD" w:rsidRDefault="00FB4DD2" w:rsidP="00DD78ED">
    <w:pPr>
      <w:pStyle w:val="Noga"/>
      <w:tabs>
        <w:tab w:val="clear" w:pos="4153"/>
        <w:tab w:val="clear" w:pos="8306"/>
        <w:tab w:val="center" w:pos="7200"/>
        <w:tab w:val="right" w:pos="8931"/>
      </w:tabs>
      <w:spacing w:before="0"/>
      <w:jc w:val="center"/>
      <w:rPr>
        <w:noProof/>
        <w:sz w:val="16"/>
        <w:szCs w:val="16"/>
        <w:lang w:val="sl-S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5"/>
      <w:gridCol w:w="3283"/>
    </w:tblGrid>
    <w:tr w:rsidR="00FB4DD2" w:rsidRPr="00BE314D" w14:paraId="7A64CAC9" w14:textId="77777777" w:rsidTr="00A52181">
      <w:tc>
        <w:tcPr>
          <w:tcW w:w="5825" w:type="dxa"/>
          <w:tcBorders>
            <w:top w:val="nil"/>
            <w:left w:val="nil"/>
            <w:bottom w:val="single" w:sz="4" w:space="0" w:color="auto"/>
            <w:right w:val="nil"/>
          </w:tcBorders>
          <w:tcMar>
            <w:top w:w="28" w:type="dxa"/>
          </w:tcMar>
          <w:vAlign w:val="center"/>
        </w:tcPr>
        <w:p w14:paraId="7306BC9F" w14:textId="77777777" w:rsidR="00FB4DD2" w:rsidRPr="00BE314D" w:rsidRDefault="00FB4DD2" w:rsidP="00A52181">
          <w:pPr>
            <w:pStyle w:val="ENCOFooterright"/>
            <w:jc w:val="left"/>
            <w:rPr>
              <w:rStyle w:val="tevilkastrani"/>
              <w:rFonts w:ascii="Trebuchet MS" w:hAnsi="Trebuchet MS" w:cs="Tahoma"/>
              <w:noProof/>
              <w:lang w:val="nb-NO"/>
            </w:rPr>
          </w:pPr>
        </w:p>
      </w:tc>
      <w:tc>
        <w:tcPr>
          <w:tcW w:w="3283" w:type="dxa"/>
          <w:tcBorders>
            <w:top w:val="nil"/>
            <w:left w:val="nil"/>
            <w:bottom w:val="single" w:sz="4" w:space="0" w:color="auto"/>
            <w:right w:val="nil"/>
          </w:tcBorders>
          <w:tcMar>
            <w:top w:w="28" w:type="dxa"/>
          </w:tcMar>
        </w:tcPr>
        <w:p w14:paraId="647F1566" w14:textId="77777777" w:rsidR="00FB4DD2" w:rsidRPr="00BE314D" w:rsidRDefault="00FB4DD2" w:rsidP="00A52181">
          <w:pPr>
            <w:pStyle w:val="ENCOFooterright"/>
            <w:rPr>
              <w:rStyle w:val="tevilkastrani"/>
              <w:rFonts w:ascii="Trebuchet MS" w:hAnsi="Trebuchet MS" w:cs="Tahoma"/>
              <w:noProof/>
            </w:rPr>
          </w:pPr>
        </w:p>
      </w:tc>
    </w:tr>
    <w:tr w:rsidR="00FB4DD2" w:rsidRPr="009B26EB" w14:paraId="54618978" w14:textId="77777777" w:rsidTr="00A52181">
      <w:trPr>
        <w:trHeight w:val="62"/>
      </w:trPr>
      <w:tc>
        <w:tcPr>
          <w:tcW w:w="5825" w:type="dxa"/>
          <w:tcBorders>
            <w:top w:val="single" w:sz="4" w:space="0" w:color="auto"/>
            <w:left w:val="nil"/>
            <w:bottom w:val="nil"/>
            <w:right w:val="nil"/>
          </w:tcBorders>
          <w:tcMar>
            <w:top w:w="28" w:type="dxa"/>
          </w:tcMar>
          <w:vAlign w:val="center"/>
        </w:tcPr>
        <w:p w14:paraId="07C46DF8" w14:textId="77777777" w:rsidR="00FB4DD2" w:rsidRPr="009B26EB" w:rsidRDefault="00FB4DD2" w:rsidP="009B26EB">
          <w:pPr>
            <w:autoSpaceDE w:val="0"/>
            <w:autoSpaceDN w:val="0"/>
            <w:adjustRightInd w:val="0"/>
            <w:spacing w:before="0" w:after="0"/>
            <w:jc w:val="left"/>
            <w:rPr>
              <w:sz w:val="16"/>
              <w:szCs w:val="16"/>
            </w:rPr>
          </w:pPr>
          <w:r>
            <w:rPr>
              <w:sz w:val="16"/>
              <w:szCs w:val="16"/>
            </w:rPr>
            <w:t>PSR3-NEK-9.3</w:t>
          </w:r>
          <w:r w:rsidRPr="009B26EB">
            <w:rPr>
              <w:sz w:val="16"/>
              <w:szCs w:val="16"/>
            </w:rPr>
            <w:t xml:space="preserve">: </w:t>
          </w:r>
          <w:r w:rsidRPr="009B26EB">
            <w:rPr>
              <w:rFonts w:cs="ArialMT"/>
              <w:sz w:val="16"/>
              <w:szCs w:val="16"/>
              <w:lang w:val="hr-HR" w:eastAsia="zh-CN"/>
            </w:rPr>
            <w:t xml:space="preserve">Summary Report and Global Assessment </w:t>
          </w:r>
          <w:r>
            <w:rPr>
              <w:rFonts w:cs="ArialMT"/>
              <w:sz w:val="16"/>
              <w:szCs w:val="16"/>
              <w:lang w:val="hr-HR" w:eastAsia="zh-CN"/>
            </w:rPr>
            <w:br/>
          </w:r>
          <w:r w:rsidRPr="009B26EB">
            <w:rPr>
              <w:rFonts w:cs="ArialMT"/>
              <w:sz w:val="16"/>
              <w:szCs w:val="16"/>
              <w:lang w:val="hr-HR" w:eastAsia="zh-CN"/>
            </w:rPr>
            <w:t>of Plant Status</w:t>
          </w:r>
        </w:p>
      </w:tc>
      <w:tc>
        <w:tcPr>
          <w:tcW w:w="3283" w:type="dxa"/>
          <w:tcBorders>
            <w:top w:val="single" w:sz="4" w:space="0" w:color="auto"/>
            <w:left w:val="nil"/>
            <w:bottom w:val="nil"/>
            <w:right w:val="nil"/>
          </w:tcBorders>
          <w:tcMar>
            <w:top w:w="28" w:type="dxa"/>
          </w:tcMar>
        </w:tcPr>
        <w:p w14:paraId="15BB7AC5" w14:textId="77777777" w:rsidR="00FB4DD2" w:rsidRPr="009B26EB" w:rsidRDefault="00FB4DD2" w:rsidP="0092358C">
          <w:pPr>
            <w:pStyle w:val="ENCOFooterright"/>
            <w:rPr>
              <w:lang w:val="de-DE"/>
            </w:rPr>
          </w:pPr>
          <w:r>
            <w:rPr>
              <w:lang w:val="de-DE"/>
            </w:rPr>
            <w:t xml:space="preserve">Page </w:t>
          </w:r>
          <w:r>
            <w:rPr>
              <w:rStyle w:val="tevilkastrani"/>
              <w:szCs w:val="24"/>
              <w:lang w:val="en-US" w:eastAsia="en-US"/>
            </w:rPr>
            <w:fldChar w:fldCharType="begin"/>
          </w:r>
          <w:r>
            <w:rPr>
              <w:rStyle w:val="tevilkastrani"/>
              <w:szCs w:val="24"/>
              <w:lang w:val="en-US" w:eastAsia="en-US"/>
            </w:rPr>
            <w:instrText xml:space="preserve"> PAGE </w:instrText>
          </w:r>
          <w:r>
            <w:rPr>
              <w:rStyle w:val="tevilkastrani"/>
              <w:szCs w:val="24"/>
              <w:lang w:val="en-US" w:eastAsia="en-US"/>
            </w:rPr>
            <w:fldChar w:fldCharType="separate"/>
          </w:r>
          <w:r>
            <w:rPr>
              <w:rStyle w:val="tevilkastrani"/>
              <w:noProof/>
              <w:szCs w:val="24"/>
              <w:lang w:val="en-US" w:eastAsia="en-US"/>
            </w:rPr>
            <w:t>1</w:t>
          </w:r>
          <w:r>
            <w:rPr>
              <w:rStyle w:val="tevilkastrani"/>
              <w:szCs w:val="24"/>
              <w:lang w:val="en-US" w:eastAsia="en-US"/>
            </w:rPr>
            <w:fldChar w:fldCharType="end"/>
          </w:r>
          <w:r>
            <w:rPr>
              <w:rStyle w:val="tevilkastrani"/>
              <w:szCs w:val="24"/>
              <w:lang w:val="en-US" w:eastAsia="en-US"/>
            </w:rPr>
            <w:t xml:space="preserve"> of </w:t>
          </w:r>
          <w:r>
            <w:rPr>
              <w:rStyle w:val="tevilkastrani"/>
              <w:szCs w:val="24"/>
              <w:lang w:val="en-US" w:eastAsia="en-US"/>
            </w:rPr>
            <w:fldChar w:fldCharType="begin"/>
          </w:r>
          <w:r>
            <w:rPr>
              <w:rStyle w:val="tevilkastrani"/>
              <w:szCs w:val="24"/>
              <w:lang w:val="en-US" w:eastAsia="en-US"/>
            </w:rPr>
            <w:instrText xml:space="preserve"> NUMPAGES   \* MERGEFORMAT </w:instrText>
          </w:r>
          <w:r>
            <w:rPr>
              <w:rStyle w:val="tevilkastrani"/>
              <w:szCs w:val="24"/>
              <w:lang w:val="en-US" w:eastAsia="en-US"/>
            </w:rPr>
            <w:fldChar w:fldCharType="separate"/>
          </w:r>
          <w:r w:rsidR="00610E20">
            <w:rPr>
              <w:rStyle w:val="tevilkastrani"/>
              <w:noProof/>
              <w:szCs w:val="24"/>
              <w:lang w:val="en-US" w:eastAsia="en-US"/>
            </w:rPr>
            <w:t>88</w:t>
          </w:r>
          <w:r>
            <w:rPr>
              <w:rStyle w:val="tevilkastrani"/>
              <w:szCs w:val="24"/>
              <w:lang w:val="en-US" w:eastAsia="en-US"/>
            </w:rPr>
            <w:fldChar w:fldCharType="end"/>
          </w:r>
        </w:p>
      </w:tc>
    </w:tr>
  </w:tbl>
  <w:p w14:paraId="3CE39962" w14:textId="77777777" w:rsidR="00FB4DD2" w:rsidRDefault="00FB4DD2">
    <w:pPr>
      <w:pStyle w:val="Nog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7"/>
      <w:gridCol w:w="2725"/>
    </w:tblGrid>
    <w:tr w:rsidR="00FB4DD2" w:rsidRPr="0033223E" w14:paraId="4DC8974B" w14:textId="77777777">
      <w:tc>
        <w:tcPr>
          <w:tcW w:w="3498" w:type="pct"/>
          <w:tcBorders>
            <w:top w:val="nil"/>
            <w:left w:val="nil"/>
            <w:bottom w:val="single" w:sz="4" w:space="0" w:color="auto"/>
            <w:right w:val="nil"/>
          </w:tcBorders>
          <w:tcMar>
            <w:top w:w="28" w:type="dxa"/>
          </w:tcMar>
          <w:vAlign w:val="center"/>
        </w:tcPr>
        <w:p w14:paraId="2E17778D" w14:textId="77777777" w:rsidR="00FB4DD2" w:rsidRPr="0033223E" w:rsidRDefault="00FB4DD2" w:rsidP="001D33D0">
          <w:pPr>
            <w:pStyle w:val="ENCOFooterright"/>
            <w:jc w:val="left"/>
            <w:rPr>
              <w:rStyle w:val="tevilkastrani"/>
              <w:rFonts w:ascii="Times New Roman" w:hAnsi="Times New Roman"/>
              <w:noProof/>
              <w:lang w:val="nb-NO"/>
            </w:rPr>
          </w:pPr>
        </w:p>
      </w:tc>
      <w:tc>
        <w:tcPr>
          <w:tcW w:w="1502" w:type="pct"/>
          <w:tcBorders>
            <w:top w:val="nil"/>
            <w:left w:val="nil"/>
            <w:bottom w:val="single" w:sz="4" w:space="0" w:color="auto"/>
            <w:right w:val="nil"/>
          </w:tcBorders>
          <w:tcMar>
            <w:top w:w="28" w:type="dxa"/>
          </w:tcMar>
        </w:tcPr>
        <w:p w14:paraId="55523503" w14:textId="77777777" w:rsidR="00FB4DD2" w:rsidRPr="0033223E" w:rsidRDefault="00FB4DD2" w:rsidP="004605D2">
          <w:pPr>
            <w:pStyle w:val="ENCOFooterright"/>
            <w:rPr>
              <w:rStyle w:val="tevilkastrani"/>
              <w:rFonts w:ascii="Times New Roman" w:hAnsi="Times New Roman"/>
              <w:noProof/>
            </w:rPr>
          </w:pPr>
        </w:p>
      </w:tc>
    </w:tr>
    <w:tr w:rsidR="00FB4DD2" w:rsidRPr="0033223E" w14:paraId="49671A98" w14:textId="77777777">
      <w:trPr>
        <w:trHeight w:val="62"/>
      </w:trPr>
      <w:tc>
        <w:tcPr>
          <w:tcW w:w="3498" w:type="pct"/>
          <w:tcBorders>
            <w:top w:val="single" w:sz="4" w:space="0" w:color="auto"/>
            <w:left w:val="nil"/>
            <w:bottom w:val="nil"/>
            <w:right w:val="nil"/>
          </w:tcBorders>
          <w:tcMar>
            <w:top w:w="28" w:type="dxa"/>
          </w:tcMar>
          <w:vAlign w:val="center"/>
        </w:tcPr>
        <w:p w14:paraId="236104F8" w14:textId="692CF288" w:rsidR="00FB4DD2" w:rsidRPr="00746B4A" w:rsidRDefault="00DD78ED" w:rsidP="00223C1E">
          <w:pPr>
            <w:pStyle w:val="ENCOFooter"/>
          </w:pPr>
          <w:r w:rsidRPr="00871DCD">
            <w:rPr>
              <w:noProof/>
              <w:lang w:val="sl-SI"/>
            </w:rPr>
            <w:t xml:space="preserve">PSR3-NEK-10.0: Povzetek zbirnega poročila </w:t>
          </w:r>
          <w:r w:rsidRPr="00871DCD">
            <w:rPr>
              <w:rFonts w:cs="ArialMT"/>
              <w:noProof/>
              <w:lang w:val="sl-SI" w:eastAsia="zh-CN"/>
            </w:rPr>
            <w:t xml:space="preserve">o tretjem občasnem varnostnem pregledu </w:t>
          </w:r>
          <w:r w:rsidR="00452B81">
            <w:rPr>
              <w:rFonts w:cs="ArialMT"/>
              <w:noProof/>
              <w:lang w:val="sl-SI" w:eastAsia="zh-CN"/>
            </w:rPr>
            <w:t>s celovito</w:t>
          </w:r>
          <w:r w:rsidRPr="00871DCD">
            <w:rPr>
              <w:rFonts w:cs="ArialMT"/>
              <w:noProof/>
              <w:lang w:val="sl-SI" w:eastAsia="zh-CN"/>
            </w:rPr>
            <w:t xml:space="preserve"> oceno varnosti NEK</w:t>
          </w:r>
        </w:p>
      </w:tc>
      <w:tc>
        <w:tcPr>
          <w:tcW w:w="1502" w:type="pct"/>
          <w:tcBorders>
            <w:top w:val="single" w:sz="4" w:space="0" w:color="auto"/>
            <w:left w:val="nil"/>
            <w:bottom w:val="nil"/>
            <w:right w:val="nil"/>
          </w:tcBorders>
          <w:tcMar>
            <w:top w:w="28" w:type="dxa"/>
          </w:tcMar>
        </w:tcPr>
        <w:p w14:paraId="5C086713" w14:textId="535F183E" w:rsidR="00FB4DD2" w:rsidRPr="0033223E" w:rsidRDefault="00326AA3" w:rsidP="00BF68A1">
          <w:pPr>
            <w:pStyle w:val="ENCOFooterright"/>
            <w:rPr>
              <w:lang w:val="de-DE"/>
            </w:rPr>
          </w:pPr>
          <w:proofErr w:type="spellStart"/>
          <w:r>
            <w:rPr>
              <w:lang w:val="de-DE"/>
            </w:rPr>
            <w:t>Stran</w:t>
          </w:r>
          <w:proofErr w:type="spellEnd"/>
          <w:r w:rsidR="00FB4DD2" w:rsidRPr="0033223E">
            <w:rPr>
              <w:lang w:val="de-DE"/>
            </w:rPr>
            <w:t xml:space="preserve"> </w:t>
          </w:r>
          <w:r w:rsidR="00FB4DD2">
            <w:rPr>
              <w:rStyle w:val="tevilkastrani"/>
              <w:szCs w:val="24"/>
              <w:lang w:val="en-US" w:eastAsia="en-US"/>
            </w:rPr>
            <w:fldChar w:fldCharType="begin"/>
          </w:r>
          <w:r w:rsidR="00FB4DD2">
            <w:rPr>
              <w:rStyle w:val="tevilkastrani"/>
              <w:szCs w:val="24"/>
              <w:lang w:val="en-US" w:eastAsia="en-US"/>
            </w:rPr>
            <w:instrText xml:space="preserve"> PAGE </w:instrText>
          </w:r>
          <w:r w:rsidR="00FB4DD2">
            <w:rPr>
              <w:rStyle w:val="tevilkastrani"/>
              <w:szCs w:val="24"/>
              <w:lang w:val="en-US" w:eastAsia="en-US"/>
            </w:rPr>
            <w:fldChar w:fldCharType="separate"/>
          </w:r>
          <w:r w:rsidR="00610E20">
            <w:rPr>
              <w:rStyle w:val="tevilkastrani"/>
              <w:noProof/>
              <w:szCs w:val="24"/>
              <w:lang w:val="en-US" w:eastAsia="en-US"/>
            </w:rPr>
            <w:t>15</w:t>
          </w:r>
          <w:r w:rsidR="00FB4DD2">
            <w:rPr>
              <w:rStyle w:val="tevilkastrani"/>
              <w:szCs w:val="24"/>
              <w:lang w:val="en-US" w:eastAsia="en-US"/>
            </w:rPr>
            <w:fldChar w:fldCharType="end"/>
          </w:r>
          <w:r w:rsidR="00FB4DD2">
            <w:rPr>
              <w:rStyle w:val="tevilkastrani"/>
              <w:szCs w:val="24"/>
              <w:lang w:val="en-US" w:eastAsia="en-US"/>
            </w:rPr>
            <w:t xml:space="preserve"> o</w:t>
          </w:r>
          <w:r>
            <w:rPr>
              <w:rStyle w:val="tevilkastrani"/>
              <w:szCs w:val="24"/>
              <w:lang w:val="en-US" w:eastAsia="en-US"/>
            </w:rPr>
            <w:t>d</w:t>
          </w:r>
          <w:r w:rsidR="00FB4DD2">
            <w:rPr>
              <w:rStyle w:val="tevilkastrani"/>
              <w:szCs w:val="24"/>
              <w:lang w:val="en-US" w:eastAsia="en-US"/>
            </w:rPr>
            <w:t xml:space="preserve">  </w:t>
          </w:r>
          <w:r w:rsidR="00FB4DD2">
            <w:rPr>
              <w:rStyle w:val="tevilkastrani"/>
              <w:szCs w:val="24"/>
              <w:lang w:val="en-US" w:eastAsia="en-US"/>
            </w:rPr>
            <w:fldChar w:fldCharType="begin"/>
          </w:r>
          <w:r w:rsidR="00FB4DD2">
            <w:rPr>
              <w:rStyle w:val="tevilkastrani"/>
              <w:szCs w:val="24"/>
              <w:lang w:val="en-US" w:eastAsia="en-US"/>
            </w:rPr>
            <w:instrText xml:space="preserve"> NUMPAGES   \* MERGEFORMAT </w:instrText>
          </w:r>
          <w:r w:rsidR="00FB4DD2">
            <w:rPr>
              <w:rStyle w:val="tevilkastrani"/>
              <w:szCs w:val="24"/>
              <w:lang w:val="en-US" w:eastAsia="en-US"/>
            </w:rPr>
            <w:fldChar w:fldCharType="separate"/>
          </w:r>
          <w:r w:rsidR="00610E20">
            <w:rPr>
              <w:rStyle w:val="tevilkastrani"/>
              <w:noProof/>
              <w:szCs w:val="24"/>
              <w:lang w:val="en-US" w:eastAsia="en-US"/>
            </w:rPr>
            <w:t>88</w:t>
          </w:r>
          <w:r w:rsidR="00FB4DD2">
            <w:rPr>
              <w:rStyle w:val="tevilkastrani"/>
              <w:szCs w:val="24"/>
              <w:lang w:val="en-US" w:eastAsia="en-US"/>
            </w:rPr>
            <w:fldChar w:fldCharType="end"/>
          </w:r>
        </w:p>
      </w:tc>
    </w:tr>
  </w:tbl>
  <w:p w14:paraId="13741921" w14:textId="77777777" w:rsidR="00FB4DD2" w:rsidRPr="00F9371C" w:rsidRDefault="00FB4DD2" w:rsidP="00F9371C">
    <w:pPr>
      <w:pStyle w:val="Noga"/>
      <w:tabs>
        <w:tab w:val="clear" w:pos="4153"/>
        <w:tab w:val="clear" w:pos="8306"/>
        <w:tab w:val="center" w:pos="7200"/>
        <w:tab w:val="right" w:pos="8931"/>
      </w:tabs>
      <w:spacing w:before="0"/>
      <w:jc w:val="center"/>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7"/>
      <w:gridCol w:w="2725"/>
    </w:tblGrid>
    <w:tr w:rsidR="00FB4DD2" w:rsidRPr="0033223E" w14:paraId="40BB1E7B" w14:textId="77777777">
      <w:tc>
        <w:tcPr>
          <w:tcW w:w="3498" w:type="pct"/>
          <w:tcBorders>
            <w:top w:val="nil"/>
            <w:left w:val="nil"/>
            <w:bottom w:val="single" w:sz="4" w:space="0" w:color="auto"/>
            <w:right w:val="nil"/>
          </w:tcBorders>
          <w:tcMar>
            <w:top w:w="28" w:type="dxa"/>
          </w:tcMar>
          <w:vAlign w:val="center"/>
        </w:tcPr>
        <w:p w14:paraId="2E00E139" w14:textId="77777777" w:rsidR="00FB4DD2" w:rsidRPr="0033223E" w:rsidRDefault="00FB4DD2" w:rsidP="001D33D0">
          <w:pPr>
            <w:pStyle w:val="ENCOFooterright"/>
            <w:jc w:val="left"/>
            <w:rPr>
              <w:rStyle w:val="tevilkastrani"/>
              <w:rFonts w:ascii="Times New Roman" w:hAnsi="Times New Roman"/>
              <w:noProof/>
              <w:lang w:val="nb-NO"/>
            </w:rPr>
          </w:pPr>
        </w:p>
      </w:tc>
      <w:tc>
        <w:tcPr>
          <w:tcW w:w="1502" w:type="pct"/>
          <w:tcBorders>
            <w:top w:val="nil"/>
            <w:left w:val="nil"/>
            <w:bottom w:val="single" w:sz="4" w:space="0" w:color="auto"/>
            <w:right w:val="nil"/>
          </w:tcBorders>
          <w:tcMar>
            <w:top w:w="28" w:type="dxa"/>
          </w:tcMar>
        </w:tcPr>
        <w:p w14:paraId="72CD1568" w14:textId="77777777" w:rsidR="00FB4DD2" w:rsidRPr="0033223E" w:rsidRDefault="00FB4DD2" w:rsidP="004605D2">
          <w:pPr>
            <w:pStyle w:val="ENCOFooterright"/>
            <w:rPr>
              <w:rStyle w:val="tevilkastrani"/>
              <w:rFonts w:ascii="Times New Roman" w:hAnsi="Times New Roman"/>
              <w:noProof/>
            </w:rPr>
          </w:pPr>
        </w:p>
      </w:tc>
    </w:tr>
    <w:tr w:rsidR="00FB4DD2" w:rsidRPr="0033223E" w14:paraId="4803BC38" w14:textId="77777777">
      <w:trPr>
        <w:trHeight w:val="62"/>
      </w:trPr>
      <w:tc>
        <w:tcPr>
          <w:tcW w:w="3498" w:type="pct"/>
          <w:tcBorders>
            <w:top w:val="single" w:sz="4" w:space="0" w:color="auto"/>
            <w:left w:val="nil"/>
            <w:bottom w:val="nil"/>
            <w:right w:val="nil"/>
          </w:tcBorders>
          <w:tcMar>
            <w:top w:w="28" w:type="dxa"/>
          </w:tcMar>
          <w:vAlign w:val="center"/>
        </w:tcPr>
        <w:p w14:paraId="658D3D82" w14:textId="7C6141A4" w:rsidR="00FB4DD2" w:rsidRPr="00746B4A" w:rsidRDefault="00DD78ED" w:rsidP="00223C1E">
          <w:pPr>
            <w:pStyle w:val="ENCOFooter"/>
          </w:pPr>
          <w:r w:rsidRPr="00871DCD">
            <w:rPr>
              <w:noProof/>
              <w:lang w:val="sl-SI"/>
            </w:rPr>
            <w:t xml:space="preserve">PSR3-NEK-10.0: Povzetek zbirnega poročila </w:t>
          </w:r>
          <w:r w:rsidRPr="00871DCD">
            <w:rPr>
              <w:rFonts w:cs="ArialMT"/>
              <w:noProof/>
              <w:lang w:val="sl-SI" w:eastAsia="zh-CN"/>
            </w:rPr>
            <w:t xml:space="preserve">o tretjem občasnem varnostnem pregledu </w:t>
          </w:r>
          <w:r w:rsidR="00452B81">
            <w:rPr>
              <w:rFonts w:cs="ArialMT"/>
              <w:noProof/>
              <w:lang w:val="sl-SI" w:eastAsia="zh-CN"/>
            </w:rPr>
            <w:t>s celovito</w:t>
          </w:r>
          <w:r w:rsidRPr="00871DCD">
            <w:rPr>
              <w:rFonts w:cs="ArialMT"/>
              <w:noProof/>
              <w:lang w:val="sl-SI" w:eastAsia="zh-CN"/>
            </w:rPr>
            <w:t xml:space="preserve"> oceno varnosti NEK</w:t>
          </w:r>
        </w:p>
      </w:tc>
      <w:tc>
        <w:tcPr>
          <w:tcW w:w="1502" w:type="pct"/>
          <w:tcBorders>
            <w:top w:val="single" w:sz="4" w:space="0" w:color="auto"/>
            <w:left w:val="nil"/>
            <w:bottom w:val="nil"/>
            <w:right w:val="nil"/>
          </w:tcBorders>
          <w:tcMar>
            <w:top w:w="28" w:type="dxa"/>
          </w:tcMar>
        </w:tcPr>
        <w:p w14:paraId="767D827C" w14:textId="6F167601" w:rsidR="00FB4DD2" w:rsidRPr="0033223E" w:rsidRDefault="00326AA3" w:rsidP="00E552C7">
          <w:pPr>
            <w:pStyle w:val="ENCOFooterright"/>
            <w:rPr>
              <w:lang w:val="de-DE"/>
            </w:rPr>
          </w:pPr>
          <w:proofErr w:type="spellStart"/>
          <w:r>
            <w:rPr>
              <w:lang w:val="de-DE"/>
            </w:rPr>
            <w:t>Stran</w:t>
          </w:r>
          <w:proofErr w:type="spellEnd"/>
          <w:r w:rsidR="00FB4DD2" w:rsidRPr="0033223E">
            <w:rPr>
              <w:lang w:val="de-DE"/>
            </w:rPr>
            <w:t xml:space="preserve"> </w:t>
          </w:r>
          <w:r w:rsidR="00FB4DD2">
            <w:rPr>
              <w:rStyle w:val="tevilkastrani"/>
              <w:szCs w:val="24"/>
              <w:lang w:val="en-US" w:eastAsia="en-US"/>
            </w:rPr>
            <w:fldChar w:fldCharType="begin"/>
          </w:r>
          <w:r w:rsidR="00FB4DD2">
            <w:rPr>
              <w:rStyle w:val="tevilkastrani"/>
              <w:szCs w:val="24"/>
              <w:lang w:val="en-US" w:eastAsia="en-US"/>
            </w:rPr>
            <w:instrText xml:space="preserve"> PAGE </w:instrText>
          </w:r>
          <w:r w:rsidR="00FB4DD2">
            <w:rPr>
              <w:rStyle w:val="tevilkastrani"/>
              <w:szCs w:val="24"/>
              <w:lang w:val="en-US" w:eastAsia="en-US"/>
            </w:rPr>
            <w:fldChar w:fldCharType="separate"/>
          </w:r>
          <w:r w:rsidR="00610E20">
            <w:rPr>
              <w:rStyle w:val="tevilkastrani"/>
              <w:noProof/>
              <w:szCs w:val="24"/>
              <w:lang w:val="en-US" w:eastAsia="en-US"/>
            </w:rPr>
            <w:t>23</w:t>
          </w:r>
          <w:r w:rsidR="00FB4DD2">
            <w:rPr>
              <w:rStyle w:val="tevilkastrani"/>
              <w:szCs w:val="24"/>
              <w:lang w:val="en-US" w:eastAsia="en-US"/>
            </w:rPr>
            <w:fldChar w:fldCharType="end"/>
          </w:r>
          <w:r w:rsidR="00FB4DD2">
            <w:rPr>
              <w:rStyle w:val="tevilkastrani"/>
              <w:szCs w:val="24"/>
              <w:lang w:val="en-US" w:eastAsia="en-US"/>
            </w:rPr>
            <w:t xml:space="preserve"> o</w:t>
          </w:r>
          <w:r>
            <w:rPr>
              <w:rStyle w:val="tevilkastrani"/>
              <w:szCs w:val="24"/>
              <w:lang w:val="en-US" w:eastAsia="en-US"/>
            </w:rPr>
            <w:t>d</w:t>
          </w:r>
          <w:r w:rsidR="00FB4DD2">
            <w:rPr>
              <w:rStyle w:val="tevilkastrani"/>
              <w:szCs w:val="24"/>
              <w:lang w:val="en-US" w:eastAsia="en-US"/>
            </w:rPr>
            <w:t xml:space="preserve"> </w:t>
          </w:r>
          <w:r w:rsidR="00FB4DD2">
            <w:rPr>
              <w:rStyle w:val="tevilkastrani"/>
              <w:szCs w:val="24"/>
              <w:lang w:val="en-US" w:eastAsia="en-US"/>
            </w:rPr>
            <w:fldChar w:fldCharType="begin"/>
          </w:r>
          <w:r w:rsidR="00FB4DD2">
            <w:rPr>
              <w:rStyle w:val="tevilkastrani"/>
              <w:szCs w:val="24"/>
              <w:lang w:val="en-US" w:eastAsia="en-US"/>
            </w:rPr>
            <w:instrText xml:space="preserve"> NUMPAGES   \* MERGEFORMAT </w:instrText>
          </w:r>
          <w:r w:rsidR="00FB4DD2">
            <w:rPr>
              <w:rStyle w:val="tevilkastrani"/>
              <w:szCs w:val="24"/>
              <w:lang w:val="en-US" w:eastAsia="en-US"/>
            </w:rPr>
            <w:fldChar w:fldCharType="separate"/>
          </w:r>
          <w:r w:rsidR="00610E20">
            <w:rPr>
              <w:rStyle w:val="tevilkastrani"/>
              <w:noProof/>
              <w:szCs w:val="24"/>
              <w:lang w:val="en-US" w:eastAsia="en-US"/>
            </w:rPr>
            <w:t>88</w:t>
          </w:r>
          <w:r w:rsidR="00FB4DD2">
            <w:rPr>
              <w:rStyle w:val="tevilkastrani"/>
              <w:szCs w:val="24"/>
              <w:lang w:val="en-US" w:eastAsia="en-US"/>
            </w:rPr>
            <w:fldChar w:fldCharType="end"/>
          </w:r>
        </w:p>
      </w:tc>
    </w:tr>
  </w:tbl>
  <w:p w14:paraId="52587CD8" w14:textId="77777777" w:rsidR="00FB4DD2" w:rsidRPr="00F9371C" w:rsidRDefault="00FB4DD2" w:rsidP="00F9371C">
    <w:pPr>
      <w:pStyle w:val="Noga"/>
      <w:tabs>
        <w:tab w:val="clear" w:pos="4153"/>
        <w:tab w:val="clear" w:pos="8306"/>
        <w:tab w:val="center" w:pos="7200"/>
        <w:tab w:val="right" w:pos="8931"/>
      </w:tabs>
      <w:spacing w:before="0"/>
      <w:jc w:val="center"/>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gridCol w:w="4292"/>
    </w:tblGrid>
    <w:tr w:rsidR="00FB4DD2" w:rsidRPr="0033223E" w14:paraId="3A5CDC2C" w14:textId="77777777">
      <w:tc>
        <w:tcPr>
          <w:tcW w:w="3498" w:type="pct"/>
          <w:tcBorders>
            <w:top w:val="nil"/>
            <w:left w:val="nil"/>
            <w:bottom w:val="single" w:sz="4" w:space="0" w:color="auto"/>
            <w:right w:val="nil"/>
          </w:tcBorders>
          <w:tcMar>
            <w:top w:w="28" w:type="dxa"/>
          </w:tcMar>
          <w:vAlign w:val="center"/>
        </w:tcPr>
        <w:p w14:paraId="50BEFB36" w14:textId="77777777" w:rsidR="00FB4DD2" w:rsidRPr="0033223E" w:rsidRDefault="00FB4DD2" w:rsidP="001D33D0">
          <w:pPr>
            <w:pStyle w:val="ENCOFooterright"/>
            <w:jc w:val="left"/>
            <w:rPr>
              <w:rStyle w:val="tevilkastrani"/>
              <w:rFonts w:ascii="Times New Roman" w:hAnsi="Times New Roman"/>
              <w:noProof/>
              <w:lang w:val="nb-NO"/>
            </w:rPr>
          </w:pPr>
        </w:p>
      </w:tc>
      <w:tc>
        <w:tcPr>
          <w:tcW w:w="1502" w:type="pct"/>
          <w:tcBorders>
            <w:top w:val="nil"/>
            <w:left w:val="nil"/>
            <w:bottom w:val="single" w:sz="4" w:space="0" w:color="auto"/>
            <w:right w:val="nil"/>
          </w:tcBorders>
          <w:tcMar>
            <w:top w:w="28" w:type="dxa"/>
          </w:tcMar>
        </w:tcPr>
        <w:p w14:paraId="49B831D7" w14:textId="77777777" w:rsidR="00FB4DD2" w:rsidRPr="0033223E" w:rsidRDefault="00FB4DD2" w:rsidP="004605D2">
          <w:pPr>
            <w:pStyle w:val="ENCOFooterright"/>
            <w:rPr>
              <w:rStyle w:val="tevilkastrani"/>
              <w:rFonts w:ascii="Times New Roman" w:hAnsi="Times New Roman"/>
              <w:noProof/>
            </w:rPr>
          </w:pPr>
        </w:p>
      </w:tc>
    </w:tr>
    <w:tr w:rsidR="00FB4DD2" w:rsidRPr="0033223E" w14:paraId="27990ED3" w14:textId="77777777">
      <w:trPr>
        <w:trHeight w:val="62"/>
      </w:trPr>
      <w:tc>
        <w:tcPr>
          <w:tcW w:w="3498" w:type="pct"/>
          <w:tcBorders>
            <w:top w:val="single" w:sz="4" w:space="0" w:color="auto"/>
            <w:left w:val="nil"/>
            <w:bottom w:val="nil"/>
            <w:right w:val="nil"/>
          </w:tcBorders>
          <w:tcMar>
            <w:top w:w="28" w:type="dxa"/>
          </w:tcMar>
          <w:vAlign w:val="center"/>
        </w:tcPr>
        <w:p w14:paraId="17776060" w14:textId="3A20228B" w:rsidR="00FB4DD2" w:rsidRPr="00746B4A" w:rsidRDefault="00DD78ED" w:rsidP="00223C1E">
          <w:pPr>
            <w:pStyle w:val="ENCOFooter"/>
          </w:pPr>
          <w:r w:rsidRPr="00871DCD">
            <w:rPr>
              <w:noProof/>
              <w:lang w:val="sl-SI"/>
            </w:rPr>
            <w:t xml:space="preserve">PSR3-NEK-10.0: Povzetek zbirnega poročila </w:t>
          </w:r>
          <w:r w:rsidRPr="00871DCD">
            <w:rPr>
              <w:rFonts w:cs="ArialMT"/>
              <w:noProof/>
              <w:lang w:val="sl-SI" w:eastAsia="zh-CN"/>
            </w:rPr>
            <w:t xml:space="preserve">o tretjem občasnem varnostnem pregledu </w:t>
          </w:r>
          <w:r w:rsidR="00452B81">
            <w:rPr>
              <w:rFonts w:cs="ArialMT"/>
              <w:noProof/>
              <w:lang w:val="sl-SI" w:eastAsia="zh-CN"/>
            </w:rPr>
            <w:t>s celovito</w:t>
          </w:r>
          <w:r w:rsidR="00452B81" w:rsidRPr="00871DCD">
            <w:rPr>
              <w:rFonts w:cs="ArialMT"/>
              <w:noProof/>
              <w:lang w:val="sl-SI" w:eastAsia="zh-CN"/>
            </w:rPr>
            <w:t xml:space="preserve"> </w:t>
          </w:r>
          <w:r w:rsidRPr="00871DCD">
            <w:rPr>
              <w:rFonts w:cs="ArialMT"/>
              <w:noProof/>
              <w:lang w:val="sl-SI" w:eastAsia="zh-CN"/>
            </w:rPr>
            <w:t>oceno varnosti NEK</w:t>
          </w:r>
        </w:p>
      </w:tc>
      <w:tc>
        <w:tcPr>
          <w:tcW w:w="1502" w:type="pct"/>
          <w:tcBorders>
            <w:top w:val="single" w:sz="4" w:space="0" w:color="auto"/>
            <w:left w:val="nil"/>
            <w:bottom w:val="nil"/>
            <w:right w:val="nil"/>
          </w:tcBorders>
          <w:tcMar>
            <w:top w:w="28" w:type="dxa"/>
          </w:tcMar>
        </w:tcPr>
        <w:p w14:paraId="59B8F4ED" w14:textId="00EEA28E" w:rsidR="00FB4DD2" w:rsidRPr="0033223E" w:rsidRDefault="00326AA3" w:rsidP="000D34AF">
          <w:pPr>
            <w:pStyle w:val="ENCOFooterright"/>
            <w:rPr>
              <w:lang w:val="de-DE"/>
            </w:rPr>
          </w:pPr>
          <w:proofErr w:type="spellStart"/>
          <w:r>
            <w:rPr>
              <w:lang w:val="de-DE"/>
            </w:rPr>
            <w:t>Stran</w:t>
          </w:r>
          <w:proofErr w:type="spellEnd"/>
          <w:r w:rsidR="00FB4DD2" w:rsidRPr="0033223E">
            <w:rPr>
              <w:lang w:val="de-DE"/>
            </w:rPr>
            <w:t xml:space="preserve"> </w:t>
          </w:r>
          <w:r w:rsidR="00FB4DD2">
            <w:rPr>
              <w:rStyle w:val="tevilkastrani"/>
              <w:szCs w:val="24"/>
              <w:lang w:val="en-US" w:eastAsia="en-US"/>
            </w:rPr>
            <w:fldChar w:fldCharType="begin"/>
          </w:r>
          <w:r w:rsidR="00FB4DD2">
            <w:rPr>
              <w:rStyle w:val="tevilkastrani"/>
              <w:szCs w:val="24"/>
              <w:lang w:val="en-US" w:eastAsia="en-US"/>
            </w:rPr>
            <w:instrText xml:space="preserve"> PAGE </w:instrText>
          </w:r>
          <w:r w:rsidR="00FB4DD2">
            <w:rPr>
              <w:rStyle w:val="tevilkastrani"/>
              <w:szCs w:val="24"/>
              <w:lang w:val="en-US" w:eastAsia="en-US"/>
            </w:rPr>
            <w:fldChar w:fldCharType="separate"/>
          </w:r>
          <w:r w:rsidR="00610E20">
            <w:rPr>
              <w:rStyle w:val="tevilkastrani"/>
              <w:noProof/>
              <w:szCs w:val="24"/>
              <w:lang w:val="en-US" w:eastAsia="en-US"/>
            </w:rPr>
            <w:t>24</w:t>
          </w:r>
          <w:r w:rsidR="00FB4DD2">
            <w:rPr>
              <w:rStyle w:val="tevilkastrani"/>
              <w:szCs w:val="24"/>
              <w:lang w:val="en-US" w:eastAsia="en-US"/>
            </w:rPr>
            <w:fldChar w:fldCharType="end"/>
          </w:r>
          <w:r w:rsidR="00FB4DD2">
            <w:rPr>
              <w:rStyle w:val="tevilkastrani"/>
              <w:szCs w:val="24"/>
              <w:lang w:val="en-US" w:eastAsia="en-US"/>
            </w:rPr>
            <w:t xml:space="preserve"> o</w:t>
          </w:r>
          <w:r>
            <w:rPr>
              <w:rStyle w:val="tevilkastrani"/>
              <w:szCs w:val="24"/>
              <w:lang w:val="en-US" w:eastAsia="en-US"/>
            </w:rPr>
            <w:t>d</w:t>
          </w:r>
          <w:r w:rsidR="00FB4DD2">
            <w:rPr>
              <w:rStyle w:val="tevilkastrani"/>
              <w:szCs w:val="24"/>
              <w:lang w:val="en-US" w:eastAsia="en-US"/>
            </w:rPr>
            <w:t xml:space="preserve"> </w:t>
          </w:r>
          <w:r w:rsidR="00FB4DD2">
            <w:rPr>
              <w:rStyle w:val="tevilkastrani"/>
              <w:szCs w:val="24"/>
              <w:lang w:val="en-US" w:eastAsia="en-US"/>
            </w:rPr>
            <w:fldChar w:fldCharType="begin"/>
          </w:r>
          <w:r w:rsidR="00FB4DD2">
            <w:rPr>
              <w:rStyle w:val="tevilkastrani"/>
              <w:szCs w:val="24"/>
              <w:lang w:val="en-US" w:eastAsia="en-US"/>
            </w:rPr>
            <w:instrText xml:space="preserve"> NUMPAGES   \* MERGEFORMAT </w:instrText>
          </w:r>
          <w:r w:rsidR="00FB4DD2">
            <w:rPr>
              <w:rStyle w:val="tevilkastrani"/>
              <w:szCs w:val="24"/>
              <w:lang w:val="en-US" w:eastAsia="en-US"/>
            </w:rPr>
            <w:fldChar w:fldCharType="separate"/>
          </w:r>
          <w:r w:rsidR="00610E20">
            <w:rPr>
              <w:rStyle w:val="tevilkastrani"/>
              <w:noProof/>
              <w:szCs w:val="24"/>
              <w:lang w:val="en-US" w:eastAsia="en-US"/>
            </w:rPr>
            <w:t>88</w:t>
          </w:r>
          <w:r w:rsidR="00FB4DD2">
            <w:rPr>
              <w:rStyle w:val="tevilkastrani"/>
              <w:szCs w:val="24"/>
              <w:lang w:val="en-US" w:eastAsia="en-US"/>
            </w:rPr>
            <w:fldChar w:fldCharType="end"/>
          </w:r>
        </w:p>
      </w:tc>
    </w:tr>
  </w:tbl>
  <w:p w14:paraId="35DA8F9E" w14:textId="77777777" w:rsidR="00FB4DD2" w:rsidRPr="00F9371C" w:rsidRDefault="00FB4DD2" w:rsidP="00F9371C">
    <w:pPr>
      <w:pStyle w:val="Noga"/>
      <w:tabs>
        <w:tab w:val="clear" w:pos="4153"/>
        <w:tab w:val="clear" w:pos="8306"/>
        <w:tab w:val="center" w:pos="7200"/>
        <w:tab w:val="right" w:pos="8931"/>
      </w:tabs>
      <w:spacing w:before="0"/>
      <w:jc w:val="center"/>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7"/>
      <w:gridCol w:w="2725"/>
    </w:tblGrid>
    <w:tr w:rsidR="00FB4DD2" w:rsidRPr="0033223E" w14:paraId="6DF828A2" w14:textId="77777777">
      <w:tc>
        <w:tcPr>
          <w:tcW w:w="3498" w:type="pct"/>
          <w:tcBorders>
            <w:top w:val="nil"/>
            <w:left w:val="nil"/>
            <w:bottom w:val="single" w:sz="4" w:space="0" w:color="auto"/>
            <w:right w:val="nil"/>
          </w:tcBorders>
          <w:tcMar>
            <w:top w:w="28" w:type="dxa"/>
          </w:tcMar>
          <w:vAlign w:val="center"/>
        </w:tcPr>
        <w:p w14:paraId="279E94DE" w14:textId="77777777" w:rsidR="00FB4DD2" w:rsidRPr="0033223E" w:rsidRDefault="00FB4DD2" w:rsidP="001D33D0">
          <w:pPr>
            <w:pStyle w:val="ENCOFooterright"/>
            <w:jc w:val="left"/>
            <w:rPr>
              <w:rStyle w:val="tevilkastrani"/>
              <w:rFonts w:ascii="Times New Roman" w:hAnsi="Times New Roman"/>
              <w:noProof/>
              <w:lang w:val="nb-NO"/>
            </w:rPr>
          </w:pPr>
        </w:p>
      </w:tc>
      <w:tc>
        <w:tcPr>
          <w:tcW w:w="1502" w:type="pct"/>
          <w:tcBorders>
            <w:top w:val="nil"/>
            <w:left w:val="nil"/>
            <w:bottom w:val="single" w:sz="4" w:space="0" w:color="auto"/>
            <w:right w:val="nil"/>
          </w:tcBorders>
          <w:tcMar>
            <w:top w:w="28" w:type="dxa"/>
          </w:tcMar>
        </w:tcPr>
        <w:p w14:paraId="09C1E198" w14:textId="77777777" w:rsidR="00FB4DD2" w:rsidRPr="0033223E" w:rsidRDefault="00FB4DD2" w:rsidP="004605D2">
          <w:pPr>
            <w:pStyle w:val="ENCOFooterright"/>
            <w:rPr>
              <w:rStyle w:val="tevilkastrani"/>
              <w:rFonts w:ascii="Times New Roman" w:hAnsi="Times New Roman"/>
              <w:noProof/>
            </w:rPr>
          </w:pPr>
        </w:p>
      </w:tc>
    </w:tr>
    <w:tr w:rsidR="00FB4DD2" w:rsidRPr="0033223E" w14:paraId="10574932" w14:textId="77777777">
      <w:trPr>
        <w:trHeight w:val="62"/>
      </w:trPr>
      <w:tc>
        <w:tcPr>
          <w:tcW w:w="3498" w:type="pct"/>
          <w:tcBorders>
            <w:top w:val="single" w:sz="4" w:space="0" w:color="auto"/>
            <w:left w:val="nil"/>
            <w:bottom w:val="nil"/>
            <w:right w:val="nil"/>
          </w:tcBorders>
          <w:tcMar>
            <w:top w:w="28" w:type="dxa"/>
          </w:tcMar>
          <w:vAlign w:val="center"/>
        </w:tcPr>
        <w:p w14:paraId="643BB354" w14:textId="7DDA12F9" w:rsidR="00FB4DD2" w:rsidRPr="00746B4A" w:rsidRDefault="00DD78ED" w:rsidP="00223C1E">
          <w:pPr>
            <w:pStyle w:val="ENCOFooter"/>
          </w:pPr>
          <w:r w:rsidRPr="00871DCD">
            <w:rPr>
              <w:noProof/>
              <w:lang w:val="sl-SI"/>
            </w:rPr>
            <w:t xml:space="preserve">PSR3-NEK-10.0: Povzetek zbirnega poročila </w:t>
          </w:r>
          <w:r w:rsidRPr="00871DCD">
            <w:rPr>
              <w:rFonts w:cs="ArialMT"/>
              <w:noProof/>
              <w:lang w:val="sl-SI" w:eastAsia="zh-CN"/>
            </w:rPr>
            <w:t xml:space="preserve">o tretjem občasnem varnostnem pregledu </w:t>
          </w:r>
          <w:r w:rsidR="00452B81">
            <w:rPr>
              <w:rFonts w:cs="ArialMT"/>
              <w:noProof/>
              <w:lang w:val="sl-SI" w:eastAsia="zh-CN"/>
            </w:rPr>
            <w:t>s celovito</w:t>
          </w:r>
          <w:r w:rsidR="00452B81" w:rsidRPr="00871DCD">
            <w:rPr>
              <w:rFonts w:cs="ArialMT"/>
              <w:noProof/>
              <w:lang w:val="sl-SI" w:eastAsia="zh-CN"/>
            </w:rPr>
            <w:t xml:space="preserve"> </w:t>
          </w:r>
          <w:r w:rsidRPr="00871DCD">
            <w:rPr>
              <w:rFonts w:cs="ArialMT"/>
              <w:noProof/>
              <w:lang w:val="sl-SI" w:eastAsia="zh-CN"/>
            </w:rPr>
            <w:t>oceno varnosti NEK</w:t>
          </w:r>
        </w:p>
      </w:tc>
      <w:tc>
        <w:tcPr>
          <w:tcW w:w="1502" w:type="pct"/>
          <w:tcBorders>
            <w:top w:val="single" w:sz="4" w:space="0" w:color="auto"/>
            <w:left w:val="nil"/>
            <w:bottom w:val="nil"/>
            <w:right w:val="nil"/>
          </w:tcBorders>
          <w:tcMar>
            <w:top w:w="28" w:type="dxa"/>
          </w:tcMar>
        </w:tcPr>
        <w:p w14:paraId="615B8DAE" w14:textId="670FFE3E" w:rsidR="00FB4DD2" w:rsidRPr="0033223E" w:rsidRDefault="00326AA3" w:rsidP="0048505F">
          <w:pPr>
            <w:pStyle w:val="ENCOFooterright"/>
            <w:rPr>
              <w:lang w:val="de-DE"/>
            </w:rPr>
          </w:pPr>
          <w:proofErr w:type="spellStart"/>
          <w:r>
            <w:rPr>
              <w:lang w:val="de-DE"/>
            </w:rPr>
            <w:t>Stran</w:t>
          </w:r>
          <w:proofErr w:type="spellEnd"/>
          <w:r w:rsidR="00FB4DD2" w:rsidRPr="0033223E">
            <w:rPr>
              <w:lang w:val="de-DE"/>
            </w:rPr>
            <w:t xml:space="preserve"> </w:t>
          </w:r>
          <w:r w:rsidR="00FB4DD2">
            <w:rPr>
              <w:rStyle w:val="tevilkastrani"/>
              <w:szCs w:val="24"/>
              <w:lang w:val="en-US" w:eastAsia="en-US"/>
            </w:rPr>
            <w:fldChar w:fldCharType="begin"/>
          </w:r>
          <w:r w:rsidR="00FB4DD2">
            <w:rPr>
              <w:rStyle w:val="tevilkastrani"/>
              <w:szCs w:val="24"/>
              <w:lang w:val="en-US" w:eastAsia="en-US"/>
            </w:rPr>
            <w:instrText xml:space="preserve"> PAGE </w:instrText>
          </w:r>
          <w:r w:rsidR="00FB4DD2">
            <w:rPr>
              <w:rStyle w:val="tevilkastrani"/>
              <w:szCs w:val="24"/>
              <w:lang w:val="en-US" w:eastAsia="en-US"/>
            </w:rPr>
            <w:fldChar w:fldCharType="separate"/>
          </w:r>
          <w:r w:rsidR="00610E20">
            <w:rPr>
              <w:rStyle w:val="tevilkastrani"/>
              <w:noProof/>
              <w:szCs w:val="24"/>
              <w:lang w:val="en-US" w:eastAsia="en-US"/>
            </w:rPr>
            <w:t>26</w:t>
          </w:r>
          <w:r w:rsidR="00FB4DD2">
            <w:rPr>
              <w:rStyle w:val="tevilkastrani"/>
              <w:szCs w:val="24"/>
              <w:lang w:val="en-US" w:eastAsia="en-US"/>
            </w:rPr>
            <w:fldChar w:fldCharType="end"/>
          </w:r>
          <w:r w:rsidR="00FB4DD2">
            <w:rPr>
              <w:rStyle w:val="tevilkastrani"/>
              <w:szCs w:val="24"/>
              <w:lang w:val="en-US" w:eastAsia="en-US"/>
            </w:rPr>
            <w:t xml:space="preserve"> o</w:t>
          </w:r>
          <w:r>
            <w:rPr>
              <w:rStyle w:val="tevilkastrani"/>
              <w:szCs w:val="24"/>
              <w:lang w:val="en-US" w:eastAsia="en-US"/>
            </w:rPr>
            <w:t>d</w:t>
          </w:r>
          <w:r w:rsidR="00FB4DD2">
            <w:rPr>
              <w:rStyle w:val="tevilkastrani"/>
              <w:szCs w:val="24"/>
              <w:lang w:val="en-US" w:eastAsia="en-US"/>
            </w:rPr>
            <w:t xml:space="preserve"> </w:t>
          </w:r>
          <w:r w:rsidR="00FB4DD2">
            <w:rPr>
              <w:rStyle w:val="tevilkastrani"/>
              <w:szCs w:val="24"/>
              <w:lang w:val="en-US" w:eastAsia="en-US"/>
            </w:rPr>
            <w:fldChar w:fldCharType="begin"/>
          </w:r>
          <w:r w:rsidR="00FB4DD2">
            <w:rPr>
              <w:rStyle w:val="tevilkastrani"/>
              <w:szCs w:val="24"/>
              <w:lang w:val="en-US" w:eastAsia="en-US"/>
            </w:rPr>
            <w:instrText xml:space="preserve"> NUMPAGES   \* MERGEFORMAT </w:instrText>
          </w:r>
          <w:r w:rsidR="00FB4DD2">
            <w:rPr>
              <w:rStyle w:val="tevilkastrani"/>
              <w:szCs w:val="24"/>
              <w:lang w:val="en-US" w:eastAsia="en-US"/>
            </w:rPr>
            <w:fldChar w:fldCharType="separate"/>
          </w:r>
          <w:r w:rsidR="00610E20">
            <w:rPr>
              <w:rStyle w:val="tevilkastrani"/>
              <w:noProof/>
              <w:szCs w:val="24"/>
              <w:lang w:val="en-US" w:eastAsia="en-US"/>
            </w:rPr>
            <w:t>88</w:t>
          </w:r>
          <w:r w:rsidR="00FB4DD2">
            <w:rPr>
              <w:rStyle w:val="tevilkastrani"/>
              <w:szCs w:val="24"/>
              <w:lang w:val="en-US" w:eastAsia="en-US"/>
            </w:rPr>
            <w:fldChar w:fldCharType="end"/>
          </w:r>
        </w:p>
      </w:tc>
    </w:tr>
  </w:tbl>
  <w:p w14:paraId="7F9FB5BD" w14:textId="77777777" w:rsidR="00FB4DD2" w:rsidRPr="00F9371C" w:rsidRDefault="00FB4DD2" w:rsidP="00F9371C">
    <w:pPr>
      <w:pStyle w:val="Noga"/>
      <w:tabs>
        <w:tab w:val="clear" w:pos="4153"/>
        <w:tab w:val="clear" w:pos="8306"/>
        <w:tab w:val="center" w:pos="7200"/>
        <w:tab w:val="right" w:pos="8931"/>
      </w:tabs>
      <w:spacing w:before="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C9ADA" w14:textId="77777777" w:rsidR="00786C31" w:rsidRDefault="00786C31">
      <w:r>
        <w:separator/>
      </w:r>
    </w:p>
  </w:footnote>
  <w:footnote w:type="continuationSeparator" w:id="0">
    <w:p w14:paraId="20AC44E9" w14:textId="77777777" w:rsidR="00786C31" w:rsidRDefault="00786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B6B0" w14:textId="77777777" w:rsidR="00A86D2D" w:rsidRDefault="00A86D2D">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2"/>
    </w:tblGrid>
    <w:tr w:rsidR="00FB4DD2" w14:paraId="2E17271B" w14:textId="77777777">
      <w:tc>
        <w:tcPr>
          <w:tcW w:w="9286" w:type="dxa"/>
        </w:tcPr>
        <w:p w14:paraId="35C3A82A" w14:textId="77777777" w:rsidR="00FB4DD2" w:rsidRDefault="00FB4DD2" w:rsidP="00272278">
          <w:pPr>
            <w:pStyle w:val="Glava"/>
            <w:spacing w:before="0"/>
            <w:jc w:val="right"/>
          </w:pPr>
        </w:p>
      </w:tc>
    </w:tr>
  </w:tbl>
  <w:p w14:paraId="4943F41A" w14:textId="77777777" w:rsidR="00FB4DD2" w:rsidRDefault="00FB4DD2" w:rsidP="0033223E">
    <w:pPr>
      <w:pStyle w:val="Glava"/>
      <w:spacing w:after="24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4287"/>
    </w:tblGrid>
    <w:tr w:rsidR="00FB4DD2" w14:paraId="2C99EA1D" w14:textId="77777777" w:rsidTr="00466D90">
      <w:trPr>
        <w:trHeight w:val="287"/>
      </w:trPr>
      <w:tc>
        <w:tcPr>
          <w:tcW w:w="14469" w:type="dxa"/>
        </w:tcPr>
        <w:p w14:paraId="4121111A" w14:textId="77777777" w:rsidR="00FB4DD2" w:rsidRDefault="00FB4DD2" w:rsidP="00272278">
          <w:pPr>
            <w:pStyle w:val="Glava"/>
            <w:spacing w:before="0"/>
            <w:jc w:val="right"/>
          </w:pPr>
        </w:p>
      </w:tc>
    </w:tr>
  </w:tbl>
  <w:p w14:paraId="27B721F2" w14:textId="77777777" w:rsidR="00FB4DD2" w:rsidRDefault="00FB4DD2" w:rsidP="0033223E">
    <w:pPr>
      <w:pStyle w:val="Glava"/>
      <w:spacing w:after="24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0"/>
    </w:tblGrid>
    <w:tr w:rsidR="00FB4DD2" w14:paraId="714A8B9C" w14:textId="77777777" w:rsidTr="00FC2410">
      <w:tc>
        <w:tcPr>
          <w:tcW w:w="14388" w:type="dxa"/>
        </w:tcPr>
        <w:p w14:paraId="7D423DD2" w14:textId="77777777" w:rsidR="00FB4DD2" w:rsidRDefault="00FB4DD2" w:rsidP="00272278">
          <w:pPr>
            <w:pStyle w:val="Glava"/>
            <w:spacing w:before="0"/>
            <w:jc w:val="right"/>
          </w:pPr>
        </w:p>
      </w:tc>
    </w:tr>
  </w:tbl>
  <w:p w14:paraId="53DAD648" w14:textId="77777777" w:rsidR="00FB4DD2" w:rsidRDefault="00FB4DD2" w:rsidP="0033223E">
    <w:pPr>
      <w:pStyle w:val="Glava"/>
      <w:spacing w:after="24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26"/>
    </w:tblGrid>
    <w:tr w:rsidR="00FB4DD2" w14:paraId="74BB072E" w14:textId="77777777" w:rsidTr="00FC2410">
      <w:tc>
        <w:tcPr>
          <w:tcW w:w="14388" w:type="dxa"/>
        </w:tcPr>
        <w:p w14:paraId="67B3B887" w14:textId="77777777" w:rsidR="00FB4DD2" w:rsidRDefault="00FB4DD2" w:rsidP="00272278">
          <w:pPr>
            <w:pStyle w:val="Glava"/>
            <w:spacing w:before="0"/>
            <w:jc w:val="right"/>
          </w:pPr>
        </w:p>
      </w:tc>
    </w:tr>
  </w:tbl>
  <w:p w14:paraId="460F5E61" w14:textId="77777777" w:rsidR="00FB4DD2" w:rsidRDefault="00FB4DD2" w:rsidP="0033223E">
    <w:pPr>
      <w:pStyle w:val="Glava"/>
      <w:spacing w:after="24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2822" w14:textId="77777777" w:rsidR="00FB4DD2" w:rsidRDefault="00FB4DD2">
    <w:pPr>
      <w:pStyle w:val="Glava"/>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618C" w14:textId="5BA006CC" w:rsidR="00FB4DD2" w:rsidRPr="00935B67" w:rsidRDefault="00FB4DD2" w:rsidP="00935B67">
    <w:pPr>
      <w:pStyle w:val="Glava"/>
      <w:jc w:val="right"/>
      <w:rPr>
        <w:sz w:val="16"/>
        <w:szCs w:val="16"/>
        <w:lang w:val="hr-HR"/>
      </w:rPr>
    </w:pPr>
    <w:proofErr w:type="spellStart"/>
    <w:r>
      <w:rPr>
        <w:sz w:val="16"/>
        <w:szCs w:val="16"/>
        <w:lang w:val="hr-HR"/>
      </w:rPr>
      <w:t>Attachment</w:t>
    </w:r>
    <w:proofErr w:type="spellEnd"/>
    <w:r>
      <w:rPr>
        <w:sz w:val="16"/>
        <w:szCs w:val="16"/>
        <w:lang w:val="hr-HR"/>
      </w:rPr>
      <w:t xml:space="preserve"> 3</w:t>
    </w:r>
    <w:r w:rsidRPr="003A5C54">
      <w:rPr>
        <w:sz w:val="16"/>
        <w:szCs w:val="16"/>
      </w:rPr>
      <w:t xml:space="preserve">: Implementation Action Plan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A5C5" w14:textId="77777777" w:rsidR="00FB4DD2" w:rsidRDefault="00FB4DD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0"/>
    </w:tblGrid>
    <w:tr w:rsidR="00FB4DD2" w14:paraId="7CCF2C10" w14:textId="77777777">
      <w:tc>
        <w:tcPr>
          <w:tcW w:w="9286" w:type="dxa"/>
        </w:tcPr>
        <w:p w14:paraId="5EDDC4AE" w14:textId="77777777" w:rsidR="00FB4DD2" w:rsidRDefault="00FB4DD2" w:rsidP="00272278">
          <w:pPr>
            <w:pStyle w:val="Glava"/>
            <w:spacing w:before="0"/>
            <w:jc w:val="right"/>
          </w:pPr>
        </w:p>
      </w:tc>
    </w:tr>
  </w:tbl>
  <w:p w14:paraId="32DA4E62" w14:textId="77777777" w:rsidR="00FB4DD2" w:rsidRDefault="00FB4DD2" w:rsidP="0033223E">
    <w:pPr>
      <w:pStyle w:val="Glava"/>
      <w:spacing w:after="2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6592" w14:textId="571C93B0" w:rsidR="00FB4DD2" w:rsidRPr="002E3345" w:rsidRDefault="00FB4DD2" w:rsidP="00A52181">
    <w:pPr>
      <w:pStyle w:val="Glava"/>
      <w:tabs>
        <w:tab w:val="center" w:pos="4535"/>
        <w:tab w:val="right" w:pos="9070"/>
      </w:tabs>
      <w:jc w:val="left"/>
      <w:rPr>
        <w:sz w:val="22"/>
        <w:szCs w:val="22"/>
      </w:rPr>
    </w:pPr>
    <w:r>
      <w:rPr>
        <w:i/>
        <w:sz w:val="22"/>
        <w:szCs w:val="22"/>
      </w:rPr>
      <w:tab/>
    </w:r>
    <w:r w:rsidRPr="002E3345">
      <w:rPr>
        <w:sz w:val="22"/>
        <w:szCs w:val="22"/>
      </w:rPr>
      <w:t>D</w:t>
    </w:r>
    <w:proofErr w:type="spellStart"/>
    <w:r>
      <w:rPr>
        <w:sz w:val="22"/>
        <w:szCs w:val="22"/>
        <w:lang w:val="sl-SI"/>
      </w:rPr>
      <w:t>o</w:t>
    </w:r>
    <w:r w:rsidR="009D30B4">
      <w:rPr>
        <w:sz w:val="22"/>
        <w:szCs w:val="22"/>
        <w:lang w:val="sl-SI"/>
      </w:rPr>
      <w:t>k</w:t>
    </w:r>
    <w:r>
      <w:rPr>
        <w:sz w:val="22"/>
        <w:szCs w:val="22"/>
        <w:lang w:val="sl-SI"/>
      </w:rPr>
      <w:t>ument</w:t>
    </w:r>
    <w:proofErr w:type="spellEnd"/>
    <w:r w:rsidR="009D30B4">
      <w:rPr>
        <w:sz w:val="22"/>
        <w:szCs w:val="22"/>
        <w:lang w:val="sl-SI"/>
      </w:rPr>
      <w:t xml:space="preserve"> v lastnini NEK</w:t>
    </w:r>
    <w:r w:rsidRPr="002E3345">
      <w:rPr>
        <w:sz w:val="22"/>
        <w:szCs w:val="22"/>
      </w:rPr>
      <w:tab/>
    </w:r>
    <w:r w:rsidRPr="002E3345">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305F" w14:textId="77777777" w:rsidR="00FB4DD2" w:rsidRDefault="00FB4DD2">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5057" w14:textId="77777777" w:rsidR="00FB4DD2" w:rsidRDefault="00FB4DD2">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4E36" w14:textId="77777777" w:rsidR="00FB4DD2" w:rsidRPr="00A2681E" w:rsidRDefault="00FB4DD2" w:rsidP="00A2681E">
    <w:pPr>
      <w:pStyle w:val="Glava"/>
    </w:pPr>
    <w:r>
      <w:rPr>
        <w:noProof/>
        <w:lang w:val="en-GB" w:eastAsia="en-GB"/>
      </w:rPr>
      <mc:AlternateContent>
        <mc:Choice Requires="wps">
          <w:drawing>
            <wp:anchor distT="0" distB="0" distL="114300" distR="114300" simplePos="0" relativeHeight="251661312" behindDoc="0" locked="0" layoutInCell="1" allowOverlap="1" wp14:anchorId="50E77F1F" wp14:editId="6C2BCD79">
              <wp:simplePos x="0" y="0"/>
              <wp:positionH relativeFrom="column">
                <wp:posOffset>-138430</wp:posOffset>
              </wp:positionH>
              <wp:positionV relativeFrom="paragraph">
                <wp:posOffset>161925</wp:posOffset>
              </wp:positionV>
              <wp:extent cx="6010275" cy="0"/>
              <wp:effectExtent l="13970" t="9525" r="5080" b="9525"/>
              <wp:wrapNone/>
              <wp:docPr id="1"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98CF7" id="_x0000_t32" coordsize="21600,21600" o:spt="32" o:oned="t" path="m,l21600,21600e" filled="f">
              <v:path arrowok="t" fillok="f" o:connecttype="none"/>
              <o:lock v:ext="edit" shapetype="t"/>
            </v:shapetype>
            <v:shape id="AutoShape 4" o:spid="_x0000_s1026" type="#_x0000_t32" alt="&quot;&quot;" style="position:absolute;margin-left:-10.9pt;margin-top:12.75pt;width:47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"/>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0"/>
    </w:tblGrid>
    <w:tr w:rsidR="00FB4DD2" w14:paraId="63174696" w14:textId="77777777" w:rsidTr="006C18A2">
      <w:trPr>
        <w:trHeight w:val="282"/>
      </w:trPr>
      <w:tc>
        <w:tcPr>
          <w:tcW w:w="14454" w:type="dxa"/>
        </w:tcPr>
        <w:p w14:paraId="442BE5AF" w14:textId="77777777" w:rsidR="00FB4DD2" w:rsidRDefault="00FB4DD2" w:rsidP="00272278">
          <w:pPr>
            <w:pStyle w:val="Glava"/>
            <w:spacing w:before="0"/>
            <w:jc w:val="right"/>
          </w:pPr>
        </w:p>
      </w:tc>
    </w:tr>
  </w:tbl>
  <w:p w14:paraId="0EFBC46F" w14:textId="77777777" w:rsidR="00FB4DD2" w:rsidRDefault="00FB4DD2" w:rsidP="0033223E">
    <w:pPr>
      <w:pStyle w:val="Glava"/>
      <w:spacing w:after="24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0"/>
    </w:tblGrid>
    <w:tr w:rsidR="00FB4DD2" w14:paraId="5AD7B351" w14:textId="77777777">
      <w:tc>
        <w:tcPr>
          <w:tcW w:w="9286" w:type="dxa"/>
        </w:tcPr>
        <w:p w14:paraId="358217CC" w14:textId="77777777" w:rsidR="00FB4DD2" w:rsidRDefault="00FB4DD2" w:rsidP="00272278">
          <w:pPr>
            <w:pStyle w:val="Glava"/>
            <w:spacing w:before="0"/>
            <w:jc w:val="right"/>
          </w:pPr>
        </w:p>
      </w:tc>
    </w:tr>
  </w:tbl>
  <w:p w14:paraId="20070BD6" w14:textId="77777777" w:rsidR="00FB4DD2" w:rsidRDefault="00FB4DD2" w:rsidP="0033223E">
    <w:pPr>
      <w:pStyle w:val="Glava"/>
      <w:spacing w:after="24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4287"/>
    </w:tblGrid>
    <w:tr w:rsidR="00FB4DD2" w14:paraId="6B89E26C" w14:textId="77777777" w:rsidTr="007E671D">
      <w:trPr>
        <w:trHeight w:val="334"/>
      </w:trPr>
      <w:tc>
        <w:tcPr>
          <w:tcW w:w="14499" w:type="dxa"/>
        </w:tcPr>
        <w:p w14:paraId="32791E3D" w14:textId="77777777" w:rsidR="00FB4DD2" w:rsidRDefault="00FB4DD2" w:rsidP="00272278">
          <w:pPr>
            <w:pStyle w:val="Glava"/>
            <w:spacing w:before="0"/>
            <w:jc w:val="right"/>
          </w:pPr>
        </w:p>
      </w:tc>
    </w:tr>
  </w:tbl>
  <w:p w14:paraId="23C04864" w14:textId="77777777" w:rsidR="00FB4DD2" w:rsidRPr="007E671D" w:rsidRDefault="00FB4DD2" w:rsidP="007E671D">
    <w:pPr>
      <w:pStyle w:val="Glava"/>
      <w:spacing w:before="0"/>
      <w:jc w:val="right"/>
      <w:rPr>
        <w:sz w:val="2"/>
        <w:szCs w:val="2"/>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51F"/>
    <w:multiLevelType w:val="hybridMultilevel"/>
    <w:tmpl w:val="F1282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27F22"/>
    <w:multiLevelType w:val="hybridMultilevel"/>
    <w:tmpl w:val="1890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32901"/>
    <w:multiLevelType w:val="hybridMultilevel"/>
    <w:tmpl w:val="A974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D6DD7"/>
    <w:multiLevelType w:val="hybridMultilevel"/>
    <w:tmpl w:val="3E8E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A0A9A"/>
    <w:multiLevelType w:val="hybridMultilevel"/>
    <w:tmpl w:val="20A8341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5" w15:restartNumberingAfterBreak="0">
    <w:nsid w:val="0E3B28ED"/>
    <w:multiLevelType w:val="hybridMultilevel"/>
    <w:tmpl w:val="062618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36E24A6"/>
    <w:multiLevelType w:val="hybridMultilevel"/>
    <w:tmpl w:val="65CC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04EFF"/>
    <w:multiLevelType w:val="hybridMultilevel"/>
    <w:tmpl w:val="B1C8F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80E51"/>
    <w:multiLevelType w:val="hybridMultilevel"/>
    <w:tmpl w:val="083C50A0"/>
    <w:lvl w:ilvl="0" w:tplc="785E52FC">
      <w:start w:val="1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04567A"/>
    <w:multiLevelType w:val="hybridMultilevel"/>
    <w:tmpl w:val="C1B4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93511"/>
    <w:multiLevelType w:val="hybridMultilevel"/>
    <w:tmpl w:val="0882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87886"/>
    <w:multiLevelType w:val="hybridMultilevel"/>
    <w:tmpl w:val="DF4039F2"/>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2" w15:restartNumberingAfterBreak="0">
    <w:nsid w:val="1FFA716D"/>
    <w:multiLevelType w:val="hybridMultilevel"/>
    <w:tmpl w:val="6292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336C0"/>
    <w:multiLevelType w:val="multilevel"/>
    <w:tmpl w:val="75A24534"/>
    <w:lvl w:ilvl="0">
      <w:start w:val="1"/>
      <w:numFmt w:val="upperLetter"/>
      <w:pStyle w:val="StyleHeading1Arial"/>
      <w:lvlText w:val="%11"/>
      <w:lvlJc w:val="left"/>
      <w:pPr>
        <w:tabs>
          <w:tab w:val="num" w:pos="2126"/>
        </w:tabs>
        <w:ind w:left="862" w:hanging="862"/>
      </w:pPr>
      <w:rPr>
        <w:rFonts w:hint="default"/>
      </w:rPr>
    </w:lvl>
    <w:lvl w:ilvl="1">
      <w:start w:val="1"/>
      <w:numFmt w:val="decimal"/>
      <w:lvlText w:val="%1%2.1"/>
      <w:lvlJc w:val="left"/>
      <w:pPr>
        <w:tabs>
          <w:tab w:val="num" w:pos="2126"/>
        </w:tabs>
        <w:ind w:left="862" w:hanging="862"/>
      </w:pPr>
      <w:rPr>
        <w:rFonts w:hint="default"/>
      </w:rPr>
    </w:lvl>
    <w:lvl w:ilvl="2">
      <w:start w:val="1"/>
      <w:numFmt w:val="decimal"/>
      <w:lvlText w:val="%1%2.%3.1"/>
      <w:lvlJc w:val="left"/>
      <w:pPr>
        <w:tabs>
          <w:tab w:val="num" w:pos="862"/>
        </w:tabs>
        <w:ind w:left="720" w:hanging="720"/>
      </w:pPr>
      <w:rPr>
        <w:rFonts w:hint="default"/>
      </w:rPr>
    </w:lvl>
    <w:lvl w:ilvl="3">
      <w:start w:val="1"/>
      <w:numFmt w:val="decimal"/>
      <w:lvlText w:val="%1.%2.%3.%4.1"/>
      <w:lvlJc w:val="left"/>
      <w:pPr>
        <w:tabs>
          <w:tab w:val="num" w:pos="864"/>
        </w:tabs>
        <w:ind w:left="864" w:hanging="864"/>
      </w:pPr>
      <w:rPr>
        <w:rFonts w:hint="default"/>
      </w:rPr>
    </w:lvl>
    <w:lvl w:ilvl="4">
      <w:start w:val="1"/>
      <w:numFmt w:val="decimal"/>
      <w:lvlText w:val="%1.%2.%3.%4.%5.1"/>
      <w:lvlJc w:val="left"/>
      <w:pPr>
        <w:tabs>
          <w:tab w:val="num" w:pos="1008"/>
        </w:tabs>
        <w:ind w:left="1008" w:hanging="1008"/>
      </w:pPr>
      <w:rPr>
        <w:rFonts w:hint="default"/>
      </w:rPr>
    </w:lvl>
    <w:lvl w:ilvl="5">
      <w:start w:val="1"/>
      <w:numFmt w:val="decimal"/>
      <w:lvlText w:val="%1.%2.%3.%4.%5.%6.1"/>
      <w:lvlJc w:val="left"/>
      <w:pPr>
        <w:tabs>
          <w:tab w:val="num" w:pos="1152"/>
        </w:tabs>
        <w:ind w:left="1152" w:hanging="1152"/>
      </w:pPr>
      <w:rPr>
        <w:rFonts w:hint="default"/>
      </w:rPr>
    </w:lvl>
    <w:lvl w:ilvl="6">
      <w:start w:val="1"/>
      <w:numFmt w:val="decimal"/>
      <w:lvlText w:val="%1.%2.%3.%4.%5.%6.%7.1"/>
      <w:lvlJc w:val="left"/>
      <w:pPr>
        <w:tabs>
          <w:tab w:val="num" w:pos="1296"/>
        </w:tabs>
        <w:ind w:left="1296" w:hanging="1296"/>
      </w:pPr>
      <w:rPr>
        <w:rFonts w:hint="default"/>
      </w:rPr>
    </w:lvl>
    <w:lvl w:ilvl="7">
      <w:start w:val="1"/>
      <w:numFmt w:val="decimal"/>
      <w:lvlText w:val="%1.%2.%3.%4.%5.%6.%7.%8.1"/>
      <w:lvlJc w:val="left"/>
      <w:pPr>
        <w:tabs>
          <w:tab w:val="num" w:pos="1440"/>
        </w:tabs>
        <w:ind w:left="1440" w:hanging="1440"/>
      </w:pPr>
      <w:rPr>
        <w:rFonts w:hint="default"/>
      </w:rPr>
    </w:lvl>
    <w:lvl w:ilvl="8">
      <w:start w:val="1"/>
      <w:numFmt w:val="decimal"/>
      <w:lvlText w:val="%1.%2.%3.%4.%5.%6.%7.%8.%9.1"/>
      <w:lvlJc w:val="left"/>
      <w:pPr>
        <w:tabs>
          <w:tab w:val="num" w:pos="1584"/>
        </w:tabs>
        <w:ind w:left="1584" w:hanging="1584"/>
      </w:pPr>
      <w:rPr>
        <w:rFonts w:hint="default"/>
      </w:rPr>
    </w:lvl>
  </w:abstractNum>
  <w:abstractNum w:abstractNumId="14" w15:restartNumberingAfterBreak="0">
    <w:nsid w:val="235F34B2"/>
    <w:multiLevelType w:val="hybridMultilevel"/>
    <w:tmpl w:val="CF6A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83575F"/>
    <w:multiLevelType w:val="hybridMultilevel"/>
    <w:tmpl w:val="5854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4673B4"/>
    <w:multiLevelType w:val="hybridMultilevel"/>
    <w:tmpl w:val="001460C0"/>
    <w:lvl w:ilvl="0" w:tplc="04090001">
      <w:start w:val="1"/>
      <w:numFmt w:val="decimal"/>
      <w:lvlText w:val="[%1]"/>
      <w:lvlJc w:val="left"/>
      <w:pPr>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86D11AE"/>
    <w:multiLevelType w:val="hybridMultilevel"/>
    <w:tmpl w:val="D584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7267BF"/>
    <w:multiLevelType w:val="hybridMultilevel"/>
    <w:tmpl w:val="A70E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714682"/>
    <w:multiLevelType w:val="hybridMultilevel"/>
    <w:tmpl w:val="73F2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DB7AA4"/>
    <w:multiLevelType w:val="hybridMultilevel"/>
    <w:tmpl w:val="85A44F10"/>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1" w15:restartNumberingAfterBreak="0">
    <w:nsid w:val="325B7929"/>
    <w:multiLevelType w:val="hybridMultilevel"/>
    <w:tmpl w:val="F7D65552"/>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2" w15:restartNumberingAfterBreak="0">
    <w:nsid w:val="35CC1A3D"/>
    <w:multiLevelType w:val="hybridMultilevel"/>
    <w:tmpl w:val="77FC5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BA1E1B"/>
    <w:multiLevelType w:val="hybridMultilevel"/>
    <w:tmpl w:val="6DC8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074E44"/>
    <w:multiLevelType w:val="hybridMultilevel"/>
    <w:tmpl w:val="4F04C63A"/>
    <w:lvl w:ilvl="0" w:tplc="2D4077AC">
      <w:start w:val="1"/>
      <w:numFmt w:val="decimal"/>
      <w:pStyle w:val="NumberedParagraph"/>
      <w:lvlText w:val="R.%1"/>
      <w:lvlJc w:val="left"/>
      <w:pPr>
        <w:ind w:left="8441"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BCB0A0E"/>
    <w:multiLevelType w:val="hybridMultilevel"/>
    <w:tmpl w:val="8E4A1AB2"/>
    <w:lvl w:ilvl="0" w:tplc="041A0001">
      <w:start w:val="1"/>
      <w:numFmt w:val="bullet"/>
      <w:lvlText w:val=""/>
      <w:lvlJc w:val="left"/>
      <w:pPr>
        <w:ind w:left="720" w:hanging="360"/>
      </w:pPr>
      <w:rPr>
        <w:rFonts w:ascii="Symbol" w:hAnsi="Symbol" w:hint="default"/>
      </w:rPr>
    </w:lvl>
    <w:lvl w:ilvl="1" w:tplc="7FB6D4DA">
      <w:numFmt w:val="bullet"/>
      <w:lvlText w:val="•"/>
      <w:lvlJc w:val="left"/>
      <w:pPr>
        <w:ind w:left="1440" w:hanging="360"/>
      </w:pPr>
      <w:rPr>
        <w:rFonts w:ascii="SymbolMT" w:eastAsia="SymbolMT" w:hAnsi="SymbolMT" w:cs="SymbolMT" w:hint="eastAsia"/>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CBE7867"/>
    <w:multiLevelType w:val="hybridMultilevel"/>
    <w:tmpl w:val="D67C031C"/>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7" w15:restartNumberingAfterBreak="0">
    <w:nsid w:val="3E157DEF"/>
    <w:multiLevelType w:val="hybridMultilevel"/>
    <w:tmpl w:val="2BC4630C"/>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8" w15:restartNumberingAfterBreak="0">
    <w:nsid w:val="42270EC5"/>
    <w:multiLevelType w:val="hybridMultilevel"/>
    <w:tmpl w:val="7BEA4CB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7913C3F"/>
    <w:multiLevelType w:val="multilevel"/>
    <w:tmpl w:val="1E02724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StyleHeading3Bold"/>
      <w:isLg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Naslov7"/>
      <w:lvlText w:val="Appendix %7 "/>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8D37A84"/>
    <w:multiLevelType w:val="hybridMultilevel"/>
    <w:tmpl w:val="B76AE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416BD8"/>
    <w:multiLevelType w:val="hybridMultilevel"/>
    <w:tmpl w:val="2B2A3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037E32"/>
    <w:multiLevelType w:val="hybridMultilevel"/>
    <w:tmpl w:val="337A1AAC"/>
    <w:lvl w:ilvl="0" w:tplc="B1661AF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DA2DE1"/>
    <w:multiLevelType w:val="hybridMultilevel"/>
    <w:tmpl w:val="B18CCB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2BB07D2"/>
    <w:multiLevelType w:val="hybridMultilevel"/>
    <w:tmpl w:val="FD486F60"/>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5" w15:restartNumberingAfterBreak="0">
    <w:nsid w:val="55E15558"/>
    <w:multiLevelType w:val="hybridMultilevel"/>
    <w:tmpl w:val="C65A1088"/>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6" w15:restartNumberingAfterBreak="0">
    <w:nsid w:val="586149FA"/>
    <w:multiLevelType w:val="hybridMultilevel"/>
    <w:tmpl w:val="69E60D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C0D1E55"/>
    <w:multiLevelType w:val="hybridMultilevel"/>
    <w:tmpl w:val="95B8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8403F0"/>
    <w:multiLevelType w:val="hybridMultilevel"/>
    <w:tmpl w:val="9D0E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CC4205"/>
    <w:multiLevelType w:val="hybridMultilevel"/>
    <w:tmpl w:val="1750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6D6A62"/>
    <w:multiLevelType w:val="hybridMultilevel"/>
    <w:tmpl w:val="0BFE51B0"/>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1" w15:restartNumberingAfterBreak="0">
    <w:nsid w:val="68DE6800"/>
    <w:multiLevelType w:val="hybridMultilevel"/>
    <w:tmpl w:val="2BEC7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2E01F2"/>
    <w:multiLevelType w:val="hybridMultilevel"/>
    <w:tmpl w:val="9200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446CDF"/>
    <w:multiLevelType w:val="hybridMultilevel"/>
    <w:tmpl w:val="CB1A46CC"/>
    <w:lvl w:ilvl="0" w:tplc="A3E2BAFA">
      <w:start w:val="1"/>
      <w:numFmt w:val="decimal"/>
      <w:pStyle w:val="Konnaopomba-besedilo"/>
      <w:lvlText w:val="(%1)"/>
      <w:lvlJc w:val="left"/>
      <w:pPr>
        <w:tabs>
          <w:tab w:val="num" w:pos="1497"/>
        </w:tabs>
        <w:ind w:left="1497" w:hanging="360"/>
      </w:pPr>
      <w:rPr>
        <w:rFonts w:hint="default"/>
      </w:rPr>
    </w:lvl>
    <w:lvl w:ilvl="1" w:tplc="041A0003" w:tentative="1">
      <w:start w:val="1"/>
      <w:numFmt w:val="lowerLetter"/>
      <w:lvlText w:val="%2."/>
      <w:lvlJc w:val="left"/>
      <w:pPr>
        <w:tabs>
          <w:tab w:val="num" w:pos="2160"/>
        </w:tabs>
        <w:ind w:left="2160" w:hanging="360"/>
      </w:pPr>
    </w:lvl>
    <w:lvl w:ilvl="2" w:tplc="041A0005" w:tentative="1">
      <w:start w:val="1"/>
      <w:numFmt w:val="lowerRoman"/>
      <w:lvlText w:val="%3."/>
      <w:lvlJc w:val="right"/>
      <w:pPr>
        <w:tabs>
          <w:tab w:val="num" w:pos="2880"/>
        </w:tabs>
        <w:ind w:left="2880" w:hanging="180"/>
      </w:pPr>
    </w:lvl>
    <w:lvl w:ilvl="3" w:tplc="041A0001" w:tentative="1">
      <w:start w:val="1"/>
      <w:numFmt w:val="decimal"/>
      <w:lvlText w:val="%4."/>
      <w:lvlJc w:val="left"/>
      <w:pPr>
        <w:tabs>
          <w:tab w:val="num" w:pos="3600"/>
        </w:tabs>
        <w:ind w:left="3600" w:hanging="360"/>
      </w:pPr>
    </w:lvl>
    <w:lvl w:ilvl="4" w:tplc="041A0003" w:tentative="1">
      <w:start w:val="1"/>
      <w:numFmt w:val="lowerLetter"/>
      <w:lvlText w:val="%5."/>
      <w:lvlJc w:val="left"/>
      <w:pPr>
        <w:tabs>
          <w:tab w:val="num" w:pos="4320"/>
        </w:tabs>
        <w:ind w:left="4320" w:hanging="360"/>
      </w:pPr>
    </w:lvl>
    <w:lvl w:ilvl="5" w:tplc="041A0005" w:tentative="1">
      <w:start w:val="1"/>
      <w:numFmt w:val="lowerRoman"/>
      <w:lvlText w:val="%6."/>
      <w:lvlJc w:val="right"/>
      <w:pPr>
        <w:tabs>
          <w:tab w:val="num" w:pos="5040"/>
        </w:tabs>
        <w:ind w:left="5040" w:hanging="180"/>
      </w:pPr>
    </w:lvl>
    <w:lvl w:ilvl="6" w:tplc="041A0001" w:tentative="1">
      <w:start w:val="1"/>
      <w:numFmt w:val="decimal"/>
      <w:lvlText w:val="%7."/>
      <w:lvlJc w:val="left"/>
      <w:pPr>
        <w:tabs>
          <w:tab w:val="num" w:pos="5760"/>
        </w:tabs>
        <w:ind w:left="5760" w:hanging="360"/>
      </w:pPr>
    </w:lvl>
    <w:lvl w:ilvl="7" w:tplc="041A0003" w:tentative="1">
      <w:start w:val="1"/>
      <w:numFmt w:val="lowerLetter"/>
      <w:lvlText w:val="%8."/>
      <w:lvlJc w:val="left"/>
      <w:pPr>
        <w:tabs>
          <w:tab w:val="num" w:pos="6480"/>
        </w:tabs>
        <w:ind w:left="6480" w:hanging="360"/>
      </w:pPr>
    </w:lvl>
    <w:lvl w:ilvl="8" w:tplc="041A0005" w:tentative="1">
      <w:start w:val="1"/>
      <w:numFmt w:val="lowerRoman"/>
      <w:lvlText w:val="%9."/>
      <w:lvlJc w:val="right"/>
      <w:pPr>
        <w:tabs>
          <w:tab w:val="num" w:pos="7200"/>
        </w:tabs>
        <w:ind w:left="7200" w:hanging="180"/>
      </w:pPr>
    </w:lvl>
  </w:abstractNum>
  <w:abstractNum w:abstractNumId="44" w15:restartNumberingAfterBreak="0">
    <w:nsid w:val="6F83352D"/>
    <w:multiLevelType w:val="hybridMultilevel"/>
    <w:tmpl w:val="83D6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557320"/>
    <w:multiLevelType w:val="multilevel"/>
    <w:tmpl w:val="679E930E"/>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488"/>
        </w:tabs>
        <w:ind w:left="1488" w:hanging="1008"/>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aslov6"/>
      <w:lvlText w:val="%1.%2.%3.%4.%5.%6"/>
      <w:lvlJc w:val="left"/>
      <w:pPr>
        <w:tabs>
          <w:tab w:val="num" w:pos="972"/>
        </w:tabs>
        <w:ind w:left="972" w:hanging="1152"/>
      </w:pPr>
      <w:rPr>
        <w:rFonts w:hint="default"/>
      </w:rPr>
    </w:lvl>
    <w:lvl w:ilvl="6">
      <w:start w:val="1"/>
      <w:numFmt w:val="upperLetter"/>
      <w:pStyle w:val="App"/>
      <w:lvlText w:val="%7"/>
      <w:lvlJc w:val="left"/>
      <w:pPr>
        <w:tabs>
          <w:tab w:val="num" w:pos="1116"/>
        </w:tabs>
        <w:ind w:left="1116" w:hanging="1296"/>
      </w:pPr>
      <w:rPr>
        <w:rFonts w:hint="default"/>
      </w:rPr>
    </w:lvl>
    <w:lvl w:ilvl="7">
      <w:start w:val="1"/>
      <w:numFmt w:val="decimal"/>
      <w:pStyle w:val="Naslov8"/>
      <w:lvlText w:val="%1.%2.%3.%4.%5.%6.%7.%8"/>
      <w:lvlJc w:val="left"/>
      <w:pPr>
        <w:tabs>
          <w:tab w:val="num" w:pos="1260"/>
        </w:tabs>
        <w:ind w:left="1260" w:hanging="1440"/>
      </w:pPr>
      <w:rPr>
        <w:rFonts w:hint="default"/>
      </w:rPr>
    </w:lvl>
    <w:lvl w:ilvl="8">
      <w:start w:val="1"/>
      <w:numFmt w:val="decimal"/>
      <w:pStyle w:val="Naslov9"/>
      <w:lvlText w:val="%1.%2.%3.%4.%5.%6.%7.%8.%9"/>
      <w:lvlJc w:val="left"/>
      <w:pPr>
        <w:tabs>
          <w:tab w:val="num" w:pos="2664"/>
        </w:tabs>
        <w:ind w:left="2664" w:hanging="1584"/>
      </w:pPr>
      <w:rPr>
        <w:rFonts w:hint="default"/>
      </w:rPr>
    </w:lvl>
  </w:abstractNum>
  <w:abstractNum w:abstractNumId="46" w15:restartNumberingAfterBreak="0">
    <w:nsid w:val="77B7792D"/>
    <w:multiLevelType w:val="hybridMultilevel"/>
    <w:tmpl w:val="EB2C856C"/>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7" w15:restartNumberingAfterBreak="0">
    <w:nsid w:val="78BB0008"/>
    <w:multiLevelType w:val="hybridMultilevel"/>
    <w:tmpl w:val="D2325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4D6253"/>
    <w:multiLevelType w:val="hybridMultilevel"/>
    <w:tmpl w:val="CB3AF6FE"/>
    <w:lvl w:ilvl="0" w:tplc="7D2C84B0">
      <w:start w:val="1"/>
      <w:numFmt w:val="bullet"/>
      <w:lvlText w:val=""/>
      <w:lvlJc w:val="left"/>
      <w:pPr>
        <w:tabs>
          <w:tab w:val="num" w:pos="720"/>
        </w:tabs>
        <w:ind w:left="720" w:hanging="360"/>
      </w:pPr>
      <w:rPr>
        <w:rFonts w:ascii="Symbol" w:hAnsi="Symbol" w:hint="default"/>
      </w:rPr>
    </w:lvl>
    <w:lvl w:ilvl="1" w:tplc="041A0019">
      <w:start w:val="1"/>
      <w:numFmt w:val="bullet"/>
      <w:lvlText w:val="o"/>
      <w:lvlJc w:val="left"/>
      <w:pPr>
        <w:tabs>
          <w:tab w:val="num" w:pos="1440"/>
        </w:tabs>
        <w:ind w:left="1440" w:hanging="360"/>
      </w:pPr>
      <w:rPr>
        <w:rFonts w:ascii="Courier New" w:hAnsi="Courier New" w:cs="Courier New" w:hint="default"/>
      </w:rPr>
    </w:lvl>
    <w:lvl w:ilvl="2" w:tplc="041A001B">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343382"/>
    <w:multiLevelType w:val="hybridMultilevel"/>
    <w:tmpl w:val="7B9477D2"/>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16cid:durableId="392001610">
    <w:abstractNumId w:val="45"/>
  </w:num>
  <w:num w:numId="2" w16cid:durableId="1933275025">
    <w:abstractNumId w:val="43"/>
  </w:num>
  <w:num w:numId="3" w16cid:durableId="1339311115">
    <w:abstractNumId w:val="13"/>
  </w:num>
  <w:num w:numId="4" w16cid:durableId="630402999">
    <w:abstractNumId w:val="48"/>
  </w:num>
  <w:num w:numId="5" w16cid:durableId="827555805">
    <w:abstractNumId w:val="29"/>
  </w:num>
  <w:num w:numId="6" w16cid:durableId="1054355490">
    <w:abstractNumId w:val="16"/>
  </w:num>
  <w:num w:numId="7" w16cid:durableId="1081373241">
    <w:abstractNumId w:val="24"/>
  </w:num>
  <w:num w:numId="8" w16cid:durableId="146439918">
    <w:abstractNumId w:val="25"/>
  </w:num>
  <w:num w:numId="9" w16cid:durableId="1944997069">
    <w:abstractNumId w:val="22"/>
  </w:num>
  <w:num w:numId="10" w16cid:durableId="1508639395">
    <w:abstractNumId w:val="37"/>
  </w:num>
  <w:num w:numId="11" w16cid:durableId="71585766">
    <w:abstractNumId w:val="17"/>
  </w:num>
  <w:num w:numId="12" w16cid:durableId="293802539">
    <w:abstractNumId w:val="47"/>
  </w:num>
  <w:num w:numId="13" w16cid:durableId="1524592020">
    <w:abstractNumId w:val="12"/>
  </w:num>
  <w:num w:numId="14" w16cid:durableId="277879993">
    <w:abstractNumId w:val="33"/>
  </w:num>
  <w:num w:numId="15" w16cid:durableId="1512374614">
    <w:abstractNumId w:val="10"/>
  </w:num>
  <w:num w:numId="16" w16cid:durableId="1462308382">
    <w:abstractNumId w:val="40"/>
  </w:num>
  <w:num w:numId="17" w16cid:durableId="1884752888">
    <w:abstractNumId w:val="46"/>
  </w:num>
  <w:num w:numId="18" w16cid:durableId="627665940">
    <w:abstractNumId w:val="35"/>
  </w:num>
  <w:num w:numId="19" w16cid:durableId="299573572">
    <w:abstractNumId w:val="21"/>
  </w:num>
  <w:num w:numId="20" w16cid:durableId="1618948556">
    <w:abstractNumId w:val="34"/>
  </w:num>
  <w:num w:numId="21" w16cid:durableId="1744838721">
    <w:abstractNumId w:val="27"/>
  </w:num>
  <w:num w:numId="22" w16cid:durableId="354229069">
    <w:abstractNumId w:val="49"/>
  </w:num>
  <w:num w:numId="23" w16cid:durableId="1263875954">
    <w:abstractNumId w:val="20"/>
  </w:num>
  <w:num w:numId="24" w16cid:durableId="1624506416">
    <w:abstractNumId w:val="36"/>
  </w:num>
  <w:num w:numId="25" w16cid:durableId="1602106174">
    <w:abstractNumId w:val="26"/>
  </w:num>
  <w:num w:numId="26" w16cid:durableId="864097350">
    <w:abstractNumId w:val="4"/>
  </w:num>
  <w:num w:numId="27" w16cid:durableId="1463381506">
    <w:abstractNumId w:val="11"/>
  </w:num>
  <w:num w:numId="28" w16cid:durableId="920798296">
    <w:abstractNumId w:val="32"/>
  </w:num>
  <w:num w:numId="29" w16cid:durableId="1169100400">
    <w:abstractNumId w:val="15"/>
  </w:num>
  <w:num w:numId="30" w16cid:durableId="1910650977">
    <w:abstractNumId w:val="3"/>
  </w:num>
  <w:num w:numId="31" w16cid:durableId="1287353147">
    <w:abstractNumId w:val="44"/>
  </w:num>
  <w:num w:numId="32" w16cid:durableId="1190874492">
    <w:abstractNumId w:val="6"/>
  </w:num>
  <w:num w:numId="33" w16cid:durableId="636186136">
    <w:abstractNumId w:val="14"/>
  </w:num>
  <w:num w:numId="34" w16cid:durableId="19552166">
    <w:abstractNumId w:val="42"/>
  </w:num>
  <w:num w:numId="35" w16cid:durableId="1525553799">
    <w:abstractNumId w:val="38"/>
  </w:num>
  <w:num w:numId="36" w16cid:durableId="1129086040">
    <w:abstractNumId w:val="1"/>
  </w:num>
  <w:num w:numId="37" w16cid:durableId="529728171">
    <w:abstractNumId w:val="30"/>
  </w:num>
  <w:num w:numId="38" w16cid:durableId="604003479">
    <w:abstractNumId w:val="7"/>
  </w:num>
  <w:num w:numId="39" w16cid:durableId="1959023077">
    <w:abstractNumId w:val="18"/>
  </w:num>
  <w:num w:numId="40" w16cid:durableId="434206839">
    <w:abstractNumId w:val="19"/>
  </w:num>
  <w:num w:numId="41" w16cid:durableId="417138600">
    <w:abstractNumId w:val="2"/>
  </w:num>
  <w:num w:numId="42" w16cid:durableId="1659842734">
    <w:abstractNumId w:val="9"/>
  </w:num>
  <w:num w:numId="43" w16cid:durableId="1599171511">
    <w:abstractNumId w:val="31"/>
  </w:num>
  <w:num w:numId="44" w16cid:durableId="1407725142">
    <w:abstractNumId w:val="28"/>
  </w:num>
  <w:num w:numId="45" w16cid:durableId="1839610967">
    <w:abstractNumId w:val="23"/>
  </w:num>
  <w:num w:numId="46" w16cid:durableId="1488326643">
    <w:abstractNumId w:val="0"/>
  </w:num>
  <w:num w:numId="47" w16cid:durableId="315645124">
    <w:abstractNumId w:val="8"/>
  </w:num>
  <w:num w:numId="48" w16cid:durableId="1649897269">
    <w:abstractNumId w:val="41"/>
  </w:num>
  <w:num w:numId="49" w16cid:durableId="1129934208">
    <w:abstractNumId w:val="39"/>
  </w:num>
  <w:num w:numId="50" w16cid:durableId="1949047168">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6"/>
  <w:hyphenationZone w:val="425"/>
  <w:drawingGridHorizontalSpacing w:val="100"/>
  <w:displayHorizontalDrawingGridEvery w:val="2"/>
  <w:noPunctuationKerning/>
  <w:characterSpacingControl w:val="doNotCompress"/>
  <w:hdrShapeDefaults>
    <o:shapedefaults v:ext="edit" spidmax="241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C7"/>
    <w:rsid w:val="0000039C"/>
    <w:rsid w:val="00000690"/>
    <w:rsid w:val="00000B72"/>
    <w:rsid w:val="00000E8D"/>
    <w:rsid w:val="0000115B"/>
    <w:rsid w:val="00001325"/>
    <w:rsid w:val="00001679"/>
    <w:rsid w:val="00001A31"/>
    <w:rsid w:val="00001AA1"/>
    <w:rsid w:val="00001F8E"/>
    <w:rsid w:val="00002079"/>
    <w:rsid w:val="000023C7"/>
    <w:rsid w:val="0000339A"/>
    <w:rsid w:val="00003CBF"/>
    <w:rsid w:val="00004622"/>
    <w:rsid w:val="00004629"/>
    <w:rsid w:val="00004DED"/>
    <w:rsid w:val="00004E11"/>
    <w:rsid w:val="00004FFB"/>
    <w:rsid w:val="0000540E"/>
    <w:rsid w:val="00005CC3"/>
    <w:rsid w:val="000062ED"/>
    <w:rsid w:val="000064DD"/>
    <w:rsid w:val="000066AD"/>
    <w:rsid w:val="00006A34"/>
    <w:rsid w:val="000071B7"/>
    <w:rsid w:val="00007962"/>
    <w:rsid w:val="00007F22"/>
    <w:rsid w:val="00010399"/>
    <w:rsid w:val="000106D6"/>
    <w:rsid w:val="000106FE"/>
    <w:rsid w:val="00010A56"/>
    <w:rsid w:val="00010ED3"/>
    <w:rsid w:val="000115FF"/>
    <w:rsid w:val="00011849"/>
    <w:rsid w:val="000118B6"/>
    <w:rsid w:val="0001194A"/>
    <w:rsid w:val="00012087"/>
    <w:rsid w:val="0001264F"/>
    <w:rsid w:val="0001272E"/>
    <w:rsid w:val="00012AB8"/>
    <w:rsid w:val="00012E3A"/>
    <w:rsid w:val="00012E60"/>
    <w:rsid w:val="00012F4A"/>
    <w:rsid w:val="00012FBD"/>
    <w:rsid w:val="00014849"/>
    <w:rsid w:val="00014B2A"/>
    <w:rsid w:val="00014C04"/>
    <w:rsid w:val="00014CA7"/>
    <w:rsid w:val="00014E1F"/>
    <w:rsid w:val="000153E2"/>
    <w:rsid w:val="000157CA"/>
    <w:rsid w:val="000158AD"/>
    <w:rsid w:val="00015B5B"/>
    <w:rsid w:val="000160E6"/>
    <w:rsid w:val="000162B7"/>
    <w:rsid w:val="0001796D"/>
    <w:rsid w:val="00017C42"/>
    <w:rsid w:val="00017D11"/>
    <w:rsid w:val="00017DB9"/>
    <w:rsid w:val="00020455"/>
    <w:rsid w:val="00020692"/>
    <w:rsid w:val="000214A1"/>
    <w:rsid w:val="00021824"/>
    <w:rsid w:val="000219D0"/>
    <w:rsid w:val="00021A76"/>
    <w:rsid w:val="00022687"/>
    <w:rsid w:val="00022F30"/>
    <w:rsid w:val="00023AD5"/>
    <w:rsid w:val="0002405E"/>
    <w:rsid w:val="0002452F"/>
    <w:rsid w:val="00024530"/>
    <w:rsid w:val="00024870"/>
    <w:rsid w:val="000248C1"/>
    <w:rsid w:val="00024B0E"/>
    <w:rsid w:val="00024FA7"/>
    <w:rsid w:val="00024FB9"/>
    <w:rsid w:val="0002530B"/>
    <w:rsid w:val="00025433"/>
    <w:rsid w:val="00025524"/>
    <w:rsid w:val="00025E5A"/>
    <w:rsid w:val="000264EF"/>
    <w:rsid w:val="00026A71"/>
    <w:rsid w:val="000302B9"/>
    <w:rsid w:val="00030394"/>
    <w:rsid w:val="00030C2B"/>
    <w:rsid w:val="00030D68"/>
    <w:rsid w:val="000313FD"/>
    <w:rsid w:val="0003185C"/>
    <w:rsid w:val="00031D41"/>
    <w:rsid w:val="00031D89"/>
    <w:rsid w:val="000320F8"/>
    <w:rsid w:val="0003244A"/>
    <w:rsid w:val="00032764"/>
    <w:rsid w:val="00034097"/>
    <w:rsid w:val="000340C2"/>
    <w:rsid w:val="00034692"/>
    <w:rsid w:val="000348F9"/>
    <w:rsid w:val="00034DB8"/>
    <w:rsid w:val="00035311"/>
    <w:rsid w:val="00035399"/>
    <w:rsid w:val="00035620"/>
    <w:rsid w:val="00036B55"/>
    <w:rsid w:val="00036D19"/>
    <w:rsid w:val="00036E7C"/>
    <w:rsid w:val="00036EB2"/>
    <w:rsid w:val="000371B6"/>
    <w:rsid w:val="00037ED0"/>
    <w:rsid w:val="00037FB1"/>
    <w:rsid w:val="000400A7"/>
    <w:rsid w:val="00040452"/>
    <w:rsid w:val="00040AF6"/>
    <w:rsid w:val="000414F3"/>
    <w:rsid w:val="00041500"/>
    <w:rsid w:val="000417CC"/>
    <w:rsid w:val="00041C2E"/>
    <w:rsid w:val="00041D01"/>
    <w:rsid w:val="0004242C"/>
    <w:rsid w:val="000428A1"/>
    <w:rsid w:val="00042993"/>
    <w:rsid w:val="00042BF0"/>
    <w:rsid w:val="00043100"/>
    <w:rsid w:val="0004356D"/>
    <w:rsid w:val="00043F66"/>
    <w:rsid w:val="0004449A"/>
    <w:rsid w:val="00044753"/>
    <w:rsid w:val="00044C2B"/>
    <w:rsid w:val="00044ED7"/>
    <w:rsid w:val="00045367"/>
    <w:rsid w:val="0004590F"/>
    <w:rsid w:val="00045D85"/>
    <w:rsid w:val="00046497"/>
    <w:rsid w:val="00046815"/>
    <w:rsid w:val="00046CD2"/>
    <w:rsid w:val="00046FD7"/>
    <w:rsid w:val="00047C3B"/>
    <w:rsid w:val="00047D16"/>
    <w:rsid w:val="00047FAA"/>
    <w:rsid w:val="000502D4"/>
    <w:rsid w:val="00050824"/>
    <w:rsid w:val="00050970"/>
    <w:rsid w:val="000516F0"/>
    <w:rsid w:val="00051D72"/>
    <w:rsid w:val="00052A33"/>
    <w:rsid w:val="00052E53"/>
    <w:rsid w:val="00053054"/>
    <w:rsid w:val="0005316E"/>
    <w:rsid w:val="00053196"/>
    <w:rsid w:val="00053806"/>
    <w:rsid w:val="000538D4"/>
    <w:rsid w:val="00053ABA"/>
    <w:rsid w:val="00053C22"/>
    <w:rsid w:val="00053CEE"/>
    <w:rsid w:val="000540BA"/>
    <w:rsid w:val="000542CB"/>
    <w:rsid w:val="00054B93"/>
    <w:rsid w:val="00055030"/>
    <w:rsid w:val="000554F9"/>
    <w:rsid w:val="00055975"/>
    <w:rsid w:val="000570A1"/>
    <w:rsid w:val="0005717D"/>
    <w:rsid w:val="0005784D"/>
    <w:rsid w:val="000579E9"/>
    <w:rsid w:val="00057AF0"/>
    <w:rsid w:val="00060D48"/>
    <w:rsid w:val="000617E6"/>
    <w:rsid w:val="00061A78"/>
    <w:rsid w:val="00061B83"/>
    <w:rsid w:val="00061EE9"/>
    <w:rsid w:val="000620F1"/>
    <w:rsid w:val="00062239"/>
    <w:rsid w:val="000623DA"/>
    <w:rsid w:val="00062667"/>
    <w:rsid w:val="00062C81"/>
    <w:rsid w:val="00062DF9"/>
    <w:rsid w:val="00062E08"/>
    <w:rsid w:val="0006327E"/>
    <w:rsid w:val="00064951"/>
    <w:rsid w:val="000649A3"/>
    <w:rsid w:val="00064AB0"/>
    <w:rsid w:val="0006500D"/>
    <w:rsid w:val="0006518D"/>
    <w:rsid w:val="0006566D"/>
    <w:rsid w:val="00065BC6"/>
    <w:rsid w:val="00065D58"/>
    <w:rsid w:val="00066294"/>
    <w:rsid w:val="00066CED"/>
    <w:rsid w:val="00067806"/>
    <w:rsid w:val="00067F49"/>
    <w:rsid w:val="000703E2"/>
    <w:rsid w:val="000706C7"/>
    <w:rsid w:val="000707FF"/>
    <w:rsid w:val="00070847"/>
    <w:rsid w:val="00071060"/>
    <w:rsid w:val="000713B4"/>
    <w:rsid w:val="00072272"/>
    <w:rsid w:val="00072525"/>
    <w:rsid w:val="00072676"/>
    <w:rsid w:val="00072E0D"/>
    <w:rsid w:val="00073252"/>
    <w:rsid w:val="000732A2"/>
    <w:rsid w:val="000733F7"/>
    <w:rsid w:val="00073A83"/>
    <w:rsid w:val="00073C12"/>
    <w:rsid w:val="000744FF"/>
    <w:rsid w:val="00074C0D"/>
    <w:rsid w:val="0007579C"/>
    <w:rsid w:val="00075945"/>
    <w:rsid w:val="00075BAC"/>
    <w:rsid w:val="00075C40"/>
    <w:rsid w:val="00075F3B"/>
    <w:rsid w:val="00076132"/>
    <w:rsid w:val="0007697D"/>
    <w:rsid w:val="00076E0C"/>
    <w:rsid w:val="00076E21"/>
    <w:rsid w:val="000770B5"/>
    <w:rsid w:val="0007785B"/>
    <w:rsid w:val="00080A74"/>
    <w:rsid w:val="00080BC0"/>
    <w:rsid w:val="00080F65"/>
    <w:rsid w:val="00080F69"/>
    <w:rsid w:val="00081222"/>
    <w:rsid w:val="00081271"/>
    <w:rsid w:val="000812F8"/>
    <w:rsid w:val="0008167B"/>
    <w:rsid w:val="0008257F"/>
    <w:rsid w:val="00082779"/>
    <w:rsid w:val="00083246"/>
    <w:rsid w:val="0008356E"/>
    <w:rsid w:val="00083CEE"/>
    <w:rsid w:val="00083DEC"/>
    <w:rsid w:val="00083F67"/>
    <w:rsid w:val="00083FA9"/>
    <w:rsid w:val="000841BE"/>
    <w:rsid w:val="0008479D"/>
    <w:rsid w:val="00084C16"/>
    <w:rsid w:val="000854A9"/>
    <w:rsid w:val="00085727"/>
    <w:rsid w:val="000858AA"/>
    <w:rsid w:val="000859A4"/>
    <w:rsid w:val="000861FA"/>
    <w:rsid w:val="0008629F"/>
    <w:rsid w:val="00087367"/>
    <w:rsid w:val="00087584"/>
    <w:rsid w:val="00087817"/>
    <w:rsid w:val="00090E24"/>
    <w:rsid w:val="00091144"/>
    <w:rsid w:val="00091972"/>
    <w:rsid w:val="00091E13"/>
    <w:rsid w:val="0009238D"/>
    <w:rsid w:val="00092A1D"/>
    <w:rsid w:val="00092B07"/>
    <w:rsid w:val="00093209"/>
    <w:rsid w:val="00093785"/>
    <w:rsid w:val="0009417C"/>
    <w:rsid w:val="00094B32"/>
    <w:rsid w:val="00094FB4"/>
    <w:rsid w:val="0009591C"/>
    <w:rsid w:val="000965E2"/>
    <w:rsid w:val="00096881"/>
    <w:rsid w:val="0009695F"/>
    <w:rsid w:val="00096B85"/>
    <w:rsid w:val="00096E0F"/>
    <w:rsid w:val="00096F1E"/>
    <w:rsid w:val="00096F74"/>
    <w:rsid w:val="00097625"/>
    <w:rsid w:val="000977A5"/>
    <w:rsid w:val="0009785F"/>
    <w:rsid w:val="000A14CC"/>
    <w:rsid w:val="000A14DB"/>
    <w:rsid w:val="000A1807"/>
    <w:rsid w:val="000A1AD7"/>
    <w:rsid w:val="000A22E1"/>
    <w:rsid w:val="000A2C1E"/>
    <w:rsid w:val="000A2EDF"/>
    <w:rsid w:val="000A355C"/>
    <w:rsid w:val="000A397F"/>
    <w:rsid w:val="000A39B0"/>
    <w:rsid w:val="000A3A1D"/>
    <w:rsid w:val="000A3A8A"/>
    <w:rsid w:val="000A3E4B"/>
    <w:rsid w:val="000A4444"/>
    <w:rsid w:val="000A448A"/>
    <w:rsid w:val="000A4539"/>
    <w:rsid w:val="000A47E8"/>
    <w:rsid w:val="000A5315"/>
    <w:rsid w:val="000A5490"/>
    <w:rsid w:val="000A5989"/>
    <w:rsid w:val="000A5A5B"/>
    <w:rsid w:val="000A5DDA"/>
    <w:rsid w:val="000A5EF5"/>
    <w:rsid w:val="000A5F6A"/>
    <w:rsid w:val="000A73AB"/>
    <w:rsid w:val="000A763E"/>
    <w:rsid w:val="000A76C5"/>
    <w:rsid w:val="000A7722"/>
    <w:rsid w:val="000A7774"/>
    <w:rsid w:val="000A77EA"/>
    <w:rsid w:val="000A7F02"/>
    <w:rsid w:val="000B0253"/>
    <w:rsid w:val="000B03CD"/>
    <w:rsid w:val="000B0A13"/>
    <w:rsid w:val="000B1123"/>
    <w:rsid w:val="000B155C"/>
    <w:rsid w:val="000B187E"/>
    <w:rsid w:val="000B1938"/>
    <w:rsid w:val="000B1B0D"/>
    <w:rsid w:val="000B2C5A"/>
    <w:rsid w:val="000B2EC8"/>
    <w:rsid w:val="000B36F8"/>
    <w:rsid w:val="000B3942"/>
    <w:rsid w:val="000B3C42"/>
    <w:rsid w:val="000B3C5C"/>
    <w:rsid w:val="000B3E81"/>
    <w:rsid w:val="000B413F"/>
    <w:rsid w:val="000B4743"/>
    <w:rsid w:val="000B51C5"/>
    <w:rsid w:val="000B6482"/>
    <w:rsid w:val="000B6E19"/>
    <w:rsid w:val="000B7041"/>
    <w:rsid w:val="000B712B"/>
    <w:rsid w:val="000B71D6"/>
    <w:rsid w:val="000B73F2"/>
    <w:rsid w:val="000B75F6"/>
    <w:rsid w:val="000B7627"/>
    <w:rsid w:val="000B7858"/>
    <w:rsid w:val="000B7B30"/>
    <w:rsid w:val="000B7C62"/>
    <w:rsid w:val="000C0024"/>
    <w:rsid w:val="000C0114"/>
    <w:rsid w:val="000C0165"/>
    <w:rsid w:val="000C0516"/>
    <w:rsid w:val="000C078B"/>
    <w:rsid w:val="000C0C06"/>
    <w:rsid w:val="000C2338"/>
    <w:rsid w:val="000C286B"/>
    <w:rsid w:val="000C2D8E"/>
    <w:rsid w:val="000C2F10"/>
    <w:rsid w:val="000C2F3F"/>
    <w:rsid w:val="000C325E"/>
    <w:rsid w:val="000C3347"/>
    <w:rsid w:val="000C35FD"/>
    <w:rsid w:val="000C3B84"/>
    <w:rsid w:val="000C3BE8"/>
    <w:rsid w:val="000C4062"/>
    <w:rsid w:val="000C4865"/>
    <w:rsid w:val="000C4C0C"/>
    <w:rsid w:val="000C4C8B"/>
    <w:rsid w:val="000C4FF3"/>
    <w:rsid w:val="000C55BB"/>
    <w:rsid w:val="000C574E"/>
    <w:rsid w:val="000C5EF1"/>
    <w:rsid w:val="000C6135"/>
    <w:rsid w:val="000C71AE"/>
    <w:rsid w:val="000C7514"/>
    <w:rsid w:val="000C78E8"/>
    <w:rsid w:val="000C7C28"/>
    <w:rsid w:val="000C7D20"/>
    <w:rsid w:val="000D05A9"/>
    <w:rsid w:val="000D0AFB"/>
    <w:rsid w:val="000D0FC0"/>
    <w:rsid w:val="000D177A"/>
    <w:rsid w:val="000D18B0"/>
    <w:rsid w:val="000D1C67"/>
    <w:rsid w:val="000D1E45"/>
    <w:rsid w:val="000D1F5F"/>
    <w:rsid w:val="000D21A8"/>
    <w:rsid w:val="000D21E6"/>
    <w:rsid w:val="000D2CA2"/>
    <w:rsid w:val="000D34AF"/>
    <w:rsid w:val="000D3823"/>
    <w:rsid w:val="000D42FA"/>
    <w:rsid w:val="000D4B71"/>
    <w:rsid w:val="000D54BD"/>
    <w:rsid w:val="000D5568"/>
    <w:rsid w:val="000D5761"/>
    <w:rsid w:val="000D59EF"/>
    <w:rsid w:val="000D5A09"/>
    <w:rsid w:val="000D5BED"/>
    <w:rsid w:val="000D6C35"/>
    <w:rsid w:val="000D6E26"/>
    <w:rsid w:val="000D768F"/>
    <w:rsid w:val="000D77BE"/>
    <w:rsid w:val="000D7D8A"/>
    <w:rsid w:val="000E0078"/>
    <w:rsid w:val="000E05BB"/>
    <w:rsid w:val="000E09D1"/>
    <w:rsid w:val="000E0FD3"/>
    <w:rsid w:val="000E1BED"/>
    <w:rsid w:val="000E1E0E"/>
    <w:rsid w:val="000E2192"/>
    <w:rsid w:val="000E2481"/>
    <w:rsid w:val="000E27B0"/>
    <w:rsid w:val="000E2AE3"/>
    <w:rsid w:val="000E2E32"/>
    <w:rsid w:val="000E3064"/>
    <w:rsid w:val="000E3596"/>
    <w:rsid w:val="000E413C"/>
    <w:rsid w:val="000E42AE"/>
    <w:rsid w:val="000E4657"/>
    <w:rsid w:val="000E4799"/>
    <w:rsid w:val="000E47F7"/>
    <w:rsid w:val="000E499D"/>
    <w:rsid w:val="000E4EC2"/>
    <w:rsid w:val="000E50DA"/>
    <w:rsid w:val="000E54B4"/>
    <w:rsid w:val="000E5ADC"/>
    <w:rsid w:val="000E6142"/>
    <w:rsid w:val="000E622E"/>
    <w:rsid w:val="000E6585"/>
    <w:rsid w:val="000E6C68"/>
    <w:rsid w:val="000E6D8B"/>
    <w:rsid w:val="000E7529"/>
    <w:rsid w:val="000E78D3"/>
    <w:rsid w:val="000F017F"/>
    <w:rsid w:val="000F032B"/>
    <w:rsid w:val="000F035B"/>
    <w:rsid w:val="000F0500"/>
    <w:rsid w:val="000F22CD"/>
    <w:rsid w:val="000F2794"/>
    <w:rsid w:val="000F2D45"/>
    <w:rsid w:val="000F43FB"/>
    <w:rsid w:val="000F484B"/>
    <w:rsid w:val="000F4FD6"/>
    <w:rsid w:val="000F53DF"/>
    <w:rsid w:val="000F5566"/>
    <w:rsid w:val="000F5954"/>
    <w:rsid w:val="000F5D48"/>
    <w:rsid w:val="000F6C13"/>
    <w:rsid w:val="000F6CB9"/>
    <w:rsid w:val="000F6D08"/>
    <w:rsid w:val="000F6F03"/>
    <w:rsid w:val="000F706E"/>
    <w:rsid w:val="000F730D"/>
    <w:rsid w:val="000F7319"/>
    <w:rsid w:val="001004CD"/>
    <w:rsid w:val="001006AF"/>
    <w:rsid w:val="00100997"/>
    <w:rsid w:val="001009BA"/>
    <w:rsid w:val="001013BD"/>
    <w:rsid w:val="001013D3"/>
    <w:rsid w:val="001015E0"/>
    <w:rsid w:val="00101827"/>
    <w:rsid w:val="001018A7"/>
    <w:rsid w:val="00101B55"/>
    <w:rsid w:val="0010202B"/>
    <w:rsid w:val="00102434"/>
    <w:rsid w:val="001025EF"/>
    <w:rsid w:val="00102A86"/>
    <w:rsid w:val="00102BC1"/>
    <w:rsid w:val="00103521"/>
    <w:rsid w:val="00103D87"/>
    <w:rsid w:val="00103FA1"/>
    <w:rsid w:val="0010442F"/>
    <w:rsid w:val="00104466"/>
    <w:rsid w:val="00104706"/>
    <w:rsid w:val="00105162"/>
    <w:rsid w:val="00105D8B"/>
    <w:rsid w:val="00105E5A"/>
    <w:rsid w:val="00106083"/>
    <w:rsid w:val="0010631F"/>
    <w:rsid w:val="00106581"/>
    <w:rsid w:val="0010668B"/>
    <w:rsid w:val="0010733B"/>
    <w:rsid w:val="00107473"/>
    <w:rsid w:val="001074BF"/>
    <w:rsid w:val="0010753B"/>
    <w:rsid w:val="001078BC"/>
    <w:rsid w:val="001078E0"/>
    <w:rsid w:val="001079CF"/>
    <w:rsid w:val="00107C22"/>
    <w:rsid w:val="00107FE7"/>
    <w:rsid w:val="001103FC"/>
    <w:rsid w:val="001119BD"/>
    <w:rsid w:val="00112CCB"/>
    <w:rsid w:val="00112E28"/>
    <w:rsid w:val="00113121"/>
    <w:rsid w:val="001134B0"/>
    <w:rsid w:val="001134E1"/>
    <w:rsid w:val="001135B9"/>
    <w:rsid w:val="00113F6C"/>
    <w:rsid w:val="0011457D"/>
    <w:rsid w:val="00114C04"/>
    <w:rsid w:val="00115679"/>
    <w:rsid w:val="00115B39"/>
    <w:rsid w:val="00115CB5"/>
    <w:rsid w:val="00115FFA"/>
    <w:rsid w:val="00117CF9"/>
    <w:rsid w:val="00120074"/>
    <w:rsid w:val="001202AC"/>
    <w:rsid w:val="00120443"/>
    <w:rsid w:val="00121276"/>
    <w:rsid w:val="001217CC"/>
    <w:rsid w:val="00122DF2"/>
    <w:rsid w:val="001237FA"/>
    <w:rsid w:val="001238E7"/>
    <w:rsid w:val="00124284"/>
    <w:rsid w:val="00124D62"/>
    <w:rsid w:val="00124F1B"/>
    <w:rsid w:val="00124F70"/>
    <w:rsid w:val="001251F7"/>
    <w:rsid w:val="001252B7"/>
    <w:rsid w:val="001258BC"/>
    <w:rsid w:val="001259D3"/>
    <w:rsid w:val="00125A0A"/>
    <w:rsid w:val="00125A9A"/>
    <w:rsid w:val="001260BC"/>
    <w:rsid w:val="001261C6"/>
    <w:rsid w:val="00126735"/>
    <w:rsid w:val="00126841"/>
    <w:rsid w:val="00126BD5"/>
    <w:rsid w:val="00126D6E"/>
    <w:rsid w:val="00126E9E"/>
    <w:rsid w:val="001307BE"/>
    <w:rsid w:val="001309CE"/>
    <w:rsid w:val="00130BB4"/>
    <w:rsid w:val="001310A4"/>
    <w:rsid w:val="0013149A"/>
    <w:rsid w:val="00131616"/>
    <w:rsid w:val="001316CC"/>
    <w:rsid w:val="001318F3"/>
    <w:rsid w:val="00132140"/>
    <w:rsid w:val="0013232F"/>
    <w:rsid w:val="0013275D"/>
    <w:rsid w:val="00132899"/>
    <w:rsid w:val="00133204"/>
    <w:rsid w:val="0013348E"/>
    <w:rsid w:val="00134729"/>
    <w:rsid w:val="00134C46"/>
    <w:rsid w:val="0013541E"/>
    <w:rsid w:val="001357B8"/>
    <w:rsid w:val="001358BF"/>
    <w:rsid w:val="00136164"/>
    <w:rsid w:val="00136A4E"/>
    <w:rsid w:val="00136C3E"/>
    <w:rsid w:val="00136CD1"/>
    <w:rsid w:val="00136D53"/>
    <w:rsid w:val="00136FDF"/>
    <w:rsid w:val="001370AE"/>
    <w:rsid w:val="00137448"/>
    <w:rsid w:val="00137BA5"/>
    <w:rsid w:val="00137D0D"/>
    <w:rsid w:val="00140483"/>
    <w:rsid w:val="001406A0"/>
    <w:rsid w:val="0014074E"/>
    <w:rsid w:val="00140DBD"/>
    <w:rsid w:val="00141271"/>
    <w:rsid w:val="001419EB"/>
    <w:rsid w:val="00141B0E"/>
    <w:rsid w:val="00141F89"/>
    <w:rsid w:val="00141F96"/>
    <w:rsid w:val="001425F5"/>
    <w:rsid w:val="001426D9"/>
    <w:rsid w:val="001427F3"/>
    <w:rsid w:val="0014350A"/>
    <w:rsid w:val="001438A4"/>
    <w:rsid w:val="001438B5"/>
    <w:rsid w:val="00143A2C"/>
    <w:rsid w:val="001449E6"/>
    <w:rsid w:val="00145125"/>
    <w:rsid w:val="0014523E"/>
    <w:rsid w:val="001453C1"/>
    <w:rsid w:val="00145B5C"/>
    <w:rsid w:val="00145DE9"/>
    <w:rsid w:val="00146860"/>
    <w:rsid w:val="00146C61"/>
    <w:rsid w:val="00146F4A"/>
    <w:rsid w:val="0014712A"/>
    <w:rsid w:val="001471A7"/>
    <w:rsid w:val="001478E1"/>
    <w:rsid w:val="00147989"/>
    <w:rsid w:val="00147B93"/>
    <w:rsid w:val="001500B9"/>
    <w:rsid w:val="001509F5"/>
    <w:rsid w:val="0015186D"/>
    <w:rsid w:val="00151D95"/>
    <w:rsid w:val="00151E16"/>
    <w:rsid w:val="00151FCA"/>
    <w:rsid w:val="00152FAA"/>
    <w:rsid w:val="00153412"/>
    <w:rsid w:val="00153EAC"/>
    <w:rsid w:val="0015406F"/>
    <w:rsid w:val="001546B6"/>
    <w:rsid w:val="00154AC9"/>
    <w:rsid w:val="00155326"/>
    <w:rsid w:val="00155601"/>
    <w:rsid w:val="0015567F"/>
    <w:rsid w:val="00155831"/>
    <w:rsid w:val="0015588C"/>
    <w:rsid w:val="00155E25"/>
    <w:rsid w:val="00156175"/>
    <w:rsid w:val="00156189"/>
    <w:rsid w:val="001604A5"/>
    <w:rsid w:val="001604AE"/>
    <w:rsid w:val="001605BF"/>
    <w:rsid w:val="00160A75"/>
    <w:rsid w:val="00160C37"/>
    <w:rsid w:val="00161797"/>
    <w:rsid w:val="001624A1"/>
    <w:rsid w:val="00162614"/>
    <w:rsid w:val="00163652"/>
    <w:rsid w:val="00163787"/>
    <w:rsid w:val="001639BF"/>
    <w:rsid w:val="00163E3D"/>
    <w:rsid w:val="0016407E"/>
    <w:rsid w:val="00164A43"/>
    <w:rsid w:val="00164BBC"/>
    <w:rsid w:val="001652BE"/>
    <w:rsid w:val="00165CF3"/>
    <w:rsid w:val="00166028"/>
    <w:rsid w:val="00166422"/>
    <w:rsid w:val="00166842"/>
    <w:rsid w:val="00166BEE"/>
    <w:rsid w:val="00166F58"/>
    <w:rsid w:val="00167C9E"/>
    <w:rsid w:val="00167E5A"/>
    <w:rsid w:val="00170248"/>
    <w:rsid w:val="001707CF"/>
    <w:rsid w:val="00170820"/>
    <w:rsid w:val="00170995"/>
    <w:rsid w:val="00170B71"/>
    <w:rsid w:val="00170D0B"/>
    <w:rsid w:val="001710CA"/>
    <w:rsid w:val="00171258"/>
    <w:rsid w:val="00171386"/>
    <w:rsid w:val="00171E96"/>
    <w:rsid w:val="00172071"/>
    <w:rsid w:val="00172214"/>
    <w:rsid w:val="00172795"/>
    <w:rsid w:val="00172828"/>
    <w:rsid w:val="001729BD"/>
    <w:rsid w:val="00172A83"/>
    <w:rsid w:val="00172E5F"/>
    <w:rsid w:val="00173572"/>
    <w:rsid w:val="00173598"/>
    <w:rsid w:val="001739BB"/>
    <w:rsid w:val="00173B84"/>
    <w:rsid w:val="00173C8B"/>
    <w:rsid w:val="0017437D"/>
    <w:rsid w:val="001748AB"/>
    <w:rsid w:val="00175E46"/>
    <w:rsid w:val="00175FB9"/>
    <w:rsid w:val="00176A66"/>
    <w:rsid w:val="00176DB7"/>
    <w:rsid w:val="00177267"/>
    <w:rsid w:val="0017788A"/>
    <w:rsid w:val="00177913"/>
    <w:rsid w:val="00177A25"/>
    <w:rsid w:val="00177A2C"/>
    <w:rsid w:val="00177B1B"/>
    <w:rsid w:val="00177B56"/>
    <w:rsid w:val="0018051B"/>
    <w:rsid w:val="001807A0"/>
    <w:rsid w:val="001808B3"/>
    <w:rsid w:val="001809F7"/>
    <w:rsid w:val="00180D24"/>
    <w:rsid w:val="001810A0"/>
    <w:rsid w:val="00181C2E"/>
    <w:rsid w:val="001824D3"/>
    <w:rsid w:val="00182538"/>
    <w:rsid w:val="001825B1"/>
    <w:rsid w:val="001829E6"/>
    <w:rsid w:val="00182DA3"/>
    <w:rsid w:val="001833CB"/>
    <w:rsid w:val="00183777"/>
    <w:rsid w:val="00183E7A"/>
    <w:rsid w:val="0018444B"/>
    <w:rsid w:val="00184828"/>
    <w:rsid w:val="001848EB"/>
    <w:rsid w:val="001856D5"/>
    <w:rsid w:val="00185883"/>
    <w:rsid w:val="00186D8B"/>
    <w:rsid w:val="00186F2D"/>
    <w:rsid w:val="00187534"/>
    <w:rsid w:val="00187769"/>
    <w:rsid w:val="00187965"/>
    <w:rsid w:val="00187E49"/>
    <w:rsid w:val="00190384"/>
    <w:rsid w:val="00190B3B"/>
    <w:rsid w:val="00190B96"/>
    <w:rsid w:val="00190BB2"/>
    <w:rsid w:val="00191890"/>
    <w:rsid w:val="00191BA7"/>
    <w:rsid w:val="0019204C"/>
    <w:rsid w:val="0019232B"/>
    <w:rsid w:val="0019232C"/>
    <w:rsid w:val="00192A46"/>
    <w:rsid w:val="00192BA1"/>
    <w:rsid w:val="00192E58"/>
    <w:rsid w:val="00193395"/>
    <w:rsid w:val="00193405"/>
    <w:rsid w:val="00193698"/>
    <w:rsid w:val="001937FC"/>
    <w:rsid w:val="00193875"/>
    <w:rsid w:val="0019418B"/>
    <w:rsid w:val="001943A6"/>
    <w:rsid w:val="00194516"/>
    <w:rsid w:val="0019477C"/>
    <w:rsid w:val="00194D14"/>
    <w:rsid w:val="00194E68"/>
    <w:rsid w:val="00194F1A"/>
    <w:rsid w:val="00195664"/>
    <w:rsid w:val="001956AF"/>
    <w:rsid w:val="0019575C"/>
    <w:rsid w:val="001962B6"/>
    <w:rsid w:val="0019715B"/>
    <w:rsid w:val="00197425"/>
    <w:rsid w:val="00197E6F"/>
    <w:rsid w:val="00197F87"/>
    <w:rsid w:val="001A01DC"/>
    <w:rsid w:val="001A029E"/>
    <w:rsid w:val="001A0781"/>
    <w:rsid w:val="001A07C5"/>
    <w:rsid w:val="001A0F39"/>
    <w:rsid w:val="001A15D3"/>
    <w:rsid w:val="001A166B"/>
    <w:rsid w:val="001A1E56"/>
    <w:rsid w:val="001A23DA"/>
    <w:rsid w:val="001A2460"/>
    <w:rsid w:val="001A2762"/>
    <w:rsid w:val="001A31B5"/>
    <w:rsid w:val="001A36F0"/>
    <w:rsid w:val="001A3789"/>
    <w:rsid w:val="001A3F32"/>
    <w:rsid w:val="001A4560"/>
    <w:rsid w:val="001A45DA"/>
    <w:rsid w:val="001A4B47"/>
    <w:rsid w:val="001A51B6"/>
    <w:rsid w:val="001A534E"/>
    <w:rsid w:val="001A5359"/>
    <w:rsid w:val="001A56C8"/>
    <w:rsid w:val="001A5F88"/>
    <w:rsid w:val="001A61AB"/>
    <w:rsid w:val="001A6296"/>
    <w:rsid w:val="001A6FEF"/>
    <w:rsid w:val="001A7AC9"/>
    <w:rsid w:val="001A7C9C"/>
    <w:rsid w:val="001A7DAD"/>
    <w:rsid w:val="001B008F"/>
    <w:rsid w:val="001B0246"/>
    <w:rsid w:val="001B048A"/>
    <w:rsid w:val="001B04D2"/>
    <w:rsid w:val="001B0719"/>
    <w:rsid w:val="001B09B3"/>
    <w:rsid w:val="001B0A07"/>
    <w:rsid w:val="001B1427"/>
    <w:rsid w:val="001B16A8"/>
    <w:rsid w:val="001B1911"/>
    <w:rsid w:val="001B1C85"/>
    <w:rsid w:val="001B1F91"/>
    <w:rsid w:val="001B1FE0"/>
    <w:rsid w:val="001B2871"/>
    <w:rsid w:val="001B2EA6"/>
    <w:rsid w:val="001B34A8"/>
    <w:rsid w:val="001B398F"/>
    <w:rsid w:val="001B3AE5"/>
    <w:rsid w:val="001B3B50"/>
    <w:rsid w:val="001B3C04"/>
    <w:rsid w:val="001B3C3E"/>
    <w:rsid w:val="001B4308"/>
    <w:rsid w:val="001B466C"/>
    <w:rsid w:val="001B4A06"/>
    <w:rsid w:val="001B54D5"/>
    <w:rsid w:val="001B5F04"/>
    <w:rsid w:val="001B63B2"/>
    <w:rsid w:val="001B6699"/>
    <w:rsid w:val="001B690C"/>
    <w:rsid w:val="001B6E47"/>
    <w:rsid w:val="001B7286"/>
    <w:rsid w:val="001B72B0"/>
    <w:rsid w:val="001B77EA"/>
    <w:rsid w:val="001B7DCA"/>
    <w:rsid w:val="001C0640"/>
    <w:rsid w:val="001C16F1"/>
    <w:rsid w:val="001C1842"/>
    <w:rsid w:val="001C1D18"/>
    <w:rsid w:val="001C20DD"/>
    <w:rsid w:val="001C3B94"/>
    <w:rsid w:val="001C3D62"/>
    <w:rsid w:val="001C46A9"/>
    <w:rsid w:val="001C480B"/>
    <w:rsid w:val="001C4DB2"/>
    <w:rsid w:val="001C56D2"/>
    <w:rsid w:val="001C5AAB"/>
    <w:rsid w:val="001C5B52"/>
    <w:rsid w:val="001C6317"/>
    <w:rsid w:val="001C64F8"/>
    <w:rsid w:val="001C6A03"/>
    <w:rsid w:val="001C72BA"/>
    <w:rsid w:val="001C7CDE"/>
    <w:rsid w:val="001D060B"/>
    <w:rsid w:val="001D0C5A"/>
    <w:rsid w:val="001D1A6E"/>
    <w:rsid w:val="001D1DB1"/>
    <w:rsid w:val="001D2193"/>
    <w:rsid w:val="001D228D"/>
    <w:rsid w:val="001D24FD"/>
    <w:rsid w:val="001D2790"/>
    <w:rsid w:val="001D2A53"/>
    <w:rsid w:val="001D2B3F"/>
    <w:rsid w:val="001D2E14"/>
    <w:rsid w:val="001D33D0"/>
    <w:rsid w:val="001D3BF8"/>
    <w:rsid w:val="001D3F03"/>
    <w:rsid w:val="001D4A53"/>
    <w:rsid w:val="001D557E"/>
    <w:rsid w:val="001D59CD"/>
    <w:rsid w:val="001D5D2D"/>
    <w:rsid w:val="001D5FBE"/>
    <w:rsid w:val="001D65DF"/>
    <w:rsid w:val="001D67A7"/>
    <w:rsid w:val="001D6895"/>
    <w:rsid w:val="001D6F49"/>
    <w:rsid w:val="001D79E2"/>
    <w:rsid w:val="001D79E3"/>
    <w:rsid w:val="001D7A22"/>
    <w:rsid w:val="001D7E17"/>
    <w:rsid w:val="001E00C4"/>
    <w:rsid w:val="001E0465"/>
    <w:rsid w:val="001E0832"/>
    <w:rsid w:val="001E0EDD"/>
    <w:rsid w:val="001E0F74"/>
    <w:rsid w:val="001E1231"/>
    <w:rsid w:val="001E186F"/>
    <w:rsid w:val="001E1E33"/>
    <w:rsid w:val="001E25B0"/>
    <w:rsid w:val="001E27D9"/>
    <w:rsid w:val="001E2D96"/>
    <w:rsid w:val="001E3043"/>
    <w:rsid w:val="001E3479"/>
    <w:rsid w:val="001E358F"/>
    <w:rsid w:val="001E3DF2"/>
    <w:rsid w:val="001E3FF6"/>
    <w:rsid w:val="001E408E"/>
    <w:rsid w:val="001E470D"/>
    <w:rsid w:val="001E50E5"/>
    <w:rsid w:val="001E5171"/>
    <w:rsid w:val="001E53D8"/>
    <w:rsid w:val="001E540C"/>
    <w:rsid w:val="001E56F0"/>
    <w:rsid w:val="001E5C0B"/>
    <w:rsid w:val="001E6D5A"/>
    <w:rsid w:val="001E6F46"/>
    <w:rsid w:val="001E76CB"/>
    <w:rsid w:val="001E7816"/>
    <w:rsid w:val="001F0167"/>
    <w:rsid w:val="001F040B"/>
    <w:rsid w:val="001F0D8D"/>
    <w:rsid w:val="001F0F3A"/>
    <w:rsid w:val="001F0FDF"/>
    <w:rsid w:val="001F11FB"/>
    <w:rsid w:val="001F133D"/>
    <w:rsid w:val="001F1533"/>
    <w:rsid w:val="001F1674"/>
    <w:rsid w:val="001F1A9F"/>
    <w:rsid w:val="001F1EE9"/>
    <w:rsid w:val="001F1F03"/>
    <w:rsid w:val="001F25FF"/>
    <w:rsid w:val="001F2ABC"/>
    <w:rsid w:val="001F2B4D"/>
    <w:rsid w:val="001F33F6"/>
    <w:rsid w:val="001F35B8"/>
    <w:rsid w:val="001F35ED"/>
    <w:rsid w:val="001F3D3F"/>
    <w:rsid w:val="001F42AE"/>
    <w:rsid w:val="001F4316"/>
    <w:rsid w:val="001F4391"/>
    <w:rsid w:val="001F44CC"/>
    <w:rsid w:val="001F488E"/>
    <w:rsid w:val="001F497E"/>
    <w:rsid w:val="001F4F46"/>
    <w:rsid w:val="001F537A"/>
    <w:rsid w:val="001F53AC"/>
    <w:rsid w:val="001F59D2"/>
    <w:rsid w:val="001F5A85"/>
    <w:rsid w:val="001F5AAF"/>
    <w:rsid w:val="001F6719"/>
    <w:rsid w:val="001F6995"/>
    <w:rsid w:val="001F7365"/>
    <w:rsid w:val="001F75E8"/>
    <w:rsid w:val="001F7B09"/>
    <w:rsid w:val="001F7DF3"/>
    <w:rsid w:val="00200B35"/>
    <w:rsid w:val="00200D68"/>
    <w:rsid w:val="00201553"/>
    <w:rsid w:val="002019D4"/>
    <w:rsid w:val="00201C24"/>
    <w:rsid w:val="00202BDA"/>
    <w:rsid w:val="00202C74"/>
    <w:rsid w:val="00202D15"/>
    <w:rsid w:val="0020356C"/>
    <w:rsid w:val="00203A2D"/>
    <w:rsid w:val="00204381"/>
    <w:rsid w:val="002045E5"/>
    <w:rsid w:val="002046D8"/>
    <w:rsid w:val="002048A9"/>
    <w:rsid w:val="00204CFB"/>
    <w:rsid w:val="00205FB2"/>
    <w:rsid w:val="0020690D"/>
    <w:rsid w:val="00206D0A"/>
    <w:rsid w:val="00206E9E"/>
    <w:rsid w:val="00207727"/>
    <w:rsid w:val="00207A7C"/>
    <w:rsid w:val="00210526"/>
    <w:rsid w:val="00210E81"/>
    <w:rsid w:val="0021204D"/>
    <w:rsid w:val="002121C9"/>
    <w:rsid w:val="002126F7"/>
    <w:rsid w:val="002128C4"/>
    <w:rsid w:val="00212AA4"/>
    <w:rsid w:val="00212E8A"/>
    <w:rsid w:val="0021318C"/>
    <w:rsid w:val="00213250"/>
    <w:rsid w:val="002138A3"/>
    <w:rsid w:val="002143B3"/>
    <w:rsid w:val="00214E96"/>
    <w:rsid w:val="002153B9"/>
    <w:rsid w:val="0021567C"/>
    <w:rsid w:val="002160CE"/>
    <w:rsid w:val="00216410"/>
    <w:rsid w:val="0021656C"/>
    <w:rsid w:val="002169BA"/>
    <w:rsid w:val="00216BAA"/>
    <w:rsid w:val="00216CDD"/>
    <w:rsid w:val="00216FB3"/>
    <w:rsid w:val="00217606"/>
    <w:rsid w:val="00217687"/>
    <w:rsid w:val="00217776"/>
    <w:rsid w:val="00217B7C"/>
    <w:rsid w:val="00217E32"/>
    <w:rsid w:val="00217E9E"/>
    <w:rsid w:val="0022004B"/>
    <w:rsid w:val="0022064D"/>
    <w:rsid w:val="0022080B"/>
    <w:rsid w:val="0022100F"/>
    <w:rsid w:val="002211A1"/>
    <w:rsid w:val="00221497"/>
    <w:rsid w:val="00221DF3"/>
    <w:rsid w:val="00222727"/>
    <w:rsid w:val="0022286E"/>
    <w:rsid w:val="00222B18"/>
    <w:rsid w:val="0022309A"/>
    <w:rsid w:val="002238AC"/>
    <w:rsid w:val="00223C1E"/>
    <w:rsid w:val="00224936"/>
    <w:rsid w:val="00224A29"/>
    <w:rsid w:val="00224F06"/>
    <w:rsid w:val="00224F80"/>
    <w:rsid w:val="002253F2"/>
    <w:rsid w:val="00225A70"/>
    <w:rsid w:val="00225E79"/>
    <w:rsid w:val="0022663A"/>
    <w:rsid w:val="00226B0C"/>
    <w:rsid w:val="00226E85"/>
    <w:rsid w:val="00227226"/>
    <w:rsid w:val="00227A81"/>
    <w:rsid w:val="00227D0B"/>
    <w:rsid w:val="00230843"/>
    <w:rsid w:val="00230DC9"/>
    <w:rsid w:val="00230E2E"/>
    <w:rsid w:val="00230EA6"/>
    <w:rsid w:val="002310AA"/>
    <w:rsid w:val="002313B2"/>
    <w:rsid w:val="002314DE"/>
    <w:rsid w:val="00232399"/>
    <w:rsid w:val="00233131"/>
    <w:rsid w:val="002338AA"/>
    <w:rsid w:val="00233CEA"/>
    <w:rsid w:val="002341D3"/>
    <w:rsid w:val="002343F3"/>
    <w:rsid w:val="0023448D"/>
    <w:rsid w:val="00234ADE"/>
    <w:rsid w:val="00234C44"/>
    <w:rsid w:val="00235A1F"/>
    <w:rsid w:val="00236736"/>
    <w:rsid w:val="00236918"/>
    <w:rsid w:val="002373A2"/>
    <w:rsid w:val="0023743C"/>
    <w:rsid w:val="00237480"/>
    <w:rsid w:val="00237606"/>
    <w:rsid w:val="00237AA6"/>
    <w:rsid w:val="00237AEE"/>
    <w:rsid w:val="00237B55"/>
    <w:rsid w:val="00237B7E"/>
    <w:rsid w:val="00237ED2"/>
    <w:rsid w:val="00240080"/>
    <w:rsid w:val="00240942"/>
    <w:rsid w:val="00241256"/>
    <w:rsid w:val="00241CD1"/>
    <w:rsid w:val="00241DE8"/>
    <w:rsid w:val="002424FF"/>
    <w:rsid w:val="00242522"/>
    <w:rsid w:val="0024285D"/>
    <w:rsid w:val="00242A6A"/>
    <w:rsid w:val="00242EDB"/>
    <w:rsid w:val="0024313B"/>
    <w:rsid w:val="00243180"/>
    <w:rsid w:val="00243482"/>
    <w:rsid w:val="002439F8"/>
    <w:rsid w:val="002447D2"/>
    <w:rsid w:val="00244C00"/>
    <w:rsid w:val="00244C0A"/>
    <w:rsid w:val="00244E55"/>
    <w:rsid w:val="00244E88"/>
    <w:rsid w:val="00245281"/>
    <w:rsid w:val="00246245"/>
    <w:rsid w:val="00246354"/>
    <w:rsid w:val="00246919"/>
    <w:rsid w:val="00246B6B"/>
    <w:rsid w:val="00246E83"/>
    <w:rsid w:val="002475F2"/>
    <w:rsid w:val="00247D8B"/>
    <w:rsid w:val="00247E5B"/>
    <w:rsid w:val="00247E9C"/>
    <w:rsid w:val="00250297"/>
    <w:rsid w:val="002503AE"/>
    <w:rsid w:val="00250659"/>
    <w:rsid w:val="002506EF"/>
    <w:rsid w:val="002508EA"/>
    <w:rsid w:val="00250BC7"/>
    <w:rsid w:val="00250BE7"/>
    <w:rsid w:val="00250D0A"/>
    <w:rsid w:val="002516CC"/>
    <w:rsid w:val="00251BE4"/>
    <w:rsid w:val="00251DDC"/>
    <w:rsid w:val="00252CD6"/>
    <w:rsid w:val="00253350"/>
    <w:rsid w:val="0025355C"/>
    <w:rsid w:val="0025357E"/>
    <w:rsid w:val="0025359A"/>
    <w:rsid w:val="002542A0"/>
    <w:rsid w:val="00254B04"/>
    <w:rsid w:val="002553C5"/>
    <w:rsid w:val="00255658"/>
    <w:rsid w:val="002558B6"/>
    <w:rsid w:val="00255975"/>
    <w:rsid w:val="00255B57"/>
    <w:rsid w:val="00255ED1"/>
    <w:rsid w:val="00256065"/>
    <w:rsid w:val="00256793"/>
    <w:rsid w:val="00256823"/>
    <w:rsid w:val="00256F6F"/>
    <w:rsid w:val="00257B1B"/>
    <w:rsid w:val="00257D23"/>
    <w:rsid w:val="00257EB1"/>
    <w:rsid w:val="002604C1"/>
    <w:rsid w:val="00260870"/>
    <w:rsid w:val="00261393"/>
    <w:rsid w:val="00261468"/>
    <w:rsid w:val="0026176A"/>
    <w:rsid w:val="0026189B"/>
    <w:rsid w:val="00261930"/>
    <w:rsid w:val="00261D98"/>
    <w:rsid w:val="002622E3"/>
    <w:rsid w:val="0026296F"/>
    <w:rsid w:val="00262C03"/>
    <w:rsid w:val="00262D96"/>
    <w:rsid w:val="00262E60"/>
    <w:rsid w:val="0026319F"/>
    <w:rsid w:val="00263205"/>
    <w:rsid w:val="002633B9"/>
    <w:rsid w:val="00263DE7"/>
    <w:rsid w:val="00264562"/>
    <w:rsid w:val="00264637"/>
    <w:rsid w:val="00264932"/>
    <w:rsid w:val="00265319"/>
    <w:rsid w:val="00265584"/>
    <w:rsid w:val="00265BD8"/>
    <w:rsid w:val="00266896"/>
    <w:rsid w:val="002673B5"/>
    <w:rsid w:val="00267AE9"/>
    <w:rsid w:val="00267DC2"/>
    <w:rsid w:val="00270739"/>
    <w:rsid w:val="002713F2"/>
    <w:rsid w:val="002714F3"/>
    <w:rsid w:val="0027150B"/>
    <w:rsid w:val="0027167F"/>
    <w:rsid w:val="00271FE6"/>
    <w:rsid w:val="00272278"/>
    <w:rsid w:val="0027249F"/>
    <w:rsid w:val="002733B5"/>
    <w:rsid w:val="0027346E"/>
    <w:rsid w:val="0027358D"/>
    <w:rsid w:val="00273788"/>
    <w:rsid w:val="00273BE6"/>
    <w:rsid w:val="00273EF9"/>
    <w:rsid w:val="0027450A"/>
    <w:rsid w:val="002747F4"/>
    <w:rsid w:val="00274A0D"/>
    <w:rsid w:val="00274E15"/>
    <w:rsid w:val="00275924"/>
    <w:rsid w:val="00275BE5"/>
    <w:rsid w:val="00275FBD"/>
    <w:rsid w:val="002763CA"/>
    <w:rsid w:val="0027672C"/>
    <w:rsid w:val="00276B29"/>
    <w:rsid w:val="00277409"/>
    <w:rsid w:val="00277E88"/>
    <w:rsid w:val="00280051"/>
    <w:rsid w:val="00280154"/>
    <w:rsid w:val="0028044D"/>
    <w:rsid w:val="002807DB"/>
    <w:rsid w:val="00280D6D"/>
    <w:rsid w:val="00280EAE"/>
    <w:rsid w:val="0028140A"/>
    <w:rsid w:val="0028182A"/>
    <w:rsid w:val="00281ABF"/>
    <w:rsid w:val="00281C28"/>
    <w:rsid w:val="00281F93"/>
    <w:rsid w:val="0028344D"/>
    <w:rsid w:val="0028422C"/>
    <w:rsid w:val="002845CC"/>
    <w:rsid w:val="00284C00"/>
    <w:rsid w:val="00285EAB"/>
    <w:rsid w:val="00286A1E"/>
    <w:rsid w:val="00286D7F"/>
    <w:rsid w:val="00286F5B"/>
    <w:rsid w:val="00287306"/>
    <w:rsid w:val="002875A4"/>
    <w:rsid w:val="0028770D"/>
    <w:rsid w:val="00287BED"/>
    <w:rsid w:val="00290033"/>
    <w:rsid w:val="00290F1E"/>
    <w:rsid w:val="00291593"/>
    <w:rsid w:val="002915C3"/>
    <w:rsid w:val="00291EA0"/>
    <w:rsid w:val="00291FEE"/>
    <w:rsid w:val="00292561"/>
    <w:rsid w:val="002928F8"/>
    <w:rsid w:val="0029291F"/>
    <w:rsid w:val="00292B1B"/>
    <w:rsid w:val="00292CC3"/>
    <w:rsid w:val="00292E0D"/>
    <w:rsid w:val="00292E8F"/>
    <w:rsid w:val="00293127"/>
    <w:rsid w:val="002937B1"/>
    <w:rsid w:val="00293925"/>
    <w:rsid w:val="0029450F"/>
    <w:rsid w:val="002946BF"/>
    <w:rsid w:val="002947BF"/>
    <w:rsid w:val="00295891"/>
    <w:rsid w:val="002961D3"/>
    <w:rsid w:val="002966EF"/>
    <w:rsid w:val="0029692E"/>
    <w:rsid w:val="00296943"/>
    <w:rsid w:val="0029712B"/>
    <w:rsid w:val="00297618"/>
    <w:rsid w:val="002977FE"/>
    <w:rsid w:val="002978FF"/>
    <w:rsid w:val="00297FE2"/>
    <w:rsid w:val="002A06D8"/>
    <w:rsid w:val="002A0719"/>
    <w:rsid w:val="002A0B12"/>
    <w:rsid w:val="002A1AA6"/>
    <w:rsid w:val="002A1AD0"/>
    <w:rsid w:val="002A2A0B"/>
    <w:rsid w:val="002A3765"/>
    <w:rsid w:val="002A38B1"/>
    <w:rsid w:val="002A3BF7"/>
    <w:rsid w:val="002A4470"/>
    <w:rsid w:val="002A4BF5"/>
    <w:rsid w:val="002A4CFD"/>
    <w:rsid w:val="002A5279"/>
    <w:rsid w:val="002A54F3"/>
    <w:rsid w:val="002A5E3B"/>
    <w:rsid w:val="002A62D5"/>
    <w:rsid w:val="002A64CE"/>
    <w:rsid w:val="002A6854"/>
    <w:rsid w:val="002A6ED2"/>
    <w:rsid w:val="002A6FA7"/>
    <w:rsid w:val="002A7296"/>
    <w:rsid w:val="002A743B"/>
    <w:rsid w:val="002B0765"/>
    <w:rsid w:val="002B076C"/>
    <w:rsid w:val="002B1076"/>
    <w:rsid w:val="002B2301"/>
    <w:rsid w:val="002B2570"/>
    <w:rsid w:val="002B26E6"/>
    <w:rsid w:val="002B29C7"/>
    <w:rsid w:val="002B2C48"/>
    <w:rsid w:val="002B3446"/>
    <w:rsid w:val="002B3725"/>
    <w:rsid w:val="002B3ABD"/>
    <w:rsid w:val="002B4271"/>
    <w:rsid w:val="002B4619"/>
    <w:rsid w:val="002B486A"/>
    <w:rsid w:val="002B55AD"/>
    <w:rsid w:val="002B579A"/>
    <w:rsid w:val="002B5801"/>
    <w:rsid w:val="002B58D3"/>
    <w:rsid w:val="002B6C8C"/>
    <w:rsid w:val="002B6F26"/>
    <w:rsid w:val="002B75C7"/>
    <w:rsid w:val="002C06F1"/>
    <w:rsid w:val="002C0827"/>
    <w:rsid w:val="002C09A1"/>
    <w:rsid w:val="002C0A42"/>
    <w:rsid w:val="002C0DFD"/>
    <w:rsid w:val="002C0FE7"/>
    <w:rsid w:val="002C14FC"/>
    <w:rsid w:val="002C1D4D"/>
    <w:rsid w:val="002C2399"/>
    <w:rsid w:val="002C2485"/>
    <w:rsid w:val="002C3E2D"/>
    <w:rsid w:val="002C3EB6"/>
    <w:rsid w:val="002C48CB"/>
    <w:rsid w:val="002C4B43"/>
    <w:rsid w:val="002C4E84"/>
    <w:rsid w:val="002C5A46"/>
    <w:rsid w:val="002C61CF"/>
    <w:rsid w:val="002C6251"/>
    <w:rsid w:val="002C716A"/>
    <w:rsid w:val="002C7338"/>
    <w:rsid w:val="002C753C"/>
    <w:rsid w:val="002C7BE5"/>
    <w:rsid w:val="002C7C69"/>
    <w:rsid w:val="002D01C1"/>
    <w:rsid w:val="002D0A76"/>
    <w:rsid w:val="002D1793"/>
    <w:rsid w:val="002D1997"/>
    <w:rsid w:val="002D1ADA"/>
    <w:rsid w:val="002D1F3E"/>
    <w:rsid w:val="002D1FB5"/>
    <w:rsid w:val="002D2509"/>
    <w:rsid w:val="002D2941"/>
    <w:rsid w:val="002D29D3"/>
    <w:rsid w:val="002D2B62"/>
    <w:rsid w:val="002D2BF0"/>
    <w:rsid w:val="002D2C2E"/>
    <w:rsid w:val="002D316D"/>
    <w:rsid w:val="002D43ED"/>
    <w:rsid w:val="002D4607"/>
    <w:rsid w:val="002D4C5B"/>
    <w:rsid w:val="002D4D94"/>
    <w:rsid w:val="002D53B9"/>
    <w:rsid w:val="002D53DA"/>
    <w:rsid w:val="002D5498"/>
    <w:rsid w:val="002D56DA"/>
    <w:rsid w:val="002D5E15"/>
    <w:rsid w:val="002D5E33"/>
    <w:rsid w:val="002D63BE"/>
    <w:rsid w:val="002D650B"/>
    <w:rsid w:val="002D6669"/>
    <w:rsid w:val="002D670A"/>
    <w:rsid w:val="002D6A2E"/>
    <w:rsid w:val="002D6A48"/>
    <w:rsid w:val="002D6C92"/>
    <w:rsid w:val="002D6DBC"/>
    <w:rsid w:val="002D7719"/>
    <w:rsid w:val="002D789D"/>
    <w:rsid w:val="002D7BAF"/>
    <w:rsid w:val="002D7DF7"/>
    <w:rsid w:val="002E020E"/>
    <w:rsid w:val="002E02EB"/>
    <w:rsid w:val="002E0630"/>
    <w:rsid w:val="002E08CD"/>
    <w:rsid w:val="002E105D"/>
    <w:rsid w:val="002E126B"/>
    <w:rsid w:val="002E172E"/>
    <w:rsid w:val="002E1921"/>
    <w:rsid w:val="002E1A70"/>
    <w:rsid w:val="002E1CDD"/>
    <w:rsid w:val="002E1D1F"/>
    <w:rsid w:val="002E22E6"/>
    <w:rsid w:val="002E3D02"/>
    <w:rsid w:val="002E3E0A"/>
    <w:rsid w:val="002E4208"/>
    <w:rsid w:val="002E4282"/>
    <w:rsid w:val="002E462D"/>
    <w:rsid w:val="002E4D30"/>
    <w:rsid w:val="002E5378"/>
    <w:rsid w:val="002E55A6"/>
    <w:rsid w:val="002E5A82"/>
    <w:rsid w:val="002E666F"/>
    <w:rsid w:val="002E69F3"/>
    <w:rsid w:val="002E71CC"/>
    <w:rsid w:val="002E769C"/>
    <w:rsid w:val="002E797C"/>
    <w:rsid w:val="002E7B48"/>
    <w:rsid w:val="002E7B7C"/>
    <w:rsid w:val="002E7BEF"/>
    <w:rsid w:val="002E7F55"/>
    <w:rsid w:val="002F04DF"/>
    <w:rsid w:val="002F0915"/>
    <w:rsid w:val="002F0974"/>
    <w:rsid w:val="002F0F79"/>
    <w:rsid w:val="002F0F7B"/>
    <w:rsid w:val="002F1449"/>
    <w:rsid w:val="002F1AB4"/>
    <w:rsid w:val="002F1CD8"/>
    <w:rsid w:val="002F1EF8"/>
    <w:rsid w:val="002F29CF"/>
    <w:rsid w:val="002F2B1E"/>
    <w:rsid w:val="002F31B2"/>
    <w:rsid w:val="002F3320"/>
    <w:rsid w:val="002F340C"/>
    <w:rsid w:val="002F34A3"/>
    <w:rsid w:val="002F3A54"/>
    <w:rsid w:val="002F4146"/>
    <w:rsid w:val="002F43CA"/>
    <w:rsid w:val="002F4AFF"/>
    <w:rsid w:val="002F4E4C"/>
    <w:rsid w:val="002F56F0"/>
    <w:rsid w:val="002F595E"/>
    <w:rsid w:val="002F5B0F"/>
    <w:rsid w:val="002F5F4C"/>
    <w:rsid w:val="002F63AC"/>
    <w:rsid w:val="002F67EA"/>
    <w:rsid w:val="002F68F1"/>
    <w:rsid w:val="002F6913"/>
    <w:rsid w:val="002F6CB1"/>
    <w:rsid w:val="002F6DBA"/>
    <w:rsid w:val="002F70E3"/>
    <w:rsid w:val="002F744A"/>
    <w:rsid w:val="002F7589"/>
    <w:rsid w:val="002F75C8"/>
    <w:rsid w:val="002F7E12"/>
    <w:rsid w:val="00300394"/>
    <w:rsid w:val="003008CF"/>
    <w:rsid w:val="00300DC4"/>
    <w:rsid w:val="003012EF"/>
    <w:rsid w:val="00301864"/>
    <w:rsid w:val="00301C1E"/>
    <w:rsid w:val="00301E53"/>
    <w:rsid w:val="0030221E"/>
    <w:rsid w:val="003023E5"/>
    <w:rsid w:val="00302466"/>
    <w:rsid w:val="003033C4"/>
    <w:rsid w:val="00303D61"/>
    <w:rsid w:val="003040C1"/>
    <w:rsid w:val="00304514"/>
    <w:rsid w:val="003048AD"/>
    <w:rsid w:val="0030501B"/>
    <w:rsid w:val="00305A7E"/>
    <w:rsid w:val="00305A86"/>
    <w:rsid w:val="00306BDE"/>
    <w:rsid w:val="00306D6D"/>
    <w:rsid w:val="00306F43"/>
    <w:rsid w:val="003070C5"/>
    <w:rsid w:val="00307694"/>
    <w:rsid w:val="003077ED"/>
    <w:rsid w:val="00307D4D"/>
    <w:rsid w:val="00310810"/>
    <w:rsid w:val="00310919"/>
    <w:rsid w:val="00310CFB"/>
    <w:rsid w:val="00310D39"/>
    <w:rsid w:val="00311AD7"/>
    <w:rsid w:val="0031206B"/>
    <w:rsid w:val="00312276"/>
    <w:rsid w:val="003125B7"/>
    <w:rsid w:val="003126FC"/>
    <w:rsid w:val="003128B5"/>
    <w:rsid w:val="00312D37"/>
    <w:rsid w:val="003136CF"/>
    <w:rsid w:val="003137EC"/>
    <w:rsid w:val="003138B2"/>
    <w:rsid w:val="00313CB3"/>
    <w:rsid w:val="00314125"/>
    <w:rsid w:val="0031499C"/>
    <w:rsid w:val="00314E47"/>
    <w:rsid w:val="00314E8B"/>
    <w:rsid w:val="00315AAD"/>
    <w:rsid w:val="00315DE0"/>
    <w:rsid w:val="00315E58"/>
    <w:rsid w:val="003162E1"/>
    <w:rsid w:val="003177F6"/>
    <w:rsid w:val="00317869"/>
    <w:rsid w:val="00317B88"/>
    <w:rsid w:val="003200EB"/>
    <w:rsid w:val="0032108E"/>
    <w:rsid w:val="003216AB"/>
    <w:rsid w:val="003228ED"/>
    <w:rsid w:val="00322E7E"/>
    <w:rsid w:val="00323171"/>
    <w:rsid w:val="003231A0"/>
    <w:rsid w:val="0032487E"/>
    <w:rsid w:val="00324E12"/>
    <w:rsid w:val="00324EFD"/>
    <w:rsid w:val="00325834"/>
    <w:rsid w:val="00325D08"/>
    <w:rsid w:val="003268F1"/>
    <w:rsid w:val="00326AA3"/>
    <w:rsid w:val="00326CE5"/>
    <w:rsid w:val="00327122"/>
    <w:rsid w:val="00327208"/>
    <w:rsid w:val="00327B0B"/>
    <w:rsid w:val="00327D28"/>
    <w:rsid w:val="003300D8"/>
    <w:rsid w:val="0033056D"/>
    <w:rsid w:val="00330DB6"/>
    <w:rsid w:val="00330EA1"/>
    <w:rsid w:val="00331FF7"/>
    <w:rsid w:val="003321AE"/>
    <w:rsid w:val="0033223E"/>
    <w:rsid w:val="00332523"/>
    <w:rsid w:val="003327EF"/>
    <w:rsid w:val="00332F3E"/>
    <w:rsid w:val="00333A42"/>
    <w:rsid w:val="00334355"/>
    <w:rsid w:val="00335208"/>
    <w:rsid w:val="00335DDA"/>
    <w:rsid w:val="003363FE"/>
    <w:rsid w:val="003364D6"/>
    <w:rsid w:val="0033659F"/>
    <w:rsid w:val="00336765"/>
    <w:rsid w:val="003368E0"/>
    <w:rsid w:val="00336948"/>
    <w:rsid w:val="003370DA"/>
    <w:rsid w:val="003374ED"/>
    <w:rsid w:val="0033750F"/>
    <w:rsid w:val="003375E2"/>
    <w:rsid w:val="003376F9"/>
    <w:rsid w:val="00337953"/>
    <w:rsid w:val="003400B0"/>
    <w:rsid w:val="00340299"/>
    <w:rsid w:val="0034047B"/>
    <w:rsid w:val="00340AD9"/>
    <w:rsid w:val="00341185"/>
    <w:rsid w:val="00341894"/>
    <w:rsid w:val="00341BAB"/>
    <w:rsid w:val="00342F81"/>
    <w:rsid w:val="0034316D"/>
    <w:rsid w:val="0034331E"/>
    <w:rsid w:val="00343C79"/>
    <w:rsid w:val="00343FB9"/>
    <w:rsid w:val="0034416B"/>
    <w:rsid w:val="00344533"/>
    <w:rsid w:val="00344BEF"/>
    <w:rsid w:val="00344C61"/>
    <w:rsid w:val="003451F4"/>
    <w:rsid w:val="003453B3"/>
    <w:rsid w:val="0034573E"/>
    <w:rsid w:val="003458D2"/>
    <w:rsid w:val="0034598E"/>
    <w:rsid w:val="00345D77"/>
    <w:rsid w:val="00345F58"/>
    <w:rsid w:val="00346810"/>
    <w:rsid w:val="00346984"/>
    <w:rsid w:val="00346B04"/>
    <w:rsid w:val="00346E0B"/>
    <w:rsid w:val="0034737C"/>
    <w:rsid w:val="00347EF6"/>
    <w:rsid w:val="00350BE3"/>
    <w:rsid w:val="003514F2"/>
    <w:rsid w:val="003515B2"/>
    <w:rsid w:val="00351745"/>
    <w:rsid w:val="00351A39"/>
    <w:rsid w:val="00351F0F"/>
    <w:rsid w:val="003522E2"/>
    <w:rsid w:val="00352410"/>
    <w:rsid w:val="00352F47"/>
    <w:rsid w:val="00353643"/>
    <w:rsid w:val="00353AB5"/>
    <w:rsid w:val="00353B3C"/>
    <w:rsid w:val="00353D2A"/>
    <w:rsid w:val="00353FDE"/>
    <w:rsid w:val="00354830"/>
    <w:rsid w:val="003548EA"/>
    <w:rsid w:val="00354A75"/>
    <w:rsid w:val="00354E11"/>
    <w:rsid w:val="0035630A"/>
    <w:rsid w:val="00356603"/>
    <w:rsid w:val="0035660E"/>
    <w:rsid w:val="00356E0C"/>
    <w:rsid w:val="0035745E"/>
    <w:rsid w:val="00357571"/>
    <w:rsid w:val="00360BE3"/>
    <w:rsid w:val="003622F3"/>
    <w:rsid w:val="00362659"/>
    <w:rsid w:val="00362BE0"/>
    <w:rsid w:val="00362F28"/>
    <w:rsid w:val="003636BA"/>
    <w:rsid w:val="0036371A"/>
    <w:rsid w:val="00363766"/>
    <w:rsid w:val="00364109"/>
    <w:rsid w:val="00364309"/>
    <w:rsid w:val="003647E3"/>
    <w:rsid w:val="00364E55"/>
    <w:rsid w:val="00364E78"/>
    <w:rsid w:val="00364FA9"/>
    <w:rsid w:val="00365351"/>
    <w:rsid w:val="00365BDA"/>
    <w:rsid w:val="00366874"/>
    <w:rsid w:val="00366BA8"/>
    <w:rsid w:val="0036703D"/>
    <w:rsid w:val="003672B2"/>
    <w:rsid w:val="003674EC"/>
    <w:rsid w:val="00367614"/>
    <w:rsid w:val="003703C4"/>
    <w:rsid w:val="0037060B"/>
    <w:rsid w:val="0037068C"/>
    <w:rsid w:val="00370FE6"/>
    <w:rsid w:val="003710C7"/>
    <w:rsid w:val="0037166F"/>
    <w:rsid w:val="00371B88"/>
    <w:rsid w:val="00371C3D"/>
    <w:rsid w:val="00371D9B"/>
    <w:rsid w:val="0037261B"/>
    <w:rsid w:val="0037312E"/>
    <w:rsid w:val="0037355D"/>
    <w:rsid w:val="0037359A"/>
    <w:rsid w:val="00374226"/>
    <w:rsid w:val="00374AF2"/>
    <w:rsid w:val="00374D2C"/>
    <w:rsid w:val="0037588E"/>
    <w:rsid w:val="0037604B"/>
    <w:rsid w:val="00376E9A"/>
    <w:rsid w:val="00376F39"/>
    <w:rsid w:val="00377288"/>
    <w:rsid w:val="003777B1"/>
    <w:rsid w:val="003802B6"/>
    <w:rsid w:val="0038143E"/>
    <w:rsid w:val="0038168C"/>
    <w:rsid w:val="0038185E"/>
    <w:rsid w:val="003818FC"/>
    <w:rsid w:val="00381D12"/>
    <w:rsid w:val="0038252A"/>
    <w:rsid w:val="00382686"/>
    <w:rsid w:val="003827EF"/>
    <w:rsid w:val="003828A3"/>
    <w:rsid w:val="00382BE5"/>
    <w:rsid w:val="00383239"/>
    <w:rsid w:val="003833C7"/>
    <w:rsid w:val="003839EC"/>
    <w:rsid w:val="00383BDF"/>
    <w:rsid w:val="003840CF"/>
    <w:rsid w:val="00384AA4"/>
    <w:rsid w:val="00385616"/>
    <w:rsid w:val="00385AC5"/>
    <w:rsid w:val="0038668E"/>
    <w:rsid w:val="003871EA"/>
    <w:rsid w:val="003872DF"/>
    <w:rsid w:val="00387545"/>
    <w:rsid w:val="003903E4"/>
    <w:rsid w:val="00390407"/>
    <w:rsid w:val="003905A5"/>
    <w:rsid w:val="00390B19"/>
    <w:rsid w:val="00390C92"/>
    <w:rsid w:val="00390E10"/>
    <w:rsid w:val="00391218"/>
    <w:rsid w:val="003913E9"/>
    <w:rsid w:val="003918D4"/>
    <w:rsid w:val="0039194C"/>
    <w:rsid w:val="00391BAE"/>
    <w:rsid w:val="00391BF1"/>
    <w:rsid w:val="003926B4"/>
    <w:rsid w:val="00392D19"/>
    <w:rsid w:val="00392E30"/>
    <w:rsid w:val="00392F7B"/>
    <w:rsid w:val="00393370"/>
    <w:rsid w:val="0039351A"/>
    <w:rsid w:val="0039373B"/>
    <w:rsid w:val="00393EB0"/>
    <w:rsid w:val="00393ECF"/>
    <w:rsid w:val="00394519"/>
    <w:rsid w:val="00394EBA"/>
    <w:rsid w:val="0039531B"/>
    <w:rsid w:val="00395621"/>
    <w:rsid w:val="00395654"/>
    <w:rsid w:val="00395784"/>
    <w:rsid w:val="00395E09"/>
    <w:rsid w:val="003969E1"/>
    <w:rsid w:val="00396E89"/>
    <w:rsid w:val="003972D9"/>
    <w:rsid w:val="003974F9"/>
    <w:rsid w:val="00397569"/>
    <w:rsid w:val="003979F2"/>
    <w:rsid w:val="00397C48"/>
    <w:rsid w:val="00397EFA"/>
    <w:rsid w:val="003A05F1"/>
    <w:rsid w:val="003A0C37"/>
    <w:rsid w:val="003A0E26"/>
    <w:rsid w:val="003A12A6"/>
    <w:rsid w:val="003A197B"/>
    <w:rsid w:val="003A1B9A"/>
    <w:rsid w:val="003A1E7C"/>
    <w:rsid w:val="003A288A"/>
    <w:rsid w:val="003A3445"/>
    <w:rsid w:val="003A3B02"/>
    <w:rsid w:val="003A4045"/>
    <w:rsid w:val="003A462E"/>
    <w:rsid w:val="003A476B"/>
    <w:rsid w:val="003A5350"/>
    <w:rsid w:val="003A562D"/>
    <w:rsid w:val="003A57DF"/>
    <w:rsid w:val="003A62B1"/>
    <w:rsid w:val="003A63C6"/>
    <w:rsid w:val="003A64FD"/>
    <w:rsid w:val="003A6CF1"/>
    <w:rsid w:val="003A6DF1"/>
    <w:rsid w:val="003A7450"/>
    <w:rsid w:val="003A7884"/>
    <w:rsid w:val="003A7939"/>
    <w:rsid w:val="003A7B71"/>
    <w:rsid w:val="003A7E68"/>
    <w:rsid w:val="003A7EE8"/>
    <w:rsid w:val="003B0050"/>
    <w:rsid w:val="003B01BE"/>
    <w:rsid w:val="003B092D"/>
    <w:rsid w:val="003B1321"/>
    <w:rsid w:val="003B1948"/>
    <w:rsid w:val="003B1EEC"/>
    <w:rsid w:val="003B2146"/>
    <w:rsid w:val="003B23B8"/>
    <w:rsid w:val="003B266D"/>
    <w:rsid w:val="003B2E45"/>
    <w:rsid w:val="003B302B"/>
    <w:rsid w:val="003B3BED"/>
    <w:rsid w:val="003B3BFB"/>
    <w:rsid w:val="003B5014"/>
    <w:rsid w:val="003B5378"/>
    <w:rsid w:val="003B53DE"/>
    <w:rsid w:val="003B5B84"/>
    <w:rsid w:val="003B7740"/>
    <w:rsid w:val="003B7B33"/>
    <w:rsid w:val="003C0397"/>
    <w:rsid w:val="003C08A7"/>
    <w:rsid w:val="003C0916"/>
    <w:rsid w:val="003C0D1C"/>
    <w:rsid w:val="003C13A9"/>
    <w:rsid w:val="003C27D0"/>
    <w:rsid w:val="003C2A2D"/>
    <w:rsid w:val="003C2C15"/>
    <w:rsid w:val="003C2CED"/>
    <w:rsid w:val="003C2DBE"/>
    <w:rsid w:val="003C3B59"/>
    <w:rsid w:val="003C3F53"/>
    <w:rsid w:val="003C44AC"/>
    <w:rsid w:val="003C44C7"/>
    <w:rsid w:val="003C458C"/>
    <w:rsid w:val="003C4A29"/>
    <w:rsid w:val="003C4B7F"/>
    <w:rsid w:val="003C51EC"/>
    <w:rsid w:val="003C56E5"/>
    <w:rsid w:val="003C5858"/>
    <w:rsid w:val="003C609A"/>
    <w:rsid w:val="003C609E"/>
    <w:rsid w:val="003C6F42"/>
    <w:rsid w:val="003C751D"/>
    <w:rsid w:val="003C7559"/>
    <w:rsid w:val="003C7816"/>
    <w:rsid w:val="003D042C"/>
    <w:rsid w:val="003D0681"/>
    <w:rsid w:val="003D0A5B"/>
    <w:rsid w:val="003D129D"/>
    <w:rsid w:val="003D1A33"/>
    <w:rsid w:val="003D1C19"/>
    <w:rsid w:val="003D1C77"/>
    <w:rsid w:val="003D21E9"/>
    <w:rsid w:val="003D22EF"/>
    <w:rsid w:val="003D23A9"/>
    <w:rsid w:val="003D26BF"/>
    <w:rsid w:val="003D2DC6"/>
    <w:rsid w:val="003D2E2B"/>
    <w:rsid w:val="003D2EA9"/>
    <w:rsid w:val="003D37E9"/>
    <w:rsid w:val="003D3D2D"/>
    <w:rsid w:val="003D3DC0"/>
    <w:rsid w:val="003D42FB"/>
    <w:rsid w:val="003D4586"/>
    <w:rsid w:val="003D460B"/>
    <w:rsid w:val="003D4BE2"/>
    <w:rsid w:val="003D4DAE"/>
    <w:rsid w:val="003D54C1"/>
    <w:rsid w:val="003D5867"/>
    <w:rsid w:val="003D5CCD"/>
    <w:rsid w:val="003D5DE5"/>
    <w:rsid w:val="003D6220"/>
    <w:rsid w:val="003D6224"/>
    <w:rsid w:val="003D6242"/>
    <w:rsid w:val="003D689B"/>
    <w:rsid w:val="003D6E19"/>
    <w:rsid w:val="003D737C"/>
    <w:rsid w:val="003D7AE4"/>
    <w:rsid w:val="003D7D6A"/>
    <w:rsid w:val="003D7E40"/>
    <w:rsid w:val="003E0FC5"/>
    <w:rsid w:val="003E16C9"/>
    <w:rsid w:val="003E17AC"/>
    <w:rsid w:val="003E1DAF"/>
    <w:rsid w:val="003E3843"/>
    <w:rsid w:val="003E3E21"/>
    <w:rsid w:val="003E3F6E"/>
    <w:rsid w:val="003E459B"/>
    <w:rsid w:val="003E5115"/>
    <w:rsid w:val="003E5D9D"/>
    <w:rsid w:val="003E5DD1"/>
    <w:rsid w:val="003E5E6A"/>
    <w:rsid w:val="003E5EB4"/>
    <w:rsid w:val="003E64C3"/>
    <w:rsid w:val="003E659A"/>
    <w:rsid w:val="003E670E"/>
    <w:rsid w:val="003E6C07"/>
    <w:rsid w:val="003E6C9A"/>
    <w:rsid w:val="003E707E"/>
    <w:rsid w:val="003E70ED"/>
    <w:rsid w:val="003F0D98"/>
    <w:rsid w:val="003F0DF9"/>
    <w:rsid w:val="003F19F6"/>
    <w:rsid w:val="003F1F33"/>
    <w:rsid w:val="003F2487"/>
    <w:rsid w:val="003F27C5"/>
    <w:rsid w:val="003F386D"/>
    <w:rsid w:val="003F3886"/>
    <w:rsid w:val="003F4220"/>
    <w:rsid w:val="003F43FE"/>
    <w:rsid w:val="003F4476"/>
    <w:rsid w:val="003F46C8"/>
    <w:rsid w:val="003F4FA1"/>
    <w:rsid w:val="003F4FC0"/>
    <w:rsid w:val="003F5181"/>
    <w:rsid w:val="003F524C"/>
    <w:rsid w:val="003F5290"/>
    <w:rsid w:val="003F5BBC"/>
    <w:rsid w:val="003F60EB"/>
    <w:rsid w:val="003F6801"/>
    <w:rsid w:val="003F6D56"/>
    <w:rsid w:val="003F722F"/>
    <w:rsid w:val="003F724D"/>
    <w:rsid w:val="003F7A68"/>
    <w:rsid w:val="003F7D05"/>
    <w:rsid w:val="00400B86"/>
    <w:rsid w:val="0040107A"/>
    <w:rsid w:val="004014EC"/>
    <w:rsid w:val="00401D81"/>
    <w:rsid w:val="00402005"/>
    <w:rsid w:val="00402CE9"/>
    <w:rsid w:val="00402DF8"/>
    <w:rsid w:val="00402E01"/>
    <w:rsid w:val="00402F8A"/>
    <w:rsid w:val="00403458"/>
    <w:rsid w:val="004043C5"/>
    <w:rsid w:val="004049EA"/>
    <w:rsid w:val="00404A95"/>
    <w:rsid w:val="0040523F"/>
    <w:rsid w:val="00405573"/>
    <w:rsid w:val="0040569E"/>
    <w:rsid w:val="00405923"/>
    <w:rsid w:val="00405C35"/>
    <w:rsid w:val="004061ED"/>
    <w:rsid w:val="00406448"/>
    <w:rsid w:val="0040695F"/>
    <w:rsid w:val="00407065"/>
    <w:rsid w:val="004070CF"/>
    <w:rsid w:val="00407578"/>
    <w:rsid w:val="0040758A"/>
    <w:rsid w:val="00407ABC"/>
    <w:rsid w:val="00407B26"/>
    <w:rsid w:val="00407E75"/>
    <w:rsid w:val="0041026F"/>
    <w:rsid w:val="00410409"/>
    <w:rsid w:val="00410415"/>
    <w:rsid w:val="00410550"/>
    <w:rsid w:val="004105C9"/>
    <w:rsid w:val="00410E36"/>
    <w:rsid w:val="004111F1"/>
    <w:rsid w:val="0041159C"/>
    <w:rsid w:val="004118A8"/>
    <w:rsid w:val="00413261"/>
    <w:rsid w:val="00413362"/>
    <w:rsid w:val="00413A59"/>
    <w:rsid w:val="00413FA3"/>
    <w:rsid w:val="0041427C"/>
    <w:rsid w:val="00414638"/>
    <w:rsid w:val="00414B52"/>
    <w:rsid w:val="00414E00"/>
    <w:rsid w:val="00414FBB"/>
    <w:rsid w:val="00415377"/>
    <w:rsid w:val="004156A5"/>
    <w:rsid w:val="00415C4A"/>
    <w:rsid w:val="00415D41"/>
    <w:rsid w:val="0041626C"/>
    <w:rsid w:val="00416860"/>
    <w:rsid w:val="004202BE"/>
    <w:rsid w:val="004203BB"/>
    <w:rsid w:val="00420485"/>
    <w:rsid w:val="00420A75"/>
    <w:rsid w:val="00420ECC"/>
    <w:rsid w:val="0042145C"/>
    <w:rsid w:val="00421474"/>
    <w:rsid w:val="0042244E"/>
    <w:rsid w:val="00422CAD"/>
    <w:rsid w:val="00423168"/>
    <w:rsid w:val="00423439"/>
    <w:rsid w:val="004237C8"/>
    <w:rsid w:val="00423D39"/>
    <w:rsid w:val="00424244"/>
    <w:rsid w:val="00424332"/>
    <w:rsid w:val="004246DD"/>
    <w:rsid w:val="004248C5"/>
    <w:rsid w:val="00425103"/>
    <w:rsid w:val="004253B1"/>
    <w:rsid w:val="0042555E"/>
    <w:rsid w:val="00425BBD"/>
    <w:rsid w:val="0042647D"/>
    <w:rsid w:val="00426890"/>
    <w:rsid w:val="004271E7"/>
    <w:rsid w:val="00427545"/>
    <w:rsid w:val="004277F5"/>
    <w:rsid w:val="00427A14"/>
    <w:rsid w:val="00427C93"/>
    <w:rsid w:val="0043071A"/>
    <w:rsid w:val="00430AC0"/>
    <w:rsid w:val="0043179A"/>
    <w:rsid w:val="00431D11"/>
    <w:rsid w:val="00431ECD"/>
    <w:rsid w:val="004320C1"/>
    <w:rsid w:val="00432749"/>
    <w:rsid w:val="004329C7"/>
    <w:rsid w:val="00432FCD"/>
    <w:rsid w:val="00433E2E"/>
    <w:rsid w:val="00434A07"/>
    <w:rsid w:val="00434A23"/>
    <w:rsid w:val="00434DA4"/>
    <w:rsid w:val="0043525B"/>
    <w:rsid w:val="0043574C"/>
    <w:rsid w:val="0043577F"/>
    <w:rsid w:val="004357BE"/>
    <w:rsid w:val="004359CA"/>
    <w:rsid w:val="00435AD7"/>
    <w:rsid w:val="00435B51"/>
    <w:rsid w:val="00436019"/>
    <w:rsid w:val="004364E5"/>
    <w:rsid w:val="0043680E"/>
    <w:rsid w:val="00436F72"/>
    <w:rsid w:val="004372BF"/>
    <w:rsid w:val="00437477"/>
    <w:rsid w:val="00437DB4"/>
    <w:rsid w:val="0044009C"/>
    <w:rsid w:val="00440564"/>
    <w:rsid w:val="00441447"/>
    <w:rsid w:val="004415D2"/>
    <w:rsid w:val="00441C1B"/>
    <w:rsid w:val="00441DB6"/>
    <w:rsid w:val="0044207C"/>
    <w:rsid w:val="004428B5"/>
    <w:rsid w:val="004429F2"/>
    <w:rsid w:val="00442B47"/>
    <w:rsid w:val="00442EB3"/>
    <w:rsid w:val="0044310F"/>
    <w:rsid w:val="00444021"/>
    <w:rsid w:val="0044467F"/>
    <w:rsid w:val="00444AF9"/>
    <w:rsid w:val="00444BD4"/>
    <w:rsid w:val="00444E1F"/>
    <w:rsid w:val="004453DD"/>
    <w:rsid w:val="00445728"/>
    <w:rsid w:val="004459AD"/>
    <w:rsid w:val="00445BF1"/>
    <w:rsid w:val="00446A02"/>
    <w:rsid w:val="00446D25"/>
    <w:rsid w:val="00446DF3"/>
    <w:rsid w:val="00446FAD"/>
    <w:rsid w:val="00447142"/>
    <w:rsid w:val="004471C2"/>
    <w:rsid w:val="004473F0"/>
    <w:rsid w:val="0044758F"/>
    <w:rsid w:val="004478CE"/>
    <w:rsid w:val="00447A0D"/>
    <w:rsid w:val="00450005"/>
    <w:rsid w:val="00450022"/>
    <w:rsid w:val="004505A7"/>
    <w:rsid w:val="00450937"/>
    <w:rsid w:val="004515E6"/>
    <w:rsid w:val="004516ED"/>
    <w:rsid w:val="0045263B"/>
    <w:rsid w:val="00452B81"/>
    <w:rsid w:val="004538AE"/>
    <w:rsid w:val="004539CB"/>
    <w:rsid w:val="00453D9B"/>
    <w:rsid w:val="004541BB"/>
    <w:rsid w:val="00454A15"/>
    <w:rsid w:val="00454A54"/>
    <w:rsid w:val="00454DF0"/>
    <w:rsid w:val="00455B15"/>
    <w:rsid w:val="00456428"/>
    <w:rsid w:val="0045661D"/>
    <w:rsid w:val="00456906"/>
    <w:rsid w:val="00456A90"/>
    <w:rsid w:val="00456CBC"/>
    <w:rsid w:val="00457024"/>
    <w:rsid w:val="00457205"/>
    <w:rsid w:val="00457862"/>
    <w:rsid w:val="00457E59"/>
    <w:rsid w:val="00460401"/>
    <w:rsid w:val="004604AB"/>
    <w:rsid w:val="004605D2"/>
    <w:rsid w:val="00461107"/>
    <w:rsid w:val="00461858"/>
    <w:rsid w:val="0046223C"/>
    <w:rsid w:val="00462A64"/>
    <w:rsid w:val="00462A7B"/>
    <w:rsid w:val="00463167"/>
    <w:rsid w:val="00463518"/>
    <w:rsid w:val="0046470A"/>
    <w:rsid w:val="00464B8C"/>
    <w:rsid w:val="00465017"/>
    <w:rsid w:val="0046509F"/>
    <w:rsid w:val="004654D4"/>
    <w:rsid w:val="00465C31"/>
    <w:rsid w:val="00465D47"/>
    <w:rsid w:val="004660DD"/>
    <w:rsid w:val="00466A16"/>
    <w:rsid w:val="00466D60"/>
    <w:rsid w:val="00466D90"/>
    <w:rsid w:val="00466E47"/>
    <w:rsid w:val="0046701F"/>
    <w:rsid w:val="00467ED4"/>
    <w:rsid w:val="00467FD1"/>
    <w:rsid w:val="00470045"/>
    <w:rsid w:val="00470D7F"/>
    <w:rsid w:val="00470DA8"/>
    <w:rsid w:val="004713E0"/>
    <w:rsid w:val="00471DCF"/>
    <w:rsid w:val="00471FE1"/>
    <w:rsid w:val="00472461"/>
    <w:rsid w:val="00472748"/>
    <w:rsid w:val="00472750"/>
    <w:rsid w:val="0047388B"/>
    <w:rsid w:val="0047396F"/>
    <w:rsid w:val="00474133"/>
    <w:rsid w:val="004756A5"/>
    <w:rsid w:val="004756C4"/>
    <w:rsid w:val="00475B2F"/>
    <w:rsid w:val="00475DF2"/>
    <w:rsid w:val="00476976"/>
    <w:rsid w:val="00476F43"/>
    <w:rsid w:val="004771A0"/>
    <w:rsid w:val="00477FBC"/>
    <w:rsid w:val="00480852"/>
    <w:rsid w:val="00480A1C"/>
    <w:rsid w:val="0048175B"/>
    <w:rsid w:val="00481B8E"/>
    <w:rsid w:val="00481D9A"/>
    <w:rsid w:val="00481DE2"/>
    <w:rsid w:val="00482158"/>
    <w:rsid w:val="00482518"/>
    <w:rsid w:val="00482C36"/>
    <w:rsid w:val="004832AC"/>
    <w:rsid w:val="00483846"/>
    <w:rsid w:val="004842DA"/>
    <w:rsid w:val="004845C3"/>
    <w:rsid w:val="00484FB6"/>
    <w:rsid w:val="0048505F"/>
    <w:rsid w:val="00485A8B"/>
    <w:rsid w:val="00486000"/>
    <w:rsid w:val="00486229"/>
    <w:rsid w:val="00486AB0"/>
    <w:rsid w:val="00486C6D"/>
    <w:rsid w:val="00487001"/>
    <w:rsid w:val="00487224"/>
    <w:rsid w:val="00487E26"/>
    <w:rsid w:val="004906C2"/>
    <w:rsid w:val="00490F98"/>
    <w:rsid w:val="00491314"/>
    <w:rsid w:val="00491639"/>
    <w:rsid w:val="004917FD"/>
    <w:rsid w:val="004924AF"/>
    <w:rsid w:val="00492B12"/>
    <w:rsid w:val="00492C1F"/>
    <w:rsid w:val="00492E07"/>
    <w:rsid w:val="00492E5B"/>
    <w:rsid w:val="00493628"/>
    <w:rsid w:val="00493757"/>
    <w:rsid w:val="00493985"/>
    <w:rsid w:val="0049440A"/>
    <w:rsid w:val="004947D3"/>
    <w:rsid w:val="00494AC9"/>
    <w:rsid w:val="004952AA"/>
    <w:rsid w:val="00495660"/>
    <w:rsid w:val="00495667"/>
    <w:rsid w:val="00495CE4"/>
    <w:rsid w:val="00495F8D"/>
    <w:rsid w:val="004960A3"/>
    <w:rsid w:val="00496792"/>
    <w:rsid w:val="00496CBE"/>
    <w:rsid w:val="00496D49"/>
    <w:rsid w:val="00497575"/>
    <w:rsid w:val="0049796B"/>
    <w:rsid w:val="004979BF"/>
    <w:rsid w:val="00497A28"/>
    <w:rsid w:val="00497B01"/>
    <w:rsid w:val="004A04F9"/>
    <w:rsid w:val="004A0563"/>
    <w:rsid w:val="004A0736"/>
    <w:rsid w:val="004A0BB6"/>
    <w:rsid w:val="004A0D0B"/>
    <w:rsid w:val="004A0F63"/>
    <w:rsid w:val="004A1AC7"/>
    <w:rsid w:val="004A1D87"/>
    <w:rsid w:val="004A1EEB"/>
    <w:rsid w:val="004A25ED"/>
    <w:rsid w:val="004A26C3"/>
    <w:rsid w:val="004A278F"/>
    <w:rsid w:val="004A2F48"/>
    <w:rsid w:val="004A329C"/>
    <w:rsid w:val="004A3648"/>
    <w:rsid w:val="004A3AEA"/>
    <w:rsid w:val="004A4208"/>
    <w:rsid w:val="004A424C"/>
    <w:rsid w:val="004A43D6"/>
    <w:rsid w:val="004A455D"/>
    <w:rsid w:val="004A483A"/>
    <w:rsid w:val="004A5221"/>
    <w:rsid w:val="004A56AF"/>
    <w:rsid w:val="004A59B5"/>
    <w:rsid w:val="004A6324"/>
    <w:rsid w:val="004A637D"/>
    <w:rsid w:val="004A65EB"/>
    <w:rsid w:val="004A6CD5"/>
    <w:rsid w:val="004A76DE"/>
    <w:rsid w:val="004A7878"/>
    <w:rsid w:val="004A7D28"/>
    <w:rsid w:val="004B02F3"/>
    <w:rsid w:val="004B066A"/>
    <w:rsid w:val="004B1883"/>
    <w:rsid w:val="004B1E93"/>
    <w:rsid w:val="004B209D"/>
    <w:rsid w:val="004B29C5"/>
    <w:rsid w:val="004B2E4F"/>
    <w:rsid w:val="004B3008"/>
    <w:rsid w:val="004B309B"/>
    <w:rsid w:val="004B31C7"/>
    <w:rsid w:val="004B359C"/>
    <w:rsid w:val="004B35CA"/>
    <w:rsid w:val="004B38EC"/>
    <w:rsid w:val="004B4419"/>
    <w:rsid w:val="004B44C6"/>
    <w:rsid w:val="004B4C46"/>
    <w:rsid w:val="004B4F8B"/>
    <w:rsid w:val="004B534A"/>
    <w:rsid w:val="004B5CBF"/>
    <w:rsid w:val="004B6529"/>
    <w:rsid w:val="004B663A"/>
    <w:rsid w:val="004B6826"/>
    <w:rsid w:val="004B6833"/>
    <w:rsid w:val="004B6CA5"/>
    <w:rsid w:val="004B6F03"/>
    <w:rsid w:val="004B7CB2"/>
    <w:rsid w:val="004C020A"/>
    <w:rsid w:val="004C078B"/>
    <w:rsid w:val="004C0CD7"/>
    <w:rsid w:val="004C2314"/>
    <w:rsid w:val="004C29DD"/>
    <w:rsid w:val="004C2AAA"/>
    <w:rsid w:val="004C313E"/>
    <w:rsid w:val="004C3289"/>
    <w:rsid w:val="004C32AE"/>
    <w:rsid w:val="004C3A6A"/>
    <w:rsid w:val="004C3D17"/>
    <w:rsid w:val="004C4BBB"/>
    <w:rsid w:val="004C5221"/>
    <w:rsid w:val="004C570F"/>
    <w:rsid w:val="004C592C"/>
    <w:rsid w:val="004C598F"/>
    <w:rsid w:val="004C5F20"/>
    <w:rsid w:val="004C6EED"/>
    <w:rsid w:val="004C710B"/>
    <w:rsid w:val="004C7654"/>
    <w:rsid w:val="004C7848"/>
    <w:rsid w:val="004C7CA7"/>
    <w:rsid w:val="004C7F1A"/>
    <w:rsid w:val="004C7F8B"/>
    <w:rsid w:val="004D004E"/>
    <w:rsid w:val="004D05BE"/>
    <w:rsid w:val="004D0786"/>
    <w:rsid w:val="004D0CED"/>
    <w:rsid w:val="004D0DDD"/>
    <w:rsid w:val="004D1519"/>
    <w:rsid w:val="004D160E"/>
    <w:rsid w:val="004D162E"/>
    <w:rsid w:val="004D1863"/>
    <w:rsid w:val="004D186A"/>
    <w:rsid w:val="004D2607"/>
    <w:rsid w:val="004D3316"/>
    <w:rsid w:val="004D3560"/>
    <w:rsid w:val="004D3827"/>
    <w:rsid w:val="004D4089"/>
    <w:rsid w:val="004D5F06"/>
    <w:rsid w:val="004D6C8E"/>
    <w:rsid w:val="004D6DDF"/>
    <w:rsid w:val="004D6FC0"/>
    <w:rsid w:val="004D72F2"/>
    <w:rsid w:val="004D77B1"/>
    <w:rsid w:val="004D7B4B"/>
    <w:rsid w:val="004D7DAF"/>
    <w:rsid w:val="004E0430"/>
    <w:rsid w:val="004E0902"/>
    <w:rsid w:val="004E127B"/>
    <w:rsid w:val="004E12EF"/>
    <w:rsid w:val="004E1728"/>
    <w:rsid w:val="004E184B"/>
    <w:rsid w:val="004E1FC8"/>
    <w:rsid w:val="004E2DF1"/>
    <w:rsid w:val="004E3277"/>
    <w:rsid w:val="004E38F9"/>
    <w:rsid w:val="004E3CBC"/>
    <w:rsid w:val="004E4752"/>
    <w:rsid w:val="004E498B"/>
    <w:rsid w:val="004E5047"/>
    <w:rsid w:val="004E5365"/>
    <w:rsid w:val="004E5530"/>
    <w:rsid w:val="004E5971"/>
    <w:rsid w:val="004E59C8"/>
    <w:rsid w:val="004E5F18"/>
    <w:rsid w:val="004E6519"/>
    <w:rsid w:val="004E6B61"/>
    <w:rsid w:val="004E718A"/>
    <w:rsid w:val="004E78DB"/>
    <w:rsid w:val="004E7E5A"/>
    <w:rsid w:val="004E7EA9"/>
    <w:rsid w:val="004E7FFC"/>
    <w:rsid w:val="004F04C0"/>
    <w:rsid w:val="004F07DC"/>
    <w:rsid w:val="004F0836"/>
    <w:rsid w:val="004F0EA8"/>
    <w:rsid w:val="004F159D"/>
    <w:rsid w:val="004F1ACE"/>
    <w:rsid w:val="004F1CE7"/>
    <w:rsid w:val="004F203D"/>
    <w:rsid w:val="004F21D3"/>
    <w:rsid w:val="004F21D9"/>
    <w:rsid w:val="004F2A6D"/>
    <w:rsid w:val="004F356C"/>
    <w:rsid w:val="004F3D35"/>
    <w:rsid w:val="004F4350"/>
    <w:rsid w:val="004F4AFE"/>
    <w:rsid w:val="004F4D03"/>
    <w:rsid w:val="004F534C"/>
    <w:rsid w:val="004F591A"/>
    <w:rsid w:val="004F5E2E"/>
    <w:rsid w:val="004F6497"/>
    <w:rsid w:val="004F6768"/>
    <w:rsid w:val="004F6853"/>
    <w:rsid w:val="004F68EF"/>
    <w:rsid w:val="004F70A3"/>
    <w:rsid w:val="004F7B41"/>
    <w:rsid w:val="004F7BE4"/>
    <w:rsid w:val="004F7CDF"/>
    <w:rsid w:val="004F7F8D"/>
    <w:rsid w:val="00500262"/>
    <w:rsid w:val="00500DDE"/>
    <w:rsid w:val="00501823"/>
    <w:rsid w:val="00501D4D"/>
    <w:rsid w:val="0050307D"/>
    <w:rsid w:val="00503590"/>
    <w:rsid w:val="005035D2"/>
    <w:rsid w:val="0050400E"/>
    <w:rsid w:val="0050410D"/>
    <w:rsid w:val="005047B5"/>
    <w:rsid w:val="00504A92"/>
    <w:rsid w:val="00504BCB"/>
    <w:rsid w:val="005052A7"/>
    <w:rsid w:val="0050566C"/>
    <w:rsid w:val="00506595"/>
    <w:rsid w:val="005066A1"/>
    <w:rsid w:val="00506B9B"/>
    <w:rsid w:val="00507287"/>
    <w:rsid w:val="005075E8"/>
    <w:rsid w:val="0050773A"/>
    <w:rsid w:val="00510531"/>
    <w:rsid w:val="00511B50"/>
    <w:rsid w:val="0051246C"/>
    <w:rsid w:val="00512F92"/>
    <w:rsid w:val="0051353C"/>
    <w:rsid w:val="0051391E"/>
    <w:rsid w:val="00513A5E"/>
    <w:rsid w:val="005141AE"/>
    <w:rsid w:val="005147C1"/>
    <w:rsid w:val="00514F33"/>
    <w:rsid w:val="00514F5A"/>
    <w:rsid w:val="00515988"/>
    <w:rsid w:val="00516AD0"/>
    <w:rsid w:val="00516B18"/>
    <w:rsid w:val="00516B94"/>
    <w:rsid w:val="00516CFC"/>
    <w:rsid w:val="00517D69"/>
    <w:rsid w:val="00520111"/>
    <w:rsid w:val="00520D31"/>
    <w:rsid w:val="0052147D"/>
    <w:rsid w:val="005221D2"/>
    <w:rsid w:val="00522AF7"/>
    <w:rsid w:val="00522DE5"/>
    <w:rsid w:val="00524526"/>
    <w:rsid w:val="0052496A"/>
    <w:rsid w:val="00524E18"/>
    <w:rsid w:val="00524FD2"/>
    <w:rsid w:val="00525A29"/>
    <w:rsid w:val="00525BD7"/>
    <w:rsid w:val="005265CA"/>
    <w:rsid w:val="00526C32"/>
    <w:rsid w:val="00526CD3"/>
    <w:rsid w:val="00527048"/>
    <w:rsid w:val="00527871"/>
    <w:rsid w:val="00527898"/>
    <w:rsid w:val="00527EC9"/>
    <w:rsid w:val="00527FD8"/>
    <w:rsid w:val="0053033B"/>
    <w:rsid w:val="00530485"/>
    <w:rsid w:val="0053158B"/>
    <w:rsid w:val="005318C9"/>
    <w:rsid w:val="00531C50"/>
    <w:rsid w:val="00531E1A"/>
    <w:rsid w:val="0053272F"/>
    <w:rsid w:val="0053313D"/>
    <w:rsid w:val="005331D3"/>
    <w:rsid w:val="00533A08"/>
    <w:rsid w:val="00533A88"/>
    <w:rsid w:val="00533E9B"/>
    <w:rsid w:val="00534B9B"/>
    <w:rsid w:val="00535480"/>
    <w:rsid w:val="00535576"/>
    <w:rsid w:val="005360C8"/>
    <w:rsid w:val="00536475"/>
    <w:rsid w:val="0053647E"/>
    <w:rsid w:val="005364BE"/>
    <w:rsid w:val="00536510"/>
    <w:rsid w:val="00536CEB"/>
    <w:rsid w:val="0053720F"/>
    <w:rsid w:val="00537EAD"/>
    <w:rsid w:val="005403FF"/>
    <w:rsid w:val="0054043A"/>
    <w:rsid w:val="005406A8"/>
    <w:rsid w:val="005410D6"/>
    <w:rsid w:val="00541D0F"/>
    <w:rsid w:val="00542085"/>
    <w:rsid w:val="0054212C"/>
    <w:rsid w:val="00542288"/>
    <w:rsid w:val="00542716"/>
    <w:rsid w:val="005427C1"/>
    <w:rsid w:val="00542F83"/>
    <w:rsid w:val="00543149"/>
    <w:rsid w:val="005432BC"/>
    <w:rsid w:val="005441BE"/>
    <w:rsid w:val="005445C7"/>
    <w:rsid w:val="00544876"/>
    <w:rsid w:val="00544BA0"/>
    <w:rsid w:val="00544E50"/>
    <w:rsid w:val="005452E6"/>
    <w:rsid w:val="00545352"/>
    <w:rsid w:val="0054549B"/>
    <w:rsid w:val="00545C40"/>
    <w:rsid w:val="00545F6B"/>
    <w:rsid w:val="005463DD"/>
    <w:rsid w:val="0054688A"/>
    <w:rsid w:val="00546D5A"/>
    <w:rsid w:val="005473E7"/>
    <w:rsid w:val="00547EB3"/>
    <w:rsid w:val="00550C8F"/>
    <w:rsid w:val="00551F00"/>
    <w:rsid w:val="00551F0C"/>
    <w:rsid w:val="005520FB"/>
    <w:rsid w:val="00552487"/>
    <w:rsid w:val="005526F2"/>
    <w:rsid w:val="005534F2"/>
    <w:rsid w:val="00553995"/>
    <w:rsid w:val="00553CD0"/>
    <w:rsid w:val="005548A9"/>
    <w:rsid w:val="00554C06"/>
    <w:rsid w:val="00554EA9"/>
    <w:rsid w:val="005550F4"/>
    <w:rsid w:val="00555A88"/>
    <w:rsid w:val="005561B7"/>
    <w:rsid w:val="00556447"/>
    <w:rsid w:val="0055695E"/>
    <w:rsid w:val="00556D45"/>
    <w:rsid w:val="005572EC"/>
    <w:rsid w:val="00557415"/>
    <w:rsid w:val="00557CED"/>
    <w:rsid w:val="005601DA"/>
    <w:rsid w:val="00560265"/>
    <w:rsid w:val="0056090A"/>
    <w:rsid w:val="005609ED"/>
    <w:rsid w:val="0056112D"/>
    <w:rsid w:val="0056127A"/>
    <w:rsid w:val="0056190B"/>
    <w:rsid w:val="00561A7A"/>
    <w:rsid w:val="005621FD"/>
    <w:rsid w:val="0056226C"/>
    <w:rsid w:val="00562284"/>
    <w:rsid w:val="00562F17"/>
    <w:rsid w:val="005632BF"/>
    <w:rsid w:val="005633F4"/>
    <w:rsid w:val="005635A7"/>
    <w:rsid w:val="005635C7"/>
    <w:rsid w:val="00563871"/>
    <w:rsid w:val="00563C82"/>
    <w:rsid w:val="0056413C"/>
    <w:rsid w:val="00564AC4"/>
    <w:rsid w:val="00564ACA"/>
    <w:rsid w:val="00564C93"/>
    <w:rsid w:val="00564F81"/>
    <w:rsid w:val="005654FC"/>
    <w:rsid w:val="005655FE"/>
    <w:rsid w:val="00565769"/>
    <w:rsid w:val="00565C97"/>
    <w:rsid w:val="005662F6"/>
    <w:rsid w:val="005670E0"/>
    <w:rsid w:val="0056764E"/>
    <w:rsid w:val="00567AE5"/>
    <w:rsid w:val="00567F03"/>
    <w:rsid w:val="005709B6"/>
    <w:rsid w:val="00570A40"/>
    <w:rsid w:val="00570BD0"/>
    <w:rsid w:val="00570E20"/>
    <w:rsid w:val="00570FBA"/>
    <w:rsid w:val="005720F8"/>
    <w:rsid w:val="0057212C"/>
    <w:rsid w:val="005721B3"/>
    <w:rsid w:val="005721B6"/>
    <w:rsid w:val="005723DA"/>
    <w:rsid w:val="00572EB6"/>
    <w:rsid w:val="00572F7C"/>
    <w:rsid w:val="00573509"/>
    <w:rsid w:val="00573B38"/>
    <w:rsid w:val="00573C41"/>
    <w:rsid w:val="00573DB3"/>
    <w:rsid w:val="00573DD0"/>
    <w:rsid w:val="00573FD8"/>
    <w:rsid w:val="0057417D"/>
    <w:rsid w:val="005741BF"/>
    <w:rsid w:val="0057442D"/>
    <w:rsid w:val="00574440"/>
    <w:rsid w:val="005744B0"/>
    <w:rsid w:val="00575F5A"/>
    <w:rsid w:val="00576538"/>
    <w:rsid w:val="00576961"/>
    <w:rsid w:val="00576AF4"/>
    <w:rsid w:val="005770A6"/>
    <w:rsid w:val="005770BA"/>
    <w:rsid w:val="00577D58"/>
    <w:rsid w:val="005800E9"/>
    <w:rsid w:val="005805AC"/>
    <w:rsid w:val="00580807"/>
    <w:rsid w:val="00580B93"/>
    <w:rsid w:val="00580D3C"/>
    <w:rsid w:val="00581694"/>
    <w:rsid w:val="0058179E"/>
    <w:rsid w:val="005820FB"/>
    <w:rsid w:val="005821F1"/>
    <w:rsid w:val="005823E3"/>
    <w:rsid w:val="00582AD2"/>
    <w:rsid w:val="00582D4B"/>
    <w:rsid w:val="00582DAE"/>
    <w:rsid w:val="0058314D"/>
    <w:rsid w:val="005836FC"/>
    <w:rsid w:val="005855F1"/>
    <w:rsid w:val="0058571A"/>
    <w:rsid w:val="00585B3A"/>
    <w:rsid w:val="00585FD3"/>
    <w:rsid w:val="00586D5F"/>
    <w:rsid w:val="00587079"/>
    <w:rsid w:val="0058710E"/>
    <w:rsid w:val="0058733F"/>
    <w:rsid w:val="00587502"/>
    <w:rsid w:val="00587638"/>
    <w:rsid w:val="0058782B"/>
    <w:rsid w:val="00587D57"/>
    <w:rsid w:val="00587D60"/>
    <w:rsid w:val="00590552"/>
    <w:rsid w:val="005907BE"/>
    <w:rsid w:val="00590988"/>
    <w:rsid w:val="00590B8E"/>
    <w:rsid w:val="005912CE"/>
    <w:rsid w:val="0059190D"/>
    <w:rsid w:val="00591D29"/>
    <w:rsid w:val="00591DFF"/>
    <w:rsid w:val="0059203F"/>
    <w:rsid w:val="00592650"/>
    <w:rsid w:val="00592845"/>
    <w:rsid w:val="00592880"/>
    <w:rsid w:val="00592BE3"/>
    <w:rsid w:val="00592FD5"/>
    <w:rsid w:val="005930F0"/>
    <w:rsid w:val="00593370"/>
    <w:rsid w:val="00593518"/>
    <w:rsid w:val="00593D2E"/>
    <w:rsid w:val="00593E3F"/>
    <w:rsid w:val="005949D1"/>
    <w:rsid w:val="00594DED"/>
    <w:rsid w:val="00594FC5"/>
    <w:rsid w:val="005950AA"/>
    <w:rsid w:val="00595519"/>
    <w:rsid w:val="0059562D"/>
    <w:rsid w:val="0059567F"/>
    <w:rsid w:val="00595AA3"/>
    <w:rsid w:val="00595BAD"/>
    <w:rsid w:val="00595D3B"/>
    <w:rsid w:val="00595D8F"/>
    <w:rsid w:val="00595F42"/>
    <w:rsid w:val="00595F64"/>
    <w:rsid w:val="00596375"/>
    <w:rsid w:val="0059696E"/>
    <w:rsid w:val="00596B8B"/>
    <w:rsid w:val="00597059"/>
    <w:rsid w:val="00597193"/>
    <w:rsid w:val="005977CB"/>
    <w:rsid w:val="00597E7C"/>
    <w:rsid w:val="00597F69"/>
    <w:rsid w:val="005A0042"/>
    <w:rsid w:val="005A0131"/>
    <w:rsid w:val="005A0DA6"/>
    <w:rsid w:val="005A0ED4"/>
    <w:rsid w:val="005A194F"/>
    <w:rsid w:val="005A1D59"/>
    <w:rsid w:val="005A22EB"/>
    <w:rsid w:val="005A245D"/>
    <w:rsid w:val="005A2791"/>
    <w:rsid w:val="005A2DBD"/>
    <w:rsid w:val="005A310A"/>
    <w:rsid w:val="005A34CD"/>
    <w:rsid w:val="005A3A00"/>
    <w:rsid w:val="005A3F3F"/>
    <w:rsid w:val="005A4131"/>
    <w:rsid w:val="005A4154"/>
    <w:rsid w:val="005A4290"/>
    <w:rsid w:val="005A42FD"/>
    <w:rsid w:val="005A49D5"/>
    <w:rsid w:val="005A5067"/>
    <w:rsid w:val="005A5117"/>
    <w:rsid w:val="005A5645"/>
    <w:rsid w:val="005A614C"/>
    <w:rsid w:val="005A624D"/>
    <w:rsid w:val="005A646E"/>
    <w:rsid w:val="005A6ACD"/>
    <w:rsid w:val="005A6DC0"/>
    <w:rsid w:val="005A7768"/>
    <w:rsid w:val="005B000C"/>
    <w:rsid w:val="005B02B4"/>
    <w:rsid w:val="005B082A"/>
    <w:rsid w:val="005B0E69"/>
    <w:rsid w:val="005B2139"/>
    <w:rsid w:val="005B22D3"/>
    <w:rsid w:val="005B28ED"/>
    <w:rsid w:val="005B2E80"/>
    <w:rsid w:val="005B31B5"/>
    <w:rsid w:val="005B31C9"/>
    <w:rsid w:val="005B3F38"/>
    <w:rsid w:val="005B41D3"/>
    <w:rsid w:val="005B4D8D"/>
    <w:rsid w:val="005B4F1A"/>
    <w:rsid w:val="005B5021"/>
    <w:rsid w:val="005B535A"/>
    <w:rsid w:val="005B55DA"/>
    <w:rsid w:val="005B5D20"/>
    <w:rsid w:val="005B6065"/>
    <w:rsid w:val="005B67C0"/>
    <w:rsid w:val="005B6E13"/>
    <w:rsid w:val="005B6FF0"/>
    <w:rsid w:val="005B7369"/>
    <w:rsid w:val="005B7E93"/>
    <w:rsid w:val="005C0015"/>
    <w:rsid w:val="005C02C4"/>
    <w:rsid w:val="005C040E"/>
    <w:rsid w:val="005C16E5"/>
    <w:rsid w:val="005C17F6"/>
    <w:rsid w:val="005C1E36"/>
    <w:rsid w:val="005C2045"/>
    <w:rsid w:val="005C2A1B"/>
    <w:rsid w:val="005C2D6A"/>
    <w:rsid w:val="005C30FE"/>
    <w:rsid w:val="005C322F"/>
    <w:rsid w:val="005C3780"/>
    <w:rsid w:val="005C3784"/>
    <w:rsid w:val="005C37B1"/>
    <w:rsid w:val="005C3A86"/>
    <w:rsid w:val="005C449D"/>
    <w:rsid w:val="005C4581"/>
    <w:rsid w:val="005C4BDF"/>
    <w:rsid w:val="005C4E5B"/>
    <w:rsid w:val="005C5149"/>
    <w:rsid w:val="005C5325"/>
    <w:rsid w:val="005C55EE"/>
    <w:rsid w:val="005C581E"/>
    <w:rsid w:val="005C62D4"/>
    <w:rsid w:val="005C6489"/>
    <w:rsid w:val="005C6834"/>
    <w:rsid w:val="005C6AA6"/>
    <w:rsid w:val="005C717B"/>
    <w:rsid w:val="005C75A4"/>
    <w:rsid w:val="005C75F3"/>
    <w:rsid w:val="005C7644"/>
    <w:rsid w:val="005C7EA6"/>
    <w:rsid w:val="005C7F85"/>
    <w:rsid w:val="005D0237"/>
    <w:rsid w:val="005D133A"/>
    <w:rsid w:val="005D133E"/>
    <w:rsid w:val="005D148F"/>
    <w:rsid w:val="005D15E1"/>
    <w:rsid w:val="005D17ED"/>
    <w:rsid w:val="005D1A96"/>
    <w:rsid w:val="005D1CD2"/>
    <w:rsid w:val="005D1F5A"/>
    <w:rsid w:val="005D21E6"/>
    <w:rsid w:val="005D2420"/>
    <w:rsid w:val="005D2AFE"/>
    <w:rsid w:val="005D2FD8"/>
    <w:rsid w:val="005D371D"/>
    <w:rsid w:val="005D4187"/>
    <w:rsid w:val="005D450F"/>
    <w:rsid w:val="005D4542"/>
    <w:rsid w:val="005D4651"/>
    <w:rsid w:val="005D4A43"/>
    <w:rsid w:val="005D55CC"/>
    <w:rsid w:val="005D66EB"/>
    <w:rsid w:val="005D72EF"/>
    <w:rsid w:val="005D75BD"/>
    <w:rsid w:val="005D760F"/>
    <w:rsid w:val="005D77D3"/>
    <w:rsid w:val="005D78D9"/>
    <w:rsid w:val="005D798E"/>
    <w:rsid w:val="005D7D2B"/>
    <w:rsid w:val="005E00FC"/>
    <w:rsid w:val="005E08B2"/>
    <w:rsid w:val="005E12C6"/>
    <w:rsid w:val="005E1DAF"/>
    <w:rsid w:val="005E252C"/>
    <w:rsid w:val="005E2DE9"/>
    <w:rsid w:val="005E32E6"/>
    <w:rsid w:val="005E41EE"/>
    <w:rsid w:val="005E4804"/>
    <w:rsid w:val="005E49EE"/>
    <w:rsid w:val="005E4BFB"/>
    <w:rsid w:val="005E55E1"/>
    <w:rsid w:val="005E56C2"/>
    <w:rsid w:val="005E57AB"/>
    <w:rsid w:val="005E5F64"/>
    <w:rsid w:val="005E64D3"/>
    <w:rsid w:val="005E6693"/>
    <w:rsid w:val="005E6E03"/>
    <w:rsid w:val="005E6E8D"/>
    <w:rsid w:val="005E6ED6"/>
    <w:rsid w:val="005E6F25"/>
    <w:rsid w:val="005E6F44"/>
    <w:rsid w:val="005E73A6"/>
    <w:rsid w:val="005E781A"/>
    <w:rsid w:val="005F00E5"/>
    <w:rsid w:val="005F024A"/>
    <w:rsid w:val="005F0A5B"/>
    <w:rsid w:val="005F0B32"/>
    <w:rsid w:val="005F1965"/>
    <w:rsid w:val="005F1A82"/>
    <w:rsid w:val="005F2188"/>
    <w:rsid w:val="005F23F0"/>
    <w:rsid w:val="005F2A0C"/>
    <w:rsid w:val="005F2C0B"/>
    <w:rsid w:val="005F3BC3"/>
    <w:rsid w:val="005F3C36"/>
    <w:rsid w:val="005F41C3"/>
    <w:rsid w:val="005F4579"/>
    <w:rsid w:val="005F4587"/>
    <w:rsid w:val="005F4ADF"/>
    <w:rsid w:val="005F563F"/>
    <w:rsid w:val="005F56C2"/>
    <w:rsid w:val="005F5A1F"/>
    <w:rsid w:val="005F662A"/>
    <w:rsid w:val="005F6909"/>
    <w:rsid w:val="005F690E"/>
    <w:rsid w:val="005F73D9"/>
    <w:rsid w:val="005F7C50"/>
    <w:rsid w:val="005F7DA0"/>
    <w:rsid w:val="006006C4"/>
    <w:rsid w:val="00600BDA"/>
    <w:rsid w:val="0060192F"/>
    <w:rsid w:val="006024F6"/>
    <w:rsid w:val="00602AB6"/>
    <w:rsid w:val="00602CDB"/>
    <w:rsid w:val="0060320F"/>
    <w:rsid w:val="0060348A"/>
    <w:rsid w:val="006037E2"/>
    <w:rsid w:val="00603C57"/>
    <w:rsid w:val="006043AE"/>
    <w:rsid w:val="00604F6F"/>
    <w:rsid w:val="00605349"/>
    <w:rsid w:val="00606077"/>
    <w:rsid w:val="00606103"/>
    <w:rsid w:val="00606127"/>
    <w:rsid w:val="0060671B"/>
    <w:rsid w:val="006068EC"/>
    <w:rsid w:val="0060694E"/>
    <w:rsid w:val="00607399"/>
    <w:rsid w:val="00607F99"/>
    <w:rsid w:val="00607FC9"/>
    <w:rsid w:val="0061037F"/>
    <w:rsid w:val="006103AD"/>
    <w:rsid w:val="00610B44"/>
    <w:rsid w:val="00610E20"/>
    <w:rsid w:val="00610EA2"/>
    <w:rsid w:val="0061110C"/>
    <w:rsid w:val="00611C27"/>
    <w:rsid w:val="00611ED7"/>
    <w:rsid w:val="00611FA1"/>
    <w:rsid w:val="0061213A"/>
    <w:rsid w:val="0061240A"/>
    <w:rsid w:val="00612608"/>
    <w:rsid w:val="0061337B"/>
    <w:rsid w:val="0061376F"/>
    <w:rsid w:val="0061386E"/>
    <w:rsid w:val="00613CEC"/>
    <w:rsid w:val="00613F2B"/>
    <w:rsid w:val="00615A98"/>
    <w:rsid w:val="00615C61"/>
    <w:rsid w:val="00615CCD"/>
    <w:rsid w:val="006169F3"/>
    <w:rsid w:val="00616AFB"/>
    <w:rsid w:val="00616D13"/>
    <w:rsid w:val="00616F94"/>
    <w:rsid w:val="00617D27"/>
    <w:rsid w:val="006203AF"/>
    <w:rsid w:val="00620415"/>
    <w:rsid w:val="006213C8"/>
    <w:rsid w:val="006216BF"/>
    <w:rsid w:val="00621CC2"/>
    <w:rsid w:val="00621EA7"/>
    <w:rsid w:val="00621F99"/>
    <w:rsid w:val="00623017"/>
    <w:rsid w:val="006231D5"/>
    <w:rsid w:val="00623334"/>
    <w:rsid w:val="0062389E"/>
    <w:rsid w:val="006239F3"/>
    <w:rsid w:val="00624D19"/>
    <w:rsid w:val="006255B3"/>
    <w:rsid w:val="0062565B"/>
    <w:rsid w:val="00625729"/>
    <w:rsid w:val="00625FEA"/>
    <w:rsid w:val="00626329"/>
    <w:rsid w:val="00626553"/>
    <w:rsid w:val="00626A96"/>
    <w:rsid w:val="00626B43"/>
    <w:rsid w:val="00626DAE"/>
    <w:rsid w:val="00627285"/>
    <w:rsid w:val="00627572"/>
    <w:rsid w:val="0063004C"/>
    <w:rsid w:val="00630421"/>
    <w:rsid w:val="006306AF"/>
    <w:rsid w:val="0063161C"/>
    <w:rsid w:val="00631A8E"/>
    <w:rsid w:val="00631B02"/>
    <w:rsid w:val="00632819"/>
    <w:rsid w:val="0063284B"/>
    <w:rsid w:val="00632CEB"/>
    <w:rsid w:val="0063325C"/>
    <w:rsid w:val="006338C1"/>
    <w:rsid w:val="00633B80"/>
    <w:rsid w:val="006341A0"/>
    <w:rsid w:val="00634441"/>
    <w:rsid w:val="00634659"/>
    <w:rsid w:val="00634678"/>
    <w:rsid w:val="006348C7"/>
    <w:rsid w:val="00634C24"/>
    <w:rsid w:val="006352F9"/>
    <w:rsid w:val="006355A2"/>
    <w:rsid w:val="00635C53"/>
    <w:rsid w:val="00636345"/>
    <w:rsid w:val="00636677"/>
    <w:rsid w:val="006376BB"/>
    <w:rsid w:val="00637752"/>
    <w:rsid w:val="00640481"/>
    <w:rsid w:val="006404C9"/>
    <w:rsid w:val="00640A58"/>
    <w:rsid w:val="00640FB7"/>
    <w:rsid w:val="006419FE"/>
    <w:rsid w:val="00641A9C"/>
    <w:rsid w:val="00641E69"/>
    <w:rsid w:val="006422E0"/>
    <w:rsid w:val="00642827"/>
    <w:rsid w:val="006440CE"/>
    <w:rsid w:val="006442AD"/>
    <w:rsid w:val="00644347"/>
    <w:rsid w:val="00645284"/>
    <w:rsid w:val="006454EC"/>
    <w:rsid w:val="00645F6B"/>
    <w:rsid w:val="00646DF2"/>
    <w:rsid w:val="006471D3"/>
    <w:rsid w:val="00647226"/>
    <w:rsid w:val="006478EB"/>
    <w:rsid w:val="0064796B"/>
    <w:rsid w:val="00647C5F"/>
    <w:rsid w:val="00650BDC"/>
    <w:rsid w:val="00650F74"/>
    <w:rsid w:val="00650FB4"/>
    <w:rsid w:val="00651353"/>
    <w:rsid w:val="006519C6"/>
    <w:rsid w:val="00651B59"/>
    <w:rsid w:val="00652451"/>
    <w:rsid w:val="006525EE"/>
    <w:rsid w:val="00652B8F"/>
    <w:rsid w:val="00652F41"/>
    <w:rsid w:val="00653898"/>
    <w:rsid w:val="00654131"/>
    <w:rsid w:val="00654616"/>
    <w:rsid w:val="006550F3"/>
    <w:rsid w:val="0065608A"/>
    <w:rsid w:val="00656165"/>
    <w:rsid w:val="006562C2"/>
    <w:rsid w:val="00656374"/>
    <w:rsid w:val="006563A5"/>
    <w:rsid w:val="00657522"/>
    <w:rsid w:val="006576D8"/>
    <w:rsid w:val="006576F5"/>
    <w:rsid w:val="006578A9"/>
    <w:rsid w:val="00657D57"/>
    <w:rsid w:val="006600C3"/>
    <w:rsid w:val="00661971"/>
    <w:rsid w:val="00661C63"/>
    <w:rsid w:val="006627F2"/>
    <w:rsid w:val="00662947"/>
    <w:rsid w:val="00662EBA"/>
    <w:rsid w:val="00663964"/>
    <w:rsid w:val="00663B62"/>
    <w:rsid w:val="00663C7A"/>
    <w:rsid w:val="00663FC4"/>
    <w:rsid w:val="00664297"/>
    <w:rsid w:val="00664749"/>
    <w:rsid w:val="0066611F"/>
    <w:rsid w:val="00666E80"/>
    <w:rsid w:val="00666EC8"/>
    <w:rsid w:val="00667555"/>
    <w:rsid w:val="00667567"/>
    <w:rsid w:val="00667598"/>
    <w:rsid w:val="0066760C"/>
    <w:rsid w:val="00667BA9"/>
    <w:rsid w:val="00670563"/>
    <w:rsid w:val="00670EE3"/>
    <w:rsid w:val="00670FC9"/>
    <w:rsid w:val="0067132B"/>
    <w:rsid w:val="006713D1"/>
    <w:rsid w:val="006717FF"/>
    <w:rsid w:val="00671C94"/>
    <w:rsid w:val="00671CB5"/>
    <w:rsid w:val="00672159"/>
    <w:rsid w:val="00672635"/>
    <w:rsid w:val="006728C3"/>
    <w:rsid w:val="00672BDF"/>
    <w:rsid w:val="00672F3F"/>
    <w:rsid w:val="006738FA"/>
    <w:rsid w:val="00673AB6"/>
    <w:rsid w:val="00673B23"/>
    <w:rsid w:val="00673EC8"/>
    <w:rsid w:val="006741A2"/>
    <w:rsid w:val="006741AF"/>
    <w:rsid w:val="00674E00"/>
    <w:rsid w:val="00674E45"/>
    <w:rsid w:val="00674E50"/>
    <w:rsid w:val="00675D3D"/>
    <w:rsid w:val="00675E30"/>
    <w:rsid w:val="006762AE"/>
    <w:rsid w:val="00676A57"/>
    <w:rsid w:val="00676D33"/>
    <w:rsid w:val="00677360"/>
    <w:rsid w:val="0068000F"/>
    <w:rsid w:val="00680379"/>
    <w:rsid w:val="006807C9"/>
    <w:rsid w:val="00680A07"/>
    <w:rsid w:val="00681773"/>
    <w:rsid w:val="006819AA"/>
    <w:rsid w:val="00681C57"/>
    <w:rsid w:val="00682D60"/>
    <w:rsid w:val="00682FCE"/>
    <w:rsid w:val="006835EE"/>
    <w:rsid w:val="00683657"/>
    <w:rsid w:val="00684094"/>
    <w:rsid w:val="006841BE"/>
    <w:rsid w:val="0068455E"/>
    <w:rsid w:val="00684680"/>
    <w:rsid w:val="0068493E"/>
    <w:rsid w:val="00684ACC"/>
    <w:rsid w:val="00684F9D"/>
    <w:rsid w:val="0068542C"/>
    <w:rsid w:val="006854F5"/>
    <w:rsid w:val="00685D11"/>
    <w:rsid w:val="00685E9D"/>
    <w:rsid w:val="0068615F"/>
    <w:rsid w:val="006863BD"/>
    <w:rsid w:val="006868CC"/>
    <w:rsid w:val="0068691D"/>
    <w:rsid w:val="00686DE6"/>
    <w:rsid w:val="0068703C"/>
    <w:rsid w:val="006870BB"/>
    <w:rsid w:val="00687F66"/>
    <w:rsid w:val="006903C6"/>
    <w:rsid w:val="00690533"/>
    <w:rsid w:val="00690820"/>
    <w:rsid w:val="00690ACA"/>
    <w:rsid w:val="00690BC5"/>
    <w:rsid w:val="0069134E"/>
    <w:rsid w:val="00691640"/>
    <w:rsid w:val="00691C2C"/>
    <w:rsid w:val="006920ED"/>
    <w:rsid w:val="006924B6"/>
    <w:rsid w:val="00692693"/>
    <w:rsid w:val="006927AE"/>
    <w:rsid w:val="00692BA8"/>
    <w:rsid w:val="006930BD"/>
    <w:rsid w:val="006939DC"/>
    <w:rsid w:val="00693ADA"/>
    <w:rsid w:val="00693ED1"/>
    <w:rsid w:val="006942ED"/>
    <w:rsid w:val="00694683"/>
    <w:rsid w:val="00694CC2"/>
    <w:rsid w:val="00694E0E"/>
    <w:rsid w:val="006951FC"/>
    <w:rsid w:val="00695607"/>
    <w:rsid w:val="00695687"/>
    <w:rsid w:val="00695AF2"/>
    <w:rsid w:val="00695C28"/>
    <w:rsid w:val="006960C6"/>
    <w:rsid w:val="006960EC"/>
    <w:rsid w:val="0069645C"/>
    <w:rsid w:val="0069677E"/>
    <w:rsid w:val="00696DBC"/>
    <w:rsid w:val="00697A4E"/>
    <w:rsid w:val="00697A7D"/>
    <w:rsid w:val="00697BD1"/>
    <w:rsid w:val="00697D34"/>
    <w:rsid w:val="00697E40"/>
    <w:rsid w:val="006A02AE"/>
    <w:rsid w:val="006A0885"/>
    <w:rsid w:val="006A0E4A"/>
    <w:rsid w:val="006A0F09"/>
    <w:rsid w:val="006A142C"/>
    <w:rsid w:val="006A14E8"/>
    <w:rsid w:val="006A1652"/>
    <w:rsid w:val="006A1D45"/>
    <w:rsid w:val="006A251D"/>
    <w:rsid w:val="006A2E0F"/>
    <w:rsid w:val="006A3424"/>
    <w:rsid w:val="006A4C9A"/>
    <w:rsid w:val="006A4DCB"/>
    <w:rsid w:val="006A5162"/>
    <w:rsid w:val="006A5461"/>
    <w:rsid w:val="006A5779"/>
    <w:rsid w:val="006A5824"/>
    <w:rsid w:val="006A5A26"/>
    <w:rsid w:val="006A5EAA"/>
    <w:rsid w:val="006A62AA"/>
    <w:rsid w:val="006A6393"/>
    <w:rsid w:val="006A6895"/>
    <w:rsid w:val="006A69D0"/>
    <w:rsid w:val="006A72FC"/>
    <w:rsid w:val="006A742D"/>
    <w:rsid w:val="006A7838"/>
    <w:rsid w:val="006A7917"/>
    <w:rsid w:val="006A798B"/>
    <w:rsid w:val="006A7F9B"/>
    <w:rsid w:val="006B03A5"/>
    <w:rsid w:val="006B041D"/>
    <w:rsid w:val="006B0BF6"/>
    <w:rsid w:val="006B0C10"/>
    <w:rsid w:val="006B0FFC"/>
    <w:rsid w:val="006B1183"/>
    <w:rsid w:val="006B136C"/>
    <w:rsid w:val="006B1614"/>
    <w:rsid w:val="006B1A4A"/>
    <w:rsid w:val="006B1AA4"/>
    <w:rsid w:val="006B2698"/>
    <w:rsid w:val="006B27DD"/>
    <w:rsid w:val="006B2972"/>
    <w:rsid w:val="006B2A24"/>
    <w:rsid w:val="006B2A34"/>
    <w:rsid w:val="006B2E0E"/>
    <w:rsid w:val="006B3271"/>
    <w:rsid w:val="006B33BF"/>
    <w:rsid w:val="006B37F9"/>
    <w:rsid w:val="006B3F2B"/>
    <w:rsid w:val="006B3FE5"/>
    <w:rsid w:val="006B438F"/>
    <w:rsid w:val="006B4A4F"/>
    <w:rsid w:val="006B53A9"/>
    <w:rsid w:val="006B54C3"/>
    <w:rsid w:val="006B5C93"/>
    <w:rsid w:val="006B5CC0"/>
    <w:rsid w:val="006B6049"/>
    <w:rsid w:val="006B60B4"/>
    <w:rsid w:val="006B6598"/>
    <w:rsid w:val="006B6C82"/>
    <w:rsid w:val="006B6CBE"/>
    <w:rsid w:val="006B6DDC"/>
    <w:rsid w:val="006B72B2"/>
    <w:rsid w:val="006B734D"/>
    <w:rsid w:val="006B7400"/>
    <w:rsid w:val="006C0147"/>
    <w:rsid w:val="006C056E"/>
    <w:rsid w:val="006C0596"/>
    <w:rsid w:val="006C0BD0"/>
    <w:rsid w:val="006C0DA0"/>
    <w:rsid w:val="006C159A"/>
    <w:rsid w:val="006C18A2"/>
    <w:rsid w:val="006C19E5"/>
    <w:rsid w:val="006C2E49"/>
    <w:rsid w:val="006C38EB"/>
    <w:rsid w:val="006C4EF9"/>
    <w:rsid w:val="006C503A"/>
    <w:rsid w:val="006C5568"/>
    <w:rsid w:val="006C5D3C"/>
    <w:rsid w:val="006C5E0B"/>
    <w:rsid w:val="006C5F33"/>
    <w:rsid w:val="006C5FEB"/>
    <w:rsid w:val="006C72A7"/>
    <w:rsid w:val="006C73D7"/>
    <w:rsid w:val="006C75F0"/>
    <w:rsid w:val="006C7757"/>
    <w:rsid w:val="006C784A"/>
    <w:rsid w:val="006D0623"/>
    <w:rsid w:val="006D0796"/>
    <w:rsid w:val="006D12DE"/>
    <w:rsid w:val="006D1315"/>
    <w:rsid w:val="006D1318"/>
    <w:rsid w:val="006D1B4F"/>
    <w:rsid w:val="006D1C0D"/>
    <w:rsid w:val="006D1D24"/>
    <w:rsid w:val="006D23AF"/>
    <w:rsid w:val="006D29ED"/>
    <w:rsid w:val="006D2AA2"/>
    <w:rsid w:val="006D3197"/>
    <w:rsid w:val="006D319A"/>
    <w:rsid w:val="006D31F3"/>
    <w:rsid w:val="006D4414"/>
    <w:rsid w:val="006D5268"/>
    <w:rsid w:val="006D528C"/>
    <w:rsid w:val="006D5D79"/>
    <w:rsid w:val="006D607C"/>
    <w:rsid w:val="006D6B92"/>
    <w:rsid w:val="006D6E43"/>
    <w:rsid w:val="006D6EA8"/>
    <w:rsid w:val="006E009C"/>
    <w:rsid w:val="006E0482"/>
    <w:rsid w:val="006E0584"/>
    <w:rsid w:val="006E14C4"/>
    <w:rsid w:val="006E1838"/>
    <w:rsid w:val="006E2822"/>
    <w:rsid w:val="006E2E71"/>
    <w:rsid w:val="006E2E84"/>
    <w:rsid w:val="006E33EB"/>
    <w:rsid w:val="006E39F2"/>
    <w:rsid w:val="006E3FBB"/>
    <w:rsid w:val="006E421E"/>
    <w:rsid w:val="006E4243"/>
    <w:rsid w:val="006E45A5"/>
    <w:rsid w:val="006E497F"/>
    <w:rsid w:val="006E4D66"/>
    <w:rsid w:val="006E5532"/>
    <w:rsid w:val="006E5683"/>
    <w:rsid w:val="006E5AD8"/>
    <w:rsid w:val="006E5AE3"/>
    <w:rsid w:val="006E5C0C"/>
    <w:rsid w:val="006E6162"/>
    <w:rsid w:val="006E6256"/>
    <w:rsid w:val="006E627B"/>
    <w:rsid w:val="006E6417"/>
    <w:rsid w:val="006E68A3"/>
    <w:rsid w:val="006E6D28"/>
    <w:rsid w:val="006E7113"/>
    <w:rsid w:val="006E7E7A"/>
    <w:rsid w:val="006F0092"/>
    <w:rsid w:val="006F076E"/>
    <w:rsid w:val="006F07BB"/>
    <w:rsid w:val="006F0CEC"/>
    <w:rsid w:val="006F0D69"/>
    <w:rsid w:val="006F165F"/>
    <w:rsid w:val="006F1A7A"/>
    <w:rsid w:val="006F1D82"/>
    <w:rsid w:val="006F1F4A"/>
    <w:rsid w:val="006F2628"/>
    <w:rsid w:val="006F27C0"/>
    <w:rsid w:val="006F3061"/>
    <w:rsid w:val="006F36DA"/>
    <w:rsid w:val="006F3E09"/>
    <w:rsid w:val="006F45E4"/>
    <w:rsid w:val="006F49F7"/>
    <w:rsid w:val="006F4C2D"/>
    <w:rsid w:val="006F566A"/>
    <w:rsid w:val="006F58A1"/>
    <w:rsid w:val="006F5909"/>
    <w:rsid w:val="006F5C3B"/>
    <w:rsid w:val="006F5D03"/>
    <w:rsid w:val="006F5E70"/>
    <w:rsid w:val="006F6174"/>
    <w:rsid w:val="006F62D5"/>
    <w:rsid w:val="006F631E"/>
    <w:rsid w:val="006F6787"/>
    <w:rsid w:val="006F6FF1"/>
    <w:rsid w:val="006F71BB"/>
    <w:rsid w:val="006F72D7"/>
    <w:rsid w:val="006F75CB"/>
    <w:rsid w:val="0070005D"/>
    <w:rsid w:val="007003FF"/>
    <w:rsid w:val="007006B5"/>
    <w:rsid w:val="0070075F"/>
    <w:rsid w:val="00700A40"/>
    <w:rsid w:val="00700ACE"/>
    <w:rsid w:val="00700BCB"/>
    <w:rsid w:val="00701066"/>
    <w:rsid w:val="007014B7"/>
    <w:rsid w:val="007019D5"/>
    <w:rsid w:val="00701A68"/>
    <w:rsid w:val="00701DE6"/>
    <w:rsid w:val="00701FC5"/>
    <w:rsid w:val="00702EE0"/>
    <w:rsid w:val="0070328E"/>
    <w:rsid w:val="00703BD7"/>
    <w:rsid w:val="007056EE"/>
    <w:rsid w:val="00705797"/>
    <w:rsid w:val="0070580B"/>
    <w:rsid w:val="00705A19"/>
    <w:rsid w:val="007072CE"/>
    <w:rsid w:val="007073AD"/>
    <w:rsid w:val="0070740E"/>
    <w:rsid w:val="00707DCA"/>
    <w:rsid w:val="00707FF6"/>
    <w:rsid w:val="007109FF"/>
    <w:rsid w:val="00710CE9"/>
    <w:rsid w:val="00711292"/>
    <w:rsid w:val="0071180B"/>
    <w:rsid w:val="00711E44"/>
    <w:rsid w:val="00712267"/>
    <w:rsid w:val="00713281"/>
    <w:rsid w:val="00713703"/>
    <w:rsid w:val="0071371D"/>
    <w:rsid w:val="00713D18"/>
    <w:rsid w:val="007147BC"/>
    <w:rsid w:val="007148BB"/>
    <w:rsid w:val="00714B1E"/>
    <w:rsid w:val="007151AB"/>
    <w:rsid w:val="007158D5"/>
    <w:rsid w:val="007159B3"/>
    <w:rsid w:val="00715B32"/>
    <w:rsid w:val="0071611D"/>
    <w:rsid w:val="00716249"/>
    <w:rsid w:val="00716785"/>
    <w:rsid w:val="007169C5"/>
    <w:rsid w:val="00716BC8"/>
    <w:rsid w:val="00716E1E"/>
    <w:rsid w:val="00717116"/>
    <w:rsid w:val="0071739C"/>
    <w:rsid w:val="00720355"/>
    <w:rsid w:val="00720C5B"/>
    <w:rsid w:val="0072111D"/>
    <w:rsid w:val="00721AFD"/>
    <w:rsid w:val="00722103"/>
    <w:rsid w:val="0072226B"/>
    <w:rsid w:val="007224A0"/>
    <w:rsid w:val="00722852"/>
    <w:rsid w:val="00722E17"/>
    <w:rsid w:val="00723365"/>
    <w:rsid w:val="00723486"/>
    <w:rsid w:val="007235FC"/>
    <w:rsid w:val="00723ACB"/>
    <w:rsid w:val="0072403F"/>
    <w:rsid w:val="007240A7"/>
    <w:rsid w:val="007243AC"/>
    <w:rsid w:val="00725408"/>
    <w:rsid w:val="007254E8"/>
    <w:rsid w:val="00725C2D"/>
    <w:rsid w:val="00725D17"/>
    <w:rsid w:val="00726296"/>
    <w:rsid w:val="0072648B"/>
    <w:rsid w:val="007264B0"/>
    <w:rsid w:val="0072677D"/>
    <w:rsid w:val="007268E9"/>
    <w:rsid w:val="00726B8C"/>
    <w:rsid w:val="0072736D"/>
    <w:rsid w:val="007274DE"/>
    <w:rsid w:val="00727C58"/>
    <w:rsid w:val="00727DA5"/>
    <w:rsid w:val="00727F54"/>
    <w:rsid w:val="007300FC"/>
    <w:rsid w:val="00730392"/>
    <w:rsid w:val="00732498"/>
    <w:rsid w:val="007325EF"/>
    <w:rsid w:val="00733BAC"/>
    <w:rsid w:val="00733CD6"/>
    <w:rsid w:val="007345A6"/>
    <w:rsid w:val="00734774"/>
    <w:rsid w:val="00734A87"/>
    <w:rsid w:val="0073509A"/>
    <w:rsid w:val="00735388"/>
    <w:rsid w:val="00735C64"/>
    <w:rsid w:val="007366C3"/>
    <w:rsid w:val="00736B77"/>
    <w:rsid w:val="00736B8E"/>
    <w:rsid w:val="00737133"/>
    <w:rsid w:val="00737906"/>
    <w:rsid w:val="00737CFD"/>
    <w:rsid w:val="00737F41"/>
    <w:rsid w:val="00740079"/>
    <w:rsid w:val="007400B7"/>
    <w:rsid w:val="00740739"/>
    <w:rsid w:val="00740868"/>
    <w:rsid w:val="00740CD5"/>
    <w:rsid w:val="00740F0A"/>
    <w:rsid w:val="00740F0D"/>
    <w:rsid w:val="0074145F"/>
    <w:rsid w:val="0074156A"/>
    <w:rsid w:val="00741A27"/>
    <w:rsid w:val="00741A53"/>
    <w:rsid w:val="00741A99"/>
    <w:rsid w:val="00741F17"/>
    <w:rsid w:val="00743171"/>
    <w:rsid w:val="0074327E"/>
    <w:rsid w:val="00743718"/>
    <w:rsid w:val="00743929"/>
    <w:rsid w:val="00743D50"/>
    <w:rsid w:val="00743E9B"/>
    <w:rsid w:val="00743FB5"/>
    <w:rsid w:val="00744039"/>
    <w:rsid w:val="00744939"/>
    <w:rsid w:val="00744F6D"/>
    <w:rsid w:val="007453BE"/>
    <w:rsid w:val="00745AA5"/>
    <w:rsid w:val="00745AB0"/>
    <w:rsid w:val="00745D04"/>
    <w:rsid w:val="00745E7E"/>
    <w:rsid w:val="00746864"/>
    <w:rsid w:val="00746B4A"/>
    <w:rsid w:val="00746F0E"/>
    <w:rsid w:val="007475C2"/>
    <w:rsid w:val="007477D5"/>
    <w:rsid w:val="00747A4A"/>
    <w:rsid w:val="00747B55"/>
    <w:rsid w:val="00747FB2"/>
    <w:rsid w:val="0075030C"/>
    <w:rsid w:val="00750413"/>
    <w:rsid w:val="00750565"/>
    <w:rsid w:val="00750719"/>
    <w:rsid w:val="0075086E"/>
    <w:rsid w:val="007509B1"/>
    <w:rsid w:val="007509B3"/>
    <w:rsid w:val="00750BB8"/>
    <w:rsid w:val="00751A1B"/>
    <w:rsid w:val="00751A8D"/>
    <w:rsid w:val="00752AE9"/>
    <w:rsid w:val="00752BA2"/>
    <w:rsid w:val="00752FD7"/>
    <w:rsid w:val="0075319C"/>
    <w:rsid w:val="007534AA"/>
    <w:rsid w:val="007536B5"/>
    <w:rsid w:val="007536CE"/>
    <w:rsid w:val="00754AEB"/>
    <w:rsid w:val="00755706"/>
    <w:rsid w:val="007558B1"/>
    <w:rsid w:val="0075752A"/>
    <w:rsid w:val="007575CD"/>
    <w:rsid w:val="00757788"/>
    <w:rsid w:val="00757E94"/>
    <w:rsid w:val="00760284"/>
    <w:rsid w:val="007605FB"/>
    <w:rsid w:val="00760C4D"/>
    <w:rsid w:val="00761250"/>
    <w:rsid w:val="0076146D"/>
    <w:rsid w:val="00761526"/>
    <w:rsid w:val="00761856"/>
    <w:rsid w:val="007618C0"/>
    <w:rsid w:val="007619BB"/>
    <w:rsid w:val="00761DBF"/>
    <w:rsid w:val="007626E7"/>
    <w:rsid w:val="00762830"/>
    <w:rsid w:val="0076354D"/>
    <w:rsid w:val="00763659"/>
    <w:rsid w:val="0076378D"/>
    <w:rsid w:val="00764051"/>
    <w:rsid w:val="007641D4"/>
    <w:rsid w:val="0076441B"/>
    <w:rsid w:val="00764430"/>
    <w:rsid w:val="0076446F"/>
    <w:rsid w:val="00764E44"/>
    <w:rsid w:val="00765013"/>
    <w:rsid w:val="0076525E"/>
    <w:rsid w:val="00765298"/>
    <w:rsid w:val="0076558C"/>
    <w:rsid w:val="007658B7"/>
    <w:rsid w:val="00765BBB"/>
    <w:rsid w:val="007668AA"/>
    <w:rsid w:val="00767898"/>
    <w:rsid w:val="00770805"/>
    <w:rsid w:val="0077147A"/>
    <w:rsid w:val="00771B84"/>
    <w:rsid w:val="00771C31"/>
    <w:rsid w:val="00771E6B"/>
    <w:rsid w:val="00772097"/>
    <w:rsid w:val="007728C4"/>
    <w:rsid w:val="0077346A"/>
    <w:rsid w:val="007734FF"/>
    <w:rsid w:val="007741A0"/>
    <w:rsid w:val="00774308"/>
    <w:rsid w:val="00774E34"/>
    <w:rsid w:val="00775034"/>
    <w:rsid w:val="007750B8"/>
    <w:rsid w:val="007751AD"/>
    <w:rsid w:val="00775353"/>
    <w:rsid w:val="007753C7"/>
    <w:rsid w:val="00775B2E"/>
    <w:rsid w:val="0077611D"/>
    <w:rsid w:val="0077616F"/>
    <w:rsid w:val="007766DE"/>
    <w:rsid w:val="00776A62"/>
    <w:rsid w:val="00776C79"/>
    <w:rsid w:val="00776CF0"/>
    <w:rsid w:val="00776EC3"/>
    <w:rsid w:val="00777369"/>
    <w:rsid w:val="0078017F"/>
    <w:rsid w:val="00780DC6"/>
    <w:rsid w:val="00780FDF"/>
    <w:rsid w:val="007811E3"/>
    <w:rsid w:val="0078158F"/>
    <w:rsid w:val="007827F5"/>
    <w:rsid w:val="00783EAE"/>
    <w:rsid w:val="00783ED6"/>
    <w:rsid w:val="007843E6"/>
    <w:rsid w:val="00784537"/>
    <w:rsid w:val="00784705"/>
    <w:rsid w:val="00784762"/>
    <w:rsid w:val="00784920"/>
    <w:rsid w:val="00784F30"/>
    <w:rsid w:val="007855D0"/>
    <w:rsid w:val="007856B4"/>
    <w:rsid w:val="00785B5A"/>
    <w:rsid w:val="00785CEA"/>
    <w:rsid w:val="00786C31"/>
    <w:rsid w:val="0078776E"/>
    <w:rsid w:val="00787AE6"/>
    <w:rsid w:val="00787B6E"/>
    <w:rsid w:val="00787B7C"/>
    <w:rsid w:val="0079008A"/>
    <w:rsid w:val="0079010D"/>
    <w:rsid w:val="00790B7D"/>
    <w:rsid w:val="00790C02"/>
    <w:rsid w:val="00790D05"/>
    <w:rsid w:val="00791458"/>
    <w:rsid w:val="00791B99"/>
    <w:rsid w:val="00791CF0"/>
    <w:rsid w:val="007923DC"/>
    <w:rsid w:val="00792C21"/>
    <w:rsid w:val="00792E6B"/>
    <w:rsid w:val="00792EBE"/>
    <w:rsid w:val="00792F10"/>
    <w:rsid w:val="0079366D"/>
    <w:rsid w:val="007936ED"/>
    <w:rsid w:val="00793834"/>
    <w:rsid w:val="007955E1"/>
    <w:rsid w:val="00795663"/>
    <w:rsid w:val="00795A37"/>
    <w:rsid w:val="00795E16"/>
    <w:rsid w:val="00795E85"/>
    <w:rsid w:val="0079609F"/>
    <w:rsid w:val="00796397"/>
    <w:rsid w:val="0079666E"/>
    <w:rsid w:val="00797057"/>
    <w:rsid w:val="00797A8C"/>
    <w:rsid w:val="007A022F"/>
    <w:rsid w:val="007A0AFF"/>
    <w:rsid w:val="007A102C"/>
    <w:rsid w:val="007A118A"/>
    <w:rsid w:val="007A1196"/>
    <w:rsid w:val="007A19A5"/>
    <w:rsid w:val="007A1A1E"/>
    <w:rsid w:val="007A1C77"/>
    <w:rsid w:val="007A1C82"/>
    <w:rsid w:val="007A246C"/>
    <w:rsid w:val="007A28E9"/>
    <w:rsid w:val="007A304E"/>
    <w:rsid w:val="007A32F3"/>
    <w:rsid w:val="007A3D6A"/>
    <w:rsid w:val="007A3FDA"/>
    <w:rsid w:val="007A42A5"/>
    <w:rsid w:val="007A466A"/>
    <w:rsid w:val="007A47E4"/>
    <w:rsid w:val="007A4B3C"/>
    <w:rsid w:val="007A4D69"/>
    <w:rsid w:val="007A4DAD"/>
    <w:rsid w:val="007A53F4"/>
    <w:rsid w:val="007A56AB"/>
    <w:rsid w:val="007A5AE2"/>
    <w:rsid w:val="007A5BAD"/>
    <w:rsid w:val="007A5E54"/>
    <w:rsid w:val="007A5F6B"/>
    <w:rsid w:val="007A715E"/>
    <w:rsid w:val="007A7854"/>
    <w:rsid w:val="007A7AFD"/>
    <w:rsid w:val="007A7C9B"/>
    <w:rsid w:val="007A7EDE"/>
    <w:rsid w:val="007A7F41"/>
    <w:rsid w:val="007B03F6"/>
    <w:rsid w:val="007B06C5"/>
    <w:rsid w:val="007B06D5"/>
    <w:rsid w:val="007B0890"/>
    <w:rsid w:val="007B090B"/>
    <w:rsid w:val="007B0AF2"/>
    <w:rsid w:val="007B0C34"/>
    <w:rsid w:val="007B0DF9"/>
    <w:rsid w:val="007B2108"/>
    <w:rsid w:val="007B281D"/>
    <w:rsid w:val="007B3084"/>
    <w:rsid w:val="007B3B4F"/>
    <w:rsid w:val="007B3B62"/>
    <w:rsid w:val="007B58D8"/>
    <w:rsid w:val="007B5989"/>
    <w:rsid w:val="007B5DC2"/>
    <w:rsid w:val="007B5DD5"/>
    <w:rsid w:val="007B6646"/>
    <w:rsid w:val="007B66B3"/>
    <w:rsid w:val="007B6CA5"/>
    <w:rsid w:val="007B7113"/>
    <w:rsid w:val="007B71DD"/>
    <w:rsid w:val="007B7496"/>
    <w:rsid w:val="007B7637"/>
    <w:rsid w:val="007B7732"/>
    <w:rsid w:val="007C034A"/>
    <w:rsid w:val="007C039C"/>
    <w:rsid w:val="007C04E3"/>
    <w:rsid w:val="007C1093"/>
    <w:rsid w:val="007C1208"/>
    <w:rsid w:val="007C1375"/>
    <w:rsid w:val="007C1542"/>
    <w:rsid w:val="007C20E4"/>
    <w:rsid w:val="007C2578"/>
    <w:rsid w:val="007C2861"/>
    <w:rsid w:val="007C2BBB"/>
    <w:rsid w:val="007C2BCC"/>
    <w:rsid w:val="007C2CBA"/>
    <w:rsid w:val="007C304C"/>
    <w:rsid w:val="007C367B"/>
    <w:rsid w:val="007C418D"/>
    <w:rsid w:val="007C4203"/>
    <w:rsid w:val="007C4314"/>
    <w:rsid w:val="007C4608"/>
    <w:rsid w:val="007C46EE"/>
    <w:rsid w:val="007C4EC8"/>
    <w:rsid w:val="007C52EE"/>
    <w:rsid w:val="007C532A"/>
    <w:rsid w:val="007C577E"/>
    <w:rsid w:val="007C5E18"/>
    <w:rsid w:val="007C605D"/>
    <w:rsid w:val="007C637C"/>
    <w:rsid w:val="007C6517"/>
    <w:rsid w:val="007C67CA"/>
    <w:rsid w:val="007C67D8"/>
    <w:rsid w:val="007C6E26"/>
    <w:rsid w:val="007C7233"/>
    <w:rsid w:val="007C75D2"/>
    <w:rsid w:val="007C7B69"/>
    <w:rsid w:val="007D0448"/>
    <w:rsid w:val="007D091D"/>
    <w:rsid w:val="007D0D01"/>
    <w:rsid w:val="007D108C"/>
    <w:rsid w:val="007D114E"/>
    <w:rsid w:val="007D2093"/>
    <w:rsid w:val="007D216B"/>
    <w:rsid w:val="007D2230"/>
    <w:rsid w:val="007D27E3"/>
    <w:rsid w:val="007D2879"/>
    <w:rsid w:val="007D2BA5"/>
    <w:rsid w:val="007D2F65"/>
    <w:rsid w:val="007D3235"/>
    <w:rsid w:val="007D3804"/>
    <w:rsid w:val="007D382D"/>
    <w:rsid w:val="007D43E7"/>
    <w:rsid w:val="007D54D2"/>
    <w:rsid w:val="007D5B7A"/>
    <w:rsid w:val="007D5CCC"/>
    <w:rsid w:val="007D67B1"/>
    <w:rsid w:val="007D6A89"/>
    <w:rsid w:val="007D6F6F"/>
    <w:rsid w:val="007D7019"/>
    <w:rsid w:val="007D73F7"/>
    <w:rsid w:val="007D7BA9"/>
    <w:rsid w:val="007D7FDD"/>
    <w:rsid w:val="007E04F9"/>
    <w:rsid w:val="007E062C"/>
    <w:rsid w:val="007E0ED9"/>
    <w:rsid w:val="007E15F9"/>
    <w:rsid w:val="007E1DE8"/>
    <w:rsid w:val="007E22C0"/>
    <w:rsid w:val="007E2813"/>
    <w:rsid w:val="007E2928"/>
    <w:rsid w:val="007E2931"/>
    <w:rsid w:val="007E2932"/>
    <w:rsid w:val="007E29E5"/>
    <w:rsid w:val="007E3181"/>
    <w:rsid w:val="007E325B"/>
    <w:rsid w:val="007E3536"/>
    <w:rsid w:val="007E370A"/>
    <w:rsid w:val="007E38A2"/>
    <w:rsid w:val="007E3AEB"/>
    <w:rsid w:val="007E3CF4"/>
    <w:rsid w:val="007E4D81"/>
    <w:rsid w:val="007E4FA5"/>
    <w:rsid w:val="007E5040"/>
    <w:rsid w:val="007E5657"/>
    <w:rsid w:val="007E5FA8"/>
    <w:rsid w:val="007E671D"/>
    <w:rsid w:val="007E68A4"/>
    <w:rsid w:val="007E6BBA"/>
    <w:rsid w:val="007E6D31"/>
    <w:rsid w:val="007E6DDC"/>
    <w:rsid w:val="007E6F7C"/>
    <w:rsid w:val="007E73DC"/>
    <w:rsid w:val="007E79AE"/>
    <w:rsid w:val="007E79C3"/>
    <w:rsid w:val="007F0377"/>
    <w:rsid w:val="007F0F24"/>
    <w:rsid w:val="007F11C6"/>
    <w:rsid w:val="007F160A"/>
    <w:rsid w:val="007F16EA"/>
    <w:rsid w:val="007F1A33"/>
    <w:rsid w:val="007F237B"/>
    <w:rsid w:val="007F28FC"/>
    <w:rsid w:val="007F2E3D"/>
    <w:rsid w:val="007F3483"/>
    <w:rsid w:val="007F3AB8"/>
    <w:rsid w:val="007F3FF5"/>
    <w:rsid w:val="007F4FAF"/>
    <w:rsid w:val="007F53D8"/>
    <w:rsid w:val="007F59A9"/>
    <w:rsid w:val="007F5A8D"/>
    <w:rsid w:val="007F5DFA"/>
    <w:rsid w:val="007F5F26"/>
    <w:rsid w:val="007F6096"/>
    <w:rsid w:val="007F6665"/>
    <w:rsid w:val="007F76B3"/>
    <w:rsid w:val="007F7F8F"/>
    <w:rsid w:val="00800CA4"/>
    <w:rsid w:val="00800F15"/>
    <w:rsid w:val="00801634"/>
    <w:rsid w:val="008020E6"/>
    <w:rsid w:val="008027A5"/>
    <w:rsid w:val="00803903"/>
    <w:rsid w:val="00804960"/>
    <w:rsid w:val="008049D8"/>
    <w:rsid w:val="00804A01"/>
    <w:rsid w:val="00804AAD"/>
    <w:rsid w:val="00804AE7"/>
    <w:rsid w:val="0080523F"/>
    <w:rsid w:val="0080552C"/>
    <w:rsid w:val="00805E04"/>
    <w:rsid w:val="00806083"/>
    <w:rsid w:val="008062FC"/>
    <w:rsid w:val="0080655C"/>
    <w:rsid w:val="008065B9"/>
    <w:rsid w:val="00806C95"/>
    <w:rsid w:val="00806EDB"/>
    <w:rsid w:val="0080705A"/>
    <w:rsid w:val="00807735"/>
    <w:rsid w:val="00807759"/>
    <w:rsid w:val="0080795B"/>
    <w:rsid w:val="00807DE7"/>
    <w:rsid w:val="0081019C"/>
    <w:rsid w:val="00810238"/>
    <w:rsid w:val="00810446"/>
    <w:rsid w:val="00811614"/>
    <w:rsid w:val="00811CEA"/>
    <w:rsid w:val="00812C02"/>
    <w:rsid w:val="008131A3"/>
    <w:rsid w:val="00813280"/>
    <w:rsid w:val="00813A25"/>
    <w:rsid w:val="00814342"/>
    <w:rsid w:val="00814729"/>
    <w:rsid w:val="00814C00"/>
    <w:rsid w:val="00814F3A"/>
    <w:rsid w:val="008150F4"/>
    <w:rsid w:val="008156A2"/>
    <w:rsid w:val="00815889"/>
    <w:rsid w:val="00815F90"/>
    <w:rsid w:val="00815FCF"/>
    <w:rsid w:val="0081678A"/>
    <w:rsid w:val="0081679B"/>
    <w:rsid w:val="00817278"/>
    <w:rsid w:val="0081772D"/>
    <w:rsid w:val="00817C5D"/>
    <w:rsid w:val="00817F29"/>
    <w:rsid w:val="008203A6"/>
    <w:rsid w:val="00820B54"/>
    <w:rsid w:val="00820DB0"/>
    <w:rsid w:val="00821123"/>
    <w:rsid w:val="008214FE"/>
    <w:rsid w:val="008215AA"/>
    <w:rsid w:val="00821777"/>
    <w:rsid w:val="008220DE"/>
    <w:rsid w:val="00822137"/>
    <w:rsid w:val="008221B7"/>
    <w:rsid w:val="00822974"/>
    <w:rsid w:val="00822CC4"/>
    <w:rsid w:val="00822DB0"/>
    <w:rsid w:val="00824972"/>
    <w:rsid w:val="00824C1D"/>
    <w:rsid w:val="00824E42"/>
    <w:rsid w:val="0082542E"/>
    <w:rsid w:val="00825758"/>
    <w:rsid w:val="0082596E"/>
    <w:rsid w:val="00825A74"/>
    <w:rsid w:val="00826320"/>
    <w:rsid w:val="00826599"/>
    <w:rsid w:val="0082734E"/>
    <w:rsid w:val="0082763B"/>
    <w:rsid w:val="008277EE"/>
    <w:rsid w:val="00830C07"/>
    <w:rsid w:val="00830CC7"/>
    <w:rsid w:val="00831593"/>
    <w:rsid w:val="00831BEF"/>
    <w:rsid w:val="00832567"/>
    <w:rsid w:val="00832964"/>
    <w:rsid w:val="00832C88"/>
    <w:rsid w:val="00832D7E"/>
    <w:rsid w:val="00832F90"/>
    <w:rsid w:val="00833396"/>
    <w:rsid w:val="00833464"/>
    <w:rsid w:val="008335E8"/>
    <w:rsid w:val="0083395A"/>
    <w:rsid w:val="00834F97"/>
    <w:rsid w:val="00835199"/>
    <w:rsid w:val="008354F4"/>
    <w:rsid w:val="008357CA"/>
    <w:rsid w:val="008359EE"/>
    <w:rsid w:val="00835B2D"/>
    <w:rsid w:val="00835DAF"/>
    <w:rsid w:val="00836391"/>
    <w:rsid w:val="0083660E"/>
    <w:rsid w:val="0083680F"/>
    <w:rsid w:val="00836A3A"/>
    <w:rsid w:val="0083737D"/>
    <w:rsid w:val="008374B3"/>
    <w:rsid w:val="00837691"/>
    <w:rsid w:val="008406F5"/>
    <w:rsid w:val="00840D4E"/>
    <w:rsid w:val="00840EE7"/>
    <w:rsid w:val="00840F7D"/>
    <w:rsid w:val="00841168"/>
    <w:rsid w:val="008419F8"/>
    <w:rsid w:val="00842527"/>
    <w:rsid w:val="00842F4D"/>
    <w:rsid w:val="00842F5A"/>
    <w:rsid w:val="008433D1"/>
    <w:rsid w:val="00843BB2"/>
    <w:rsid w:val="008442B7"/>
    <w:rsid w:val="00844558"/>
    <w:rsid w:val="008448D3"/>
    <w:rsid w:val="00844E0C"/>
    <w:rsid w:val="00844E87"/>
    <w:rsid w:val="00844E9D"/>
    <w:rsid w:val="00844FB9"/>
    <w:rsid w:val="00845188"/>
    <w:rsid w:val="00845AC3"/>
    <w:rsid w:val="008463A1"/>
    <w:rsid w:val="0084660E"/>
    <w:rsid w:val="00846A3F"/>
    <w:rsid w:val="00846D83"/>
    <w:rsid w:val="00847464"/>
    <w:rsid w:val="0084786A"/>
    <w:rsid w:val="008479AA"/>
    <w:rsid w:val="008479FD"/>
    <w:rsid w:val="00847F17"/>
    <w:rsid w:val="008507D5"/>
    <w:rsid w:val="00850BB9"/>
    <w:rsid w:val="00851110"/>
    <w:rsid w:val="008511D2"/>
    <w:rsid w:val="00851641"/>
    <w:rsid w:val="0085239A"/>
    <w:rsid w:val="00853012"/>
    <w:rsid w:val="008532F6"/>
    <w:rsid w:val="00853D1B"/>
    <w:rsid w:val="00854014"/>
    <w:rsid w:val="00854436"/>
    <w:rsid w:val="00854729"/>
    <w:rsid w:val="00854926"/>
    <w:rsid w:val="00854A97"/>
    <w:rsid w:val="00854CAC"/>
    <w:rsid w:val="008552E5"/>
    <w:rsid w:val="00855B85"/>
    <w:rsid w:val="00855EFB"/>
    <w:rsid w:val="00855F95"/>
    <w:rsid w:val="00856368"/>
    <w:rsid w:val="008569EC"/>
    <w:rsid w:val="0085705B"/>
    <w:rsid w:val="00857958"/>
    <w:rsid w:val="008579B8"/>
    <w:rsid w:val="00857E81"/>
    <w:rsid w:val="008602F8"/>
    <w:rsid w:val="00860B26"/>
    <w:rsid w:val="00860F12"/>
    <w:rsid w:val="0086129D"/>
    <w:rsid w:val="008612F2"/>
    <w:rsid w:val="0086274C"/>
    <w:rsid w:val="00862C8D"/>
    <w:rsid w:val="00863B53"/>
    <w:rsid w:val="00863EEF"/>
    <w:rsid w:val="00864607"/>
    <w:rsid w:val="008649DE"/>
    <w:rsid w:val="00864D28"/>
    <w:rsid w:val="00864F64"/>
    <w:rsid w:val="00865579"/>
    <w:rsid w:val="0086658B"/>
    <w:rsid w:val="00866965"/>
    <w:rsid w:val="0086776D"/>
    <w:rsid w:val="00867AE6"/>
    <w:rsid w:val="00867E02"/>
    <w:rsid w:val="00870AA2"/>
    <w:rsid w:val="0087184F"/>
    <w:rsid w:val="00871DCD"/>
    <w:rsid w:val="008723FC"/>
    <w:rsid w:val="008724FF"/>
    <w:rsid w:val="008727DC"/>
    <w:rsid w:val="00872CE9"/>
    <w:rsid w:val="00872F2A"/>
    <w:rsid w:val="008733DB"/>
    <w:rsid w:val="00873EBA"/>
    <w:rsid w:val="0087404E"/>
    <w:rsid w:val="00874349"/>
    <w:rsid w:val="0087435D"/>
    <w:rsid w:val="0087436F"/>
    <w:rsid w:val="00874697"/>
    <w:rsid w:val="008747F2"/>
    <w:rsid w:val="00874DAA"/>
    <w:rsid w:val="00874E6F"/>
    <w:rsid w:val="008756CF"/>
    <w:rsid w:val="00875AF1"/>
    <w:rsid w:val="00875EA4"/>
    <w:rsid w:val="0087646E"/>
    <w:rsid w:val="00876601"/>
    <w:rsid w:val="008766B6"/>
    <w:rsid w:val="00876BD9"/>
    <w:rsid w:val="00876C7A"/>
    <w:rsid w:val="0087782C"/>
    <w:rsid w:val="00877906"/>
    <w:rsid w:val="008806B3"/>
    <w:rsid w:val="00880A9C"/>
    <w:rsid w:val="00880C16"/>
    <w:rsid w:val="00880E99"/>
    <w:rsid w:val="00881547"/>
    <w:rsid w:val="008816B0"/>
    <w:rsid w:val="00881DB9"/>
    <w:rsid w:val="00881EAA"/>
    <w:rsid w:val="0088213B"/>
    <w:rsid w:val="008821E8"/>
    <w:rsid w:val="00882402"/>
    <w:rsid w:val="00882A15"/>
    <w:rsid w:val="00882D00"/>
    <w:rsid w:val="00882E76"/>
    <w:rsid w:val="008831B8"/>
    <w:rsid w:val="00883627"/>
    <w:rsid w:val="00883851"/>
    <w:rsid w:val="00883AD2"/>
    <w:rsid w:val="00883EFD"/>
    <w:rsid w:val="00883F64"/>
    <w:rsid w:val="008841E1"/>
    <w:rsid w:val="0088439B"/>
    <w:rsid w:val="00884C53"/>
    <w:rsid w:val="00884DE2"/>
    <w:rsid w:val="00885262"/>
    <w:rsid w:val="0088585E"/>
    <w:rsid w:val="0088586F"/>
    <w:rsid w:val="00885BA4"/>
    <w:rsid w:val="008860E1"/>
    <w:rsid w:val="00886359"/>
    <w:rsid w:val="00886543"/>
    <w:rsid w:val="00886F12"/>
    <w:rsid w:val="008870DE"/>
    <w:rsid w:val="00890645"/>
    <w:rsid w:val="008906DD"/>
    <w:rsid w:val="00890731"/>
    <w:rsid w:val="0089094A"/>
    <w:rsid w:val="00890F84"/>
    <w:rsid w:val="00890FAF"/>
    <w:rsid w:val="008917EB"/>
    <w:rsid w:val="0089198A"/>
    <w:rsid w:val="00891B54"/>
    <w:rsid w:val="008920A3"/>
    <w:rsid w:val="008924CB"/>
    <w:rsid w:val="00892848"/>
    <w:rsid w:val="00892A18"/>
    <w:rsid w:val="00892EB2"/>
    <w:rsid w:val="00893087"/>
    <w:rsid w:val="00893329"/>
    <w:rsid w:val="0089337E"/>
    <w:rsid w:val="00893BF1"/>
    <w:rsid w:val="00893F59"/>
    <w:rsid w:val="00893F90"/>
    <w:rsid w:val="00894019"/>
    <w:rsid w:val="008941D8"/>
    <w:rsid w:val="0089420B"/>
    <w:rsid w:val="00895229"/>
    <w:rsid w:val="00895A6B"/>
    <w:rsid w:val="00895C12"/>
    <w:rsid w:val="00895F4D"/>
    <w:rsid w:val="00896075"/>
    <w:rsid w:val="0089638F"/>
    <w:rsid w:val="008963AE"/>
    <w:rsid w:val="00896936"/>
    <w:rsid w:val="00896C0F"/>
    <w:rsid w:val="00896E22"/>
    <w:rsid w:val="00896F72"/>
    <w:rsid w:val="0089737A"/>
    <w:rsid w:val="008974A2"/>
    <w:rsid w:val="00897675"/>
    <w:rsid w:val="008A0320"/>
    <w:rsid w:val="008A047D"/>
    <w:rsid w:val="008A09DA"/>
    <w:rsid w:val="008A0AE2"/>
    <w:rsid w:val="008A0EA7"/>
    <w:rsid w:val="008A12EB"/>
    <w:rsid w:val="008A15A2"/>
    <w:rsid w:val="008A1ADD"/>
    <w:rsid w:val="008A2770"/>
    <w:rsid w:val="008A3231"/>
    <w:rsid w:val="008A3691"/>
    <w:rsid w:val="008A3864"/>
    <w:rsid w:val="008A39A3"/>
    <w:rsid w:val="008A4081"/>
    <w:rsid w:val="008A4767"/>
    <w:rsid w:val="008A47AA"/>
    <w:rsid w:val="008A4FE7"/>
    <w:rsid w:val="008A520B"/>
    <w:rsid w:val="008A5557"/>
    <w:rsid w:val="008A555A"/>
    <w:rsid w:val="008A6004"/>
    <w:rsid w:val="008A671B"/>
    <w:rsid w:val="008A6A62"/>
    <w:rsid w:val="008B135F"/>
    <w:rsid w:val="008B176F"/>
    <w:rsid w:val="008B1793"/>
    <w:rsid w:val="008B187F"/>
    <w:rsid w:val="008B1923"/>
    <w:rsid w:val="008B192D"/>
    <w:rsid w:val="008B19C9"/>
    <w:rsid w:val="008B1AEF"/>
    <w:rsid w:val="008B1B32"/>
    <w:rsid w:val="008B1B67"/>
    <w:rsid w:val="008B1EF7"/>
    <w:rsid w:val="008B25DA"/>
    <w:rsid w:val="008B26F4"/>
    <w:rsid w:val="008B2E40"/>
    <w:rsid w:val="008B33A4"/>
    <w:rsid w:val="008B37DB"/>
    <w:rsid w:val="008B3C1A"/>
    <w:rsid w:val="008B3F05"/>
    <w:rsid w:val="008B3FDE"/>
    <w:rsid w:val="008B4156"/>
    <w:rsid w:val="008B4258"/>
    <w:rsid w:val="008B4BDD"/>
    <w:rsid w:val="008B5098"/>
    <w:rsid w:val="008B516D"/>
    <w:rsid w:val="008B5257"/>
    <w:rsid w:val="008B5E45"/>
    <w:rsid w:val="008B621C"/>
    <w:rsid w:val="008B6C0D"/>
    <w:rsid w:val="008B7A7B"/>
    <w:rsid w:val="008B7F7D"/>
    <w:rsid w:val="008C0080"/>
    <w:rsid w:val="008C0098"/>
    <w:rsid w:val="008C0296"/>
    <w:rsid w:val="008C04A1"/>
    <w:rsid w:val="008C0B7D"/>
    <w:rsid w:val="008C0F1E"/>
    <w:rsid w:val="008C159E"/>
    <w:rsid w:val="008C1A87"/>
    <w:rsid w:val="008C1D0D"/>
    <w:rsid w:val="008C281C"/>
    <w:rsid w:val="008C29A6"/>
    <w:rsid w:val="008C2B6B"/>
    <w:rsid w:val="008C2BDE"/>
    <w:rsid w:val="008C2DD9"/>
    <w:rsid w:val="008C2F26"/>
    <w:rsid w:val="008C342C"/>
    <w:rsid w:val="008C3825"/>
    <w:rsid w:val="008C387D"/>
    <w:rsid w:val="008C43EA"/>
    <w:rsid w:val="008C45E4"/>
    <w:rsid w:val="008C4CD1"/>
    <w:rsid w:val="008C4D01"/>
    <w:rsid w:val="008C4FEC"/>
    <w:rsid w:val="008C5573"/>
    <w:rsid w:val="008C58F4"/>
    <w:rsid w:val="008C5BA1"/>
    <w:rsid w:val="008C61F9"/>
    <w:rsid w:val="008C6C51"/>
    <w:rsid w:val="008C6DA0"/>
    <w:rsid w:val="008C6E46"/>
    <w:rsid w:val="008C6F13"/>
    <w:rsid w:val="008C72D2"/>
    <w:rsid w:val="008C799C"/>
    <w:rsid w:val="008C7D0A"/>
    <w:rsid w:val="008C7F54"/>
    <w:rsid w:val="008C7FC9"/>
    <w:rsid w:val="008D00C2"/>
    <w:rsid w:val="008D059D"/>
    <w:rsid w:val="008D05E5"/>
    <w:rsid w:val="008D06DF"/>
    <w:rsid w:val="008D078D"/>
    <w:rsid w:val="008D091C"/>
    <w:rsid w:val="008D0A83"/>
    <w:rsid w:val="008D0AC8"/>
    <w:rsid w:val="008D10A0"/>
    <w:rsid w:val="008D1920"/>
    <w:rsid w:val="008D1985"/>
    <w:rsid w:val="008D2820"/>
    <w:rsid w:val="008D29FD"/>
    <w:rsid w:val="008D2A3E"/>
    <w:rsid w:val="008D2C77"/>
    <w:rsid w:val="008D2D59"/>
    <w:rsid w:val="008D2DD8"/>
    <w:rsid w:val="008D33CF"/>
    <w:rsid w:val="008D342F"/>
    <w:rsid w:val="008D3F11"/>
    <w:rsid w:val="008D441C"/>
    <w:rsid w:val="008D45E2"/>
    <w:rsid w:val="008D4DAF"/>
    <w:rsid w:val="008D4FD0"/>
    <w:rsid w:val="008D583D"/>
    <w:rsid w:val="008D5B31"/>
    <w:rsid w:val="008D61E8"/>
    <w:rsid w:val="008D6219"/>
    <w:rsid w:val="008D623B"/>
    <w:rsid w:val="008D6470"/>
    <w:rsid w:val="008D6577"/>
    <w:rsid w:val="008D6610"/>
    <w:rsid w:val="008D662E"/>
    <w:rsid w:val="008D6D97"/>
    <w:rsid w:val="008D6E5F"/>
    <w:rsid w:val="008D7060"/>
    <w:rsid w:val="008E0619"/>
    <w:rsid w:val="008E090B"/>
    <w:rsid w:val="008E093F"/>
    <w:rsid w:val="008E1579"/>
    <w:rsid w:val="008E15D7"/>
    <w:rsid w:val="008E1639"/>
    <w:rsid w:val="008E2163"/>
    <w:rsid w:val="008E2191"/>
    <w:rsid w:val="008E2C49"/>
    <w:rsid w:val="008E2DCE"/>
    <w:rsid w:val="008E32F1"/>
    <w:rsid w:val="008E34C9"/>
    <w:rsid w:val="008E3721"/>
    <w:rsid w:val="008E4535"/>
    <w:rsid w:val="008E45D1"/>
    <w:rsid w:val="008E487C"/>
    <w:rsid w:val="008E4CD8"/>
    <w:rsid w:val="008E53A2"/>
    <w:rsid w:val="008E56F2"/>
    <w:rsid w:val="008E5B69"/>
    <w:rsid w:val="008E5F39"/>
    <w:rsid w:val="008E609E"/>
    <w:rsid w:val="008E60C6"/>
    <w:rsid w:val="008E6146"/>
    <w:rsid w:val="008E615B"/>
    <w:rsid w:val="008E689A"/>
    <w:rsid w:val="008E6FF7"/>
    <w:rsid w:val="008E720C"/>
    <w:rsid w:val="008E7EB6"/>
    <w:rsid w:val="008F06C6"/>
    <w:rsid w:val="008F08DB"/>
    <w:rsid w:val="008F0D33"/>
    <w:rsid w:val="008F0E06"/>
    <w:rsid w:val="008F103B"/>
    <w:rsid w:val="008F12E4"/>
    <w:rsid w:val="008F27DA"/>
    <w:rsid w:val="008F3200"/>
    <w:rsid w:val="008F32A1"/>
    <w:rsid w:val="008F3AF9"/>
    <w:rsid w:val="008F4624"/>
    <w:rsid w:val="008F56B4"/>
    <w:rsid w:val="008F5AD3"/>
    <w:rsid w:val="008F5B1B"/>
    <w:rsid w:val="008F5DD5"/>
    <w:rsid w:val="008F61CB"/>
    <w:rsid w:val="008F6E11"/>
    <w:rsid w:val="008F7B64"/>
    <w:rsid w:val="008F7C94"/>
    <w:rsid w:val="008F7D96"/>
    <w:rsid w:val="0090007D"/>
    <w:rsid w:val="009006BE"/>
    <w:rsid w:val="00900729"/>
    <w:rsid w:val="00900754"/>
    <w:rsid w:val="009007E4"/>
    <w:rsid w:val="00901036"/>
    <w:rsid w:val="00902D45"/>
    <w:rsid w:val="00902EE3"/>
    <w:rsid w:val="00903110"/>
    <w:rsid w:val="00903283"/>
    <w:rsid w:val="00903466"/>
    <w:rsid w:val="00903478"/>
    <w:rsid w:val="0090378D"/>
    <w:rsid w:val="00903B53"/>
    <w:rsid w:val="00903D68"/>
    <w:rsid w:val="009040A2"/>
    <w:rsid w:val="009040A3"/>
    <w:rsid w:val="00904AFA"/>
    <w:rsid w:val="00904B97"/>
    <w:rsid w:val="00905A76"/>
    <w:rsid w:val="00905C17"/>
    <w:rsid w:val="00906865"/>
    <w:rsid w:val="00906B3C"/>
    <w:rsid w:val="00906FF2"/>
    <w:rsid w:val="00907068"/>
    <w:rsid w:val="0090728B"/>
    <w:rsid w:val="009072E6"/>
    <w:rsid w:val="009100C4"/>
    <w:rsid w:val="009108FB"/>
    <w:rsid w:val="00910B6F"/>
    <w:rsid w:val="00911A20"/>
    <w:rsid w:val="009124DD"/>
    <w:rsid w:val="0091271A"/>
    <w:rsid w:val="00912825"/>
    <w:rsid w:val="00912C0C"/>
    <w:rsid w:val="00912F0B"/>
    <w:rsid w:val="0091305D"/>
    <w:rsid w:val="0091357F"/>
    <w:rsid w:val="00913FBF"/>
    <w:rsid w:val="00914A43"/>
    <w:rsid w:val="00914A59"/>
    <w:rsid w:val="009151E4"/>
    <w:rsid w:val="00915316"/>
    <w:rsid w:val="009156B3"/>
    <w:rsid w:val="00915CCE"/>
    <w:rsid w:val="00916C9B"/>
    <w:rsid w:val="00917AC3"/>
    <w:rsid w:val="009201FA"/>
    <w:rsid w:val="009202D5"/>
    <w:rsid w:val="00920C15"/>
    <w:rsid w:val="009211EB"/>
    <w:rsid w:val="0092130D"/>
    <w:rsid w:val="009217EB"/>
    <w:rsid w:val="009218A0"/>
    <w:rsid w:val="00921AB5"/>
    <w:rsid w:val="00922468"/>
    <w:rsid w:val="00922674"/>
    <w:rsid w:val="00922AF6"/>
    <w:rsid w:val="00922E19"/>
    <w:rsid w:val="00922F70"/>
    <w:rsid w:val="00923483"/>
    <w:rsid w:val="0092358C"/>
    <w:rsid w:val="0092367E"/>
    <w:rsid w:val="00923692"/>
    <w:rsid w:val="00923856"/>
    <w:rsid w:val="0092396E"/>
    <w:rsid w:val="00923B71"/>
    <w:rsid w:val="00923F27"/>
    <w:rsid w:val="00924AF9"/>
    <w:rsid w:val="00925476"/>
    <w:rsid w:val="00925C40"/>
    <w:rsid w:val="00925F51"/>
    <w:rsid w:val="00926019"/>
    <w:rsid w:val="009268DB"/>
    <w:rsid w:val="00926FC9"/>
    <w:rsid w:val="00927145"/>
    <w:rsid w:val="009272BF"/>
    <w:rsid w:val="009273CD"/>
    <w:rsid w:val="009279EB"/>
    <w:rsid w:val="00927A77"/>
    <w:rsid w:val="00927DA1"/>
    <w:rsid w:val="00930AF9"/>
    <w:rsid w:val="009327FF"/>
    <w:rsid w:val="00932B73"/>
    <w:rsid w:val="00933546"/>
    <w:rsid w:val="00933A10"/>
    <w:rsid w:val="00933B9D"/>
    <w:rsid w:val="00934618"/>
    <w:rsid w:val="00934843"/>
    <w:rsid w:val="00935283"/>
    <w:rsid w:val="00935939"/>
    <w:rsid w:val="00935B28"/>
    <w:rsid w:val="00935B67"/>
    <w:rsid w:val="00935CFB"/>
    <w:rsid w:val="009362E5"/>
    <w:rsid w:val="00936373"/>
    <w:rsid w:val="00936405"/>
    <w:rsid w:val="00937080"/>
    <w:rsid w:val="0093708F"/>
    <w:rsid w:val="00937203"/>
    <w:rsid w:val="009377E5"/>
    <w:rsid w:val="0093782C"/>
    <w:rsid w:val="0094095C"/>
    <w:rsid w:val="00940A60"/>
    <w:rsid w:val="00940F36"/>
    <w:rsid w:val="009410E2"/>
    <w:rsid w:val="00941361"/>
    <w:rsid w:val="009417A0"/>
    <w:rsid w:val="00941A9F"/>
    <w:rsid w:val="00941CEB"/>
    <w:rsid w:val="009420EF"/>
    <w:rsid w:val="009421BD"/>
    <w:rsid w:val="009421E0"/>
    <w:rsid w:val="0094242B"/>
    <w:rsid w:val="0094250F"/>
    <w:rsid w:val="00943023"/>
    <w:rsid w:val="009430ED"/>
    <w:rsid w:val="00943196"/>
    <w:rsid w:val="00944177"/>
    <w:rsid w:val="009446E2"/>
    <w:rsid w:val="0094495D"/>
    <w:rsid w:val="009454F8"/>
    <w:rsid w:val="00945A34"/>
    <w:rsid w:val="009460F0"/>
    <w:rsid w:val="009461D8"/>
    <w:rsid w:val="009465B9"/>
    <w:rsid w:val="00946786"/>
    <w:rsid w:val="009468F6"/>
    <w:rsid w:val="0094693E"/>
    <w:rsid w:val="00946950"/>
    <w:rsid w:val="00946B4A"/>
    <w:rsid w:val="00946BA4"/>
    <w:rsid w:val="00946EA5"/>
    <w:rsid w:val="009474E8"/>
    <w:rsid w:val="009474EE"/>
    <w:rsid w:val="009475A8"/>
    <w:rsid w:val="00947B5E"/>
    <w:rsid w:val="009502A8"/>
    <w:rsid w:val="009505A1"/>
    <w:rsid w:val="009506B3"/>
    <w:rsid w:val="00950C8F"/>
    <w:rsid w:val="00950E06"/>
    <w:rsid w:val="009514C4"/>
    <w:rsid w:val="009517BB"/>
    <w:rsid w:val="00951CD2"/>
    <w:rsid w:val="00951DBE"/>
    <w:rsid w:val="009523C2"/>
    <w:rsid w:val="00952682"/>
    <w:rsid w:val="0095296E"/>
    <w:rsid w:val="009529CE"/>
    <w:rsid w:val="00952C4A"/>
    <w:rsid w:val="00952C62"/>
    <w:rsid w:val="009530AB"/>
    <w:rsid w:val="0095358E"/>
    <w:rsid w:val="00953776"/>
    <w:rsid w:val="0095436B"/>
    <w:rsid w:val="00954BFB"/>
    <w:rsid w:val="0095526E"/>
    <w:rsid w:val="009555EC"/>
    <w:rsid w:val="009570AC"/>
    <w:rsid w:val="00957422"/>
    <w:rsid w:val="009574DF"/>
    <w:rsid w:val="00957A44"/>
    <w:rsid w:val="00957F45"/>
    <w:rsid w:val="00960293"/>
    <w:rsid w:val="00960FAE"/>
    <w:rsid w:val="00961868"/>
    <w:rsid w:val="0096186B"/>
    <w:rsid w:val="00961A51"/>
    <w:rsid w:val="00962491"/>
    <w:rsid w:val="00962DD9"/>
    <w:rsid w:val="00962F4F"/>
    <w:rsid w:val="00963A9D"/>
    <w:rsid w:val="00964B1B"/>
    <w:rsid w:val="00964BE5"/>
    <w:rsid w:val="00965182"/>
    <w:rsid w:val="009659B8"/>
    <w:rsid w:val="009660FF"/>
    <w:rsid w:val="009671F7"/>
    <w:rsid w:val="00967456"/>
    <w:rsid w:val="00967AF3"/>
    <w:rsid w:val="00967B8D"/>
    <w:rsid w:val="00967E74"/>
    <w:rsid w:val="0097044D"/>
    <w:rsid w:val="00970D97"/>
    <w:rsid w:val="00970FCB"/>
    <w:rsid w:val="0097110D"/>
    <w:rsid w:val="009712AD"/>
    <w:rsid w:val="00971CCD"/>
    <w:rsid w:val="00971F20"/>
    <w:rsid w:val="00972149"/>
    <w:rsid w:val="00972240"/>
    <w:rsid w:val="0097241B"/>
    <w:rsid w:val="009724E0"/>
    <w:rsid w:val="009725EE"/>
    <w:rsid w:val="0097266B"/>
    <w:rsid w:val="009728FC"/>
    <w:rsid w:val="00972E09"/>
    <w:rsid w:val="0097303E"/>
    <w:rsid w:val="00973B8D"/>
    <w:rsid w:val="00973D24"/>
    <w:rsid w:val="009741BC"/>
    <w:rsid w:val="00974645"/>
    <w:rsid w:val="0097484B"/>
    <w:rsid w:val="00975026"/>
    <w:rsid w:val="00975791"/>
    <w:rsid w:val="00975B5D"/>
    <w:rsid w:val="00975BC2"/>
    <w:rsid w:val="009762AE"/>
    <w:rsid w:val="009776BB"/>
    <w:rsid w:val="009806B4"/>
    <w:rsid w:val="0098076C"/>
    <w:rsid w:val="00980B7D"/>
    <w:rsid w:val="00980C12"/>
    <w:rsid w:val="009815DF"/>
    <w:rsid w:val="00981738"/>
    <w:rsid w:val="0098174A"/>
    <w:rsid w:val="009823B7"/>
    <w:rsid w:val="0098268B"/>
    <w:rsid w:val="00982720"/>
    <w:rsid w:val="00982918"/>
    <w:rsid w:val="009832D3"/>
    <w:rsid w:val="00983D73"/>
    <w:rsid w:val="00984F20"/>
    <w:rsid w:val="00985E8A"/>
    <w:rsid w:val="00985EE7"/>
    <w:rsid w:val="00985F39"/>
    <w:rsid w:val="0098678B"/>
    <w:rsid w:val="00986855"/>
    <w:rsid w:val="009868F2"/>
    <w:rsid w:val="009869B7"/>
    <w:rsid w:val="00986E72"/>
    <w:rsid w:val="00986EC4"/>
    <w:rsid w:val="009875C9"/>
    <w:rsid w:val="009905B5"/>
    <w:rsid w:val="00991C17"/>
    <w:rsid w:val="00991EE1"/>
    <w:rsid w:val="009920A8"/>
    <w:rsid w:val="00992149"/>
    <w:rsid w:val="009923F9"/>
    <w:rsid w:val="009928B0"/>
    <w:rsid w:val="009928C4"/>
    <w:rsid w:val="00994803"/>
    <w:rsid w:val="00994DCF"/>
    <w:rsid w:val="00994E4E"/>
    <w:rsid w:val="0099524A"/>
    <w:rsid w:val="009957D7"/>
    <w:rsid w:val="00995B0E"/>
    <w:rsid w:val="00995D5D"/>
    <w:rsid w:val="00996169"/>
    <w:rsid w:val="0099642B"/>
    <w:rsid w:val="0099643D"/>
    <w:rsid w:val="0099660E"/>
    <w:rsid w:val="009968ED"/>
    <w:rsid w:val="00996AD7"/>
    <w:rsid w:val="00997088"/>
    <w:rsid w:val="00997ABD"/>
    <w:rsid w:val="00997B22"/>
    <w:rsid w:val="009A0549"/>
    <w:rsid w:val="009A05CD"/>
    <w:rsid w:val="009A0651"/>
    <w:rsid w:val="009A081A"/>
    <w:rsid w:val="009A0D51"/>
    <w:rsid w:val="009A0EA8"/>
    <w:rsid w:val="009A0EC5"/>
    <w:rsid w:val="009A1FE5"/>
    <w:rsid w:val="009A2367"/>
    <w:rsid w:val="009A2971"/>
    <w:rsid w:val="009A2A0F"/>
    <w:rsid w:val="009A3391"/>
    <w:rsid w:val="009A45D8"/>
    <w:rsid w:val="009A4A13"/>
    <w:rsid w:val="009A504B"/>
    <w:rsid w:val="009A5147"/>
    <w:rsid w:val="009A5460"/>
    <w:rsid w:val="009A65FF"/>
    <w:rsid w:val="009A6776"/>
    <w:rsid w:val="009A6DB6"/>
    <w:rsid w:val="009A724C"/>
    <w:rsid w:val="009A73C1"/>
    <w:rsid w:val="009A7445"/>
    <w:rsid w:val="009A763A"/>
    <w:rsid w:val="009A774B"/>
    <w:rsid w:val="009A7EDD"/>
    <w:rsid w:val="009B00E5"/>
    <w:rsid w:val="009B01D7"/>
    <w:rsid w:val="009B0F26"/>
    <w:rsid w:val="009B18C1"/>
    <w:rsid w:val="009B1CAB"/>
    <w:rsid w:val="009B1FCF"/>
    <w:rsid w:val="009B201C"/>
    <w:rsid w:val="009B230C"/>
    <w:rsid w:val="009B26EB"/>
    <w:rsid w:val="009B3344"/>
    <w:rsid w:val="009B36FF"/>
    <w:rsid w:val="009B4E26"/>
    <w:rsid w:val="009B5616"/>
    <w:rsid w:val="009B7943"/>
    <w:rsid w:val="009B7B71"/>
    <w:rsid w:val="009C145B"/>
    <w:rsid w:val="009C14CA"/>
    <w:rsid w:val="009C16F3"/>
    <w:rsid w:val="009C17F1"/>
    <w:rsid w:val="009C1F24"/>
    <w:rsid w:val="009C1F8E"/>
    <w:rsid w:val="009C2315"/>
    <w:rsid w:val="009C2812"/>
    <w:rsid w:val="009C2E80"/>
    <w:rsid w:val="009C3A48"/>
    <w:rsid w:val="009C3C92"/>
    <w:rsid w:val="009C417F"/>
    <w:rsid w:val="009C4732"/>
    <w:rsid w:val="009C4877"/>
    <w:rsid w:val="009C4B9A"/>
    <w:rsid w:val="009C4BB0"/>
    <w:rsid w:val="009C4E15"/>
    <w:rsid w:val="009C5978"/>
    <w:rsid w:val="009C5A5C"/>
    <w:rsid w:val="009C5EDA"/>
    <w:rsid w:val="009C66F2"/>
    <w:rsid w:val="009C6AC9"/>
    <w:rsid w:val="009C7847"/>
    <w:rsid w:val="009D0304"/>
    <w:rsid w:val="009D0E44"/>
    <w:rsid w:val="009D14CA"/>
    <w:rsid w:val="009D2065"/>
    <w:rsid w:val="009D20B3"/>
    <w:rsid w:val="009D23A7"/>
    <w:rsid w:val="009D2784"/>
    <w:rsid w:val="009D2BB3"/>
    <w:rsid w:val="009D2D4A"/>
    <w:rsid w:val="009D30B4"/>
    <w:rsid w:val="009D3600"/>
    <w:rsid w:val="009D3892"/>
    <w:rsid w:val="009D3AF8"/>
    <w:rsid w:val="009D4464"/>
    <w:rsid w:val="009D453A"/>
    <w:rsid w:val="009D4B79"/>
    <w:rsid w:val="009D5422"/>
    <w:rsid w:val="009D5452"/>
    <w:rsid w:val="009D59E4"/>
    <w:rsid w:val="009D6968"/>
    <w:rsid w:val="009D6F8D"/>
    <w:rsid w:val="009D72CB"/>
    <w:rsid w:val="009D7347"/>
    <w:rsid w:val="009D74A0"/>
    <w:rsid w:val="009D7BB4"/>
    <w:rsid w:val="009D7CD9"/>
    <w:rsid w:val="009E046C"/>
    <w:rsid w:val="009E05ED"/>
    <w:rsid w:val="009E117D"/>
    <w:rsid w:val="009E15BF"/>
    <w:rsid w:val="009E17DA"/>
    <w:rsid w:val="009E1804"/>
    <w:rsid w:val="009E2259"/>
    <w:rsid w:val="009E2745"/>
    <w:rsid w:val="009E3E79"/>
    <w:rsid w:val="009E41CC"/>
    <w:rsid w:val="009E43CD"/>
    <w:rsid w:val="009E43F5"/>
    <w:rsid w:val="009E48B6"/>
    <w:rsid w:val="009E4984"/>
    <w:rsid w:val="009E4D2A"/>
    <w:rsid w:val="009E4F87"/>
    <w:rsid w:val="009E51DD"/>
    <w:rsid w:val="009E531B"/>
    <w:rsid w:val="009E5BCC"/>
    <w:rsid w:val="009E6498"/>
    <w:rsid w:val="009E6856"/>
    <w:rsid w:val="009E6B47"/>
    <w:rsid w:val="009E71A4"/>
    <w:rsid w:val="009E71FD"/>
    <w:rsid w:val="009E7397"/>
    <w:rsid w:val="009E7D83"/>
    <w:rsid w:val="009F00E3"/>
    <w:rsid w:val="009F026B"/>
    <w:rsid w:val="009F18C0"/>
    <w:rsid w:val="009F19E7"/>
    <w:rsid w:val="009F29F7"/>
    <w:rsid w:val="009F4196"/>
    <w:rsid w:val="009F4242"/>
    <w:rsid w:val="009F46DA"/>
    <w:rsid w:val="009F4763"/>
    <w:rsid w:val="009F476D"/>
    <w:rsid w:val="009F5439"/>
    <w:rsid w:val="009F58FC"/>
    <w:rsid w:val="009F5D5E"/>
    <w:rsid w:val="009F602F"/>
    <w:rsid w:val="009F6570"/>
    <w:rsid w:val="009F6D88"/>
    <w:rsid w:val="009F7012"/>
    <w:rsid w:val="009F751C"/>
    <w:rsid w:val="009F7851"/>
    <w:rsid w:val="009F7F92"/>
    <w:rsid w:val="00A00089"/>
    <w:rsid w:val="00A007EC"/>
    <w:rsid w:val="00A0089C"/>
    <w:rsid w:val="00A01A31"/>
    <w:rsid w:val="00A02032"/>
    <w:rsid w:val="00A02743"/>
    <w:rsid w:val="00A035B3"/>
    <w:rsid w:val="00A03A91"/>
    <w:rsid w:val="00A03B8E"/>
    <w:rsid w:val="00A042A3"/>
    <w:rsid w:val="00A0435B"/>
    <w:rsid w:val="00A0441F"/>
    <w:rsid w:val="00A04878"/>
    <w:rsid w:val="00A049C1"/>
    <w:rsid w:val="00A052B1"/>
    <w:rsid w:val="00A0558F"/>
    <w:rsid w:val="00A05693"/>
    <w:rsid w:val="00A058D2"/>
    <w:rsid w:val="00A06361"/>
    <w:rsid w:val="00A074EA"/>
    <w:rsid w:val="00A079EA"/>
    <w:rsid w:val="00A07AEF"/>
    <w:rsid w:val="00A07FCF"/>
    <w:rsid w:val="00A108E0"/>
    <w:rsid w:val="00A10B62"/>
    <w:rsid w:val="00A10F97"/>
    <w:rsid w:val="00A1154F"/>
    <w:rsid w:val="00A11D6C"/>
    <w:rsid w:val="00A12230"/>
    <w:rsid w:val="00A12631"/>
    <w:rsid w:val="00A126C1"/>
    <w:rsid w:val="00A12A59"/>
    <w:rsid w:val="00A12F04"/>
    <w:rsid w:val="00A135B4"/>
    <w:rsid w:val="00A136CC"/>
    <w:rsid w:val="00A144AF"/>
    <w:rsid w:val="00A1473B"/>
    <w:rsid w:val="00A14FAA"/>
    <w:rsid w:val="00A14FBD"/>
    <w:rsid w:val="00A1606B"/>
    <w:rsid w:val="00A1622F"/>
    <w:rsid w:val="00A16E82"/>
    <w:rsid w:val="00A16F53"/>
    <w:rsid w:val="00A170CA"/>
    <w:rsid w:val="00A17260"/>
    <w:rsid w:val="00A20094"/>
    <w:rsid w:val="00A20796"/>
    <w:rsid w:val="00A20E01"/>
    <w:rsid w:val="00A20EEB"/>
    <w:rsid w:val="00A20EF7"/>
    <w:rsid w:val="00A21918"/>
    <w:rsid w:val="00A219C2"/>
    <w:rsid w:val="00A22487"/>
    <w:rsid w:val="00A22608"/>
    <w:rsid w:val="00A22991"/>
    <w:rsid w:val="00A23397"/>
    <w:rsid w:val="00A23835"/>
    <w:rsid w:val="00A238B4"/>
    <w:rsid w:val="00A23CCB"/>
    <w:rsid w:val="00A23F59"/>
    <w:rsid w:val="00A24077"/>
    <w:rsid w:val="00A24177"/>
    <w:rsid w:val="00A2438F"/>
    <w:rsid w:val="00A247EF"/>
    <w:rsid w:val="00A24C0B"/>
    <w:rsid w:val="00A24E13"/>
    <w:rsid w:val="00A24FD1"/>
    <w:rsid w:val="00A25485"/>
    <w:rsid w:val="00A2565D"/>
    <w:rsid w:val="00A261B1"/>
    <w:rsid w:val="00A2681E"/>
    <w:rsid w:val="00A26AAD"/>
    <w:rsid w:val="00A26D92"/>
    <w:rsid w:val="00A27108"/>
    <w:rsid w:val="00A271F2"/>
    <w:rsid w:val="00A27367"/>
    <w:rsid w:val="00A274B9"/>
    <w:rsid w:val="00A27937"/>
    <w:rsid w:val="00A27BA8"/>
    <w:rsid w:val="00A27D54"/>
    <w:rsid w:val="00A30613"/>
    <w:rsid w:val="00A30BDA"/>
    <w:rsid w:val="00A30D87"/>
    <w:rsid w:val="00A318F2"/>
    <w:rsid w:val="00A33C42"/>
    <w:rsid w:val="00A34944"/>
    <w:rsid w:val="00A35180"/>
    <w:rsid w:val="00A35272"/>
    <w:rsid w:val="00A35622"/>
    <w:rsid w:val="00A35E98"/>
    <w:rsid w:val="00A36296"/>
    <w:rsid w:val="00A365B4"/>
    <w:rsid w:val="00A36BCE"/>
    <w:rsid w:val="00A36FDF"/>
    <w:rsid w:val="00A37CA2"/>
    <w:rsid w:val="00A37E11"/>
    <w:rsid w:val="00A37EA9"/>
    <w:rsid w:val="00A4016C"/>
    <w:rsid w:val="00A40315"/>
    <w:rsid w:val="00A4032D"/>
    <w:rsid w:val="00A41128"/>
    <w:rsid w:val="00A4182B"/>
    <w:rsid w:val="00A4196E"/>
    <w:rsid w:val="00A41C83"/>
    <w:rsid w:val="00A42179"/>
    <w:rsid w:val="00A42203"/>
    <w:rsid w:val="00A4277D"/>
    <w:rsid w:val="00A4284A"/>
    <w:rsid w:val="00A42FA0"/>
    <w:rsid w:val="00A43057"/>
    <w:rsid w:val="00A43179"/>
    <w:rsid w:val="00A4330F"/>
    <w:rsid w:val="00A43579"/>
    <w:rsid w:val="00A43A6F"/>
    <w:rsid w:val="00A43A7A"/>
    <w:rsid w:val="00A43C04"/>
    <w:rsid w:val="00A43C14"/>
    <w:rsid w:val="00A443EF"/>
    <w:rsid w:val="00A45741"/>
    <w:rsid w:val="00A45D77"/>
    <w:rsid w:val="00A46194"/>
    <w:rsid w:val="00A46698"/>
    <w:rsid w:val="00A47122"/>
    <w:rsid w:val="00A4727C"/>
    <w:rsid w:val="00A474C7"/>
    <w:rsid w:val="00A47DCE"/>
    <w:rsid w:val="00A47E79"/>
    <w:rsid w:val="00A47F4C"/>
    <w:rsid w:val="00A50660"/>
    <w:rsid w:val="00A5168F"/>
    <w:rsid w:val="00A518D2"/>
    <w:rsid w:val="00A51AEB"/>
    <w:rsid w:val="00A52077"/>
    <w:rsid w:val="00A5213A"/>
    <w:rsid w:val="00A52181"/>
    <w:rsid w:val="00A52250"/>
    <w:rsid w:val="00A5238F"/>
    <w:rsid w:val="00A52C1B"/>
    <w:rsid w:val="00A52C91"/>
    <w:rsid w:val="00A53767"/>
    <w:rsid w:val="00A5393F"/>
    <w:rsid w:val="00A53E07"/>
    <w:rsid w:val="00A53E36"/>
    <w:rsid w:val="00A54412"/>
    <w:rsid w:val="00A54B85"/>
    <w:rsid w:val="00A55527"/>
    <w:rsid w:val="00A56451"/>
    <w:rsid w:val="00A565D1"/>
    <w:rsid w:val="00A56BB7"/>
    <w:rsid w:val="00A57A1F"/>
    <w:rsid w:val="00A6034C"/>
    <w:rsid w:val="00A60A07"/>
    <w:rsid w:val="00A60A80"/>
    <w:rsid w:val="00A60B34"/>
    <w:rsid w:val="00A60E56"/>
    <w:rsid w:val="00A60F83"/>
    <w:rsid w:val="00A611B0"/>
    <w:rsid w:val="00A6133B"/>
    <w:rsid w:val="00A614D0"/>
    <w:rsid w:val="00A6225C"/>
    <w:rsid w:val="00A62365"/>
    <w:rsid w:val="00A626E4"/>
    <w:rsid w:val="00A627DC"/>
    <w:rsid w:val="00A6294F"/>
    <w:rsid w:val="00A62D67"/>
    <w:rsid w:val="00A62F3A"/>
    <w:rsid w:val="00A6316E"/>
    <w:rsid w:val="00A63B88"/>
    <w:rsid w:val="00A63E39"/>
    <w:rsid w:val="00A64518"/>
    <w:rsid w:val="00A64603"/>
    <w:rsid w:val="00A64669"/>
    <w:rsid w:val="00A6511B"/>
    <w:rsid w:val="00A65430"/>
    <w:rsid w:val="00A65C5E"/>
    <w:rsid w:val="00A67843"/>
    <w:rsid w:val="00A70150"/>
    <w:rsid w:val="00A701AC"/>
    <w:rsid w:val="00A71059"/>
    <w:rsid w:val="00A71096"/>
    <w:rsid w:val="00A71969"/>
    <w:rsid w:val="00A71B3B"/>
    <w:rsid w:val="00A72001"/>
    <w:rsid w:val="00A721CF"/>
    <w:rsid w:val="00A731CB"/>
    <w:rsid w:val="00A73458"/>
    <w:rsid w:val="00A73575"/>
    <w:rsid w:val="00A73D53"/>
    <w:rsid w:val="00A73ECC"/>
    <w:rsid w:val="00A740A6"/>
    <w:rsid w:val="00A7411F"/>
    <w:rsid w:val="00A74321"/>
    <w:rsid w:val="00A747F2"/>
    <w:rsid w:val="00A757ED"/>
    <w:rsid w:val="00A75CE6"/>
    <w:rsid w:val="00A75FF0"/>
    <w:rsid w:val="00A760AA"/>
    <w:rsid w:val="00A76167"/>
    <w:rsid w:val="00A768CE"/>
    <w:rsid w:val="00A7693C"/>
    <w:rsid w:val="00A77304"/>
    <w:rsid w:val="00A77609"/>
    <w:rsid w:val="00A7784B"/>
    <w:rsid w:val="00A80152"/>
    <w:rsid w:val="00A809E5"/>
    <w:rsid w:val="00A81BED"/>
    <w:rsid w:val="00A8234D"/>
    <w:rsid w:val="00A827DF"/>
    <w:rsid w:val="00A82FF6"/>
    <w:rsid w:val="00A834AA"/>
    <w:rsid w:val="00A83611"/>
    <w:rsid w:val="00A83AB8"/>
    <w:rsid w:val="00A83E00"/>
    <w:rsid w:val="00A846A2"/>
    <w:rsid w:val="00A855B6"/>
    <w:rsid w:val="00A8578F"/>
    <w:rsid w:val="00A85EC6"/>
    <w:rsid w:val="00A86241"/>
    <w:rsid w:val="00A868B4"/>
    <w:rsid w:val="00A86D2D"/>
    <w:rsid w:val="00A86EDC"/>
    <w:rsid w:val="00A872CB"/>
    <w:rsid w:val="00A87431"/>
    <w:rsid w:val="00A87781"/>
    <w:rsid w:val="00A8786B"/>
    <w:rsid w:val="00A90359"/>
    <w:rsid w:val="00A90980"/>
    <w:rsid w:val="00A90D9E"/>
    <w:rsid w:val="00A91540"/>
    <w:rsid w:val="00A91770"/>
    <w:rsid w:val="00A919AF"/>
    <w:rsid w:val="00A91B38"/>
    <w:rsid w:val="00A91BC8"/>
    <w:rsid w:val="00A92145"/>
    <w:rsid w:val="00A92BC2"/>
    <w:rsid w:val="00A93C32"/>
    <w:rsid w:val="00A94582"/>
    <w:rsid w:val="00A9478C"/>
    <w:rsid w:val="00A94B3C"/>
    <w:rsid w:val="00A94BE9"/>
    <w:rsid w:val="00A94DC7"/>
    <w:rsid w:val="00A95310"/>
    <w:rsid w:val="00A954A4"/>
    <w:rsid w:val="00A96616"/>
    <w:rsid w:val="00A97109"/>
    <w:rsid w:val="00A9713D"/>
    <w:rsid w:val="00A979F0"/>
    <w:rsid w:val="00A97A29"/>
    <w:rsid w:val="00A97F97"/>
    <w:rsid w:val="00AA0C24"/>
    <w:rsid w:val="00AA1734"/>
    <w:rsid w:val="00AA17A0"/>
    <w:rsid w:val="00AA1B2F"/>
    <w:rsid w:val="00AA1EAC"/>
    <w:rsid w:val="00AA21E3"/>
    <w:rsid w:val="00AA2414"/>
    <w:rsid w:val="00AA2B00"/>
    <w:rsid w:val="00AA2E36"/>
    <w:rsid w:val="00AA304E"/>
    <w:rsid w:val="00AA33F4"/>
    <w:rsid w:val="00AA34B6"/>
    <w:rsid w:val="00AA3D5E"/>
    <w:rsid w:val="00AA447F"/>
    <w:rsid w:val="00AA4AD1"/>
    <w:rsid w:val="00AA4EE2"/>
    <w:rsid w:val="00AA5065"/>
    <w:rsid w:val="00AA5419"/>
    <w:rsid w:val="00AA56A4"/>
    <w:rsid w:val="00AA593C"/>
    <w:rsid w:val="00AA5BA0"/>
    <w:rsid w:val="00AA5D8C"/>
    <w:rsid w:val="00AA6494"/>
    <w:rsid w:val="00AA6569"/>
    <w:rsid w:val="00AA65C1"/>
    <w:rsid w:val="00AA7074"/>
    <w:rsid w:val="00AA7924"/>
    <w:rsid w:val="00AA7FCF"/>
    <w:rsid w:val="00AB03E8"/>
    <w:rsid w:val="00AB04C4"/>
    <w:rsid w:val="00AB0534"/>
    <w:rsid w:val="00AB0B72"/>
    <w:rsid w:val="00AB1DAA"/>
    <w:rsid w:val="00AB2072"/>
    <w:rsid w:val="00AB2085"/>
    <w:rsid w:val="00AB21A8"/>
    <w:rsid w:val="00AB2443"/>
    <w:rsid w:val="00AB258A"/>
    <w:rsid w:val="00AB267E"/>
    <w:rsid w:val="00AB2D8B"/>
    <w:rsid w:val="00AB339C"/>
    <w:rsid w:val="00AB3A86"/>
    <w:rsid w:val="00AB492C"/>
    <w:rsid w:val="00AB4B6A"/>
    <w:rsid w:val="00AB4C19"/>
    <w:rsid w:val="00AB4C88"/>
    <w:rsid w:val="00AB4C9D"/>
    <w:rsid w:val="00AB4CA8"/>
    <w:rsid w:val="00AB5634"/>
    <w:rsid w:val="00AB5A40"/>
    <w:rsid w:val="00AB5C12"/>
    <w:rsid w:val="00AB6E7B"/>
    <w:rsid w:val="00AB7419"/>
    <w:rsid w:val="00AB7DC9"/>
    <w:rsid w:val="00AB7FC1"/>
    <w:rsid w:val="00AC0008"/>
    <w:rsid w:val="00AC050D"/>
    <w:rsid w:val="00AC061E"/>
    <w:rsid w:val="00AC0FFA"/>
    <w:rsid w:val="00AC10A0"/>
    <w:rsid w:val="00AC15A4"/>
    <w:rsid w:val="00AC15CF"/>
    <w:rsid w:val="00AC1C55"/>
    <w:rsid w:val="00AC1C8F"/>
    <w:rsid w:val="00AC2030"/>
    <w:rsid w:val="00AC21D4"/>
    <w:rsid w:val="00AC2F57"/>
    <w:rsid w:val="00AC2F5A"/>
    <w:rsid w:val="00AC30F1"/>
    <w:rsid w:val="00AC3321"/>
    <w:rsid w:val="00AC3C66"/>
    <w:rsid w:val="00AC401B"/>
    <w:rsid w:val="00AC40AB"/>
    <w:rsid w:val="00AC51AA"/>
    <w:rsid w:val="00AC5664"/>
    <w:rsid w:val="00AC6489"/>
    <w:rsid w:val="00AC67C6"/>
    <w:rsid w:val="00AC770B"/>
    <w:rsid w:val="00AC7829"/>
    <w:rsid w:val="00AD000D"/>
    <w:rsid w:val="00AD045D"/>
    <w:rsid w:val="00AD065C"/>
    <w:rsid w:val="00AD08DD"/>
    <w:rsid w:val="00AD0BE1"/>
    <w:rsid w:val="00AD13DE"/>
    <w:rsid w:val="00AD14C1"/>
    <w:rsid w:val="00AD1E84"/>
    <w:rsid w:val="00AD23A5"/>
    <w:rsid w:val="00AD251A"/>
    <w:rsid w:val="00AD25D7"/>
    <w:rsid w:val="00AD2BA6"/>
    <w:rsid w:val="00AD2E89"/>
    <w:rsid w:val="00AD2EBA"/>
    <w:rsid w:val="00AD3495"/>
    <w:rsid w:val="00AD365A"/>
    <w:rsid w:val="00AD3D14"/>
    <w:rsid w:val="00AD3EBD"/>
    <w:rsid w:val="00AD460E"/>
    <w:rsid w:val="00AD4BC8"/>
    <w:rsid w:val="00AD4C4C"/>
    <w:rsid w:val="00AD4D35"/>
    <w:rsid w:val="00AD4FD2"/>
    <w:rsid w:val="00AD5012"/>
    <w:rsid w:val="00AD56C4"/>
    <w:rsid w:val="00AD67D4"/>
    <w:rsid w:val="00AD6805"/>
    <w:rsid w:val="00AD680E"/>
    <w:rsid w:val="00AD73B7"/>
    <w:rsid w:val="00AD75A0"/>
    <w:rsid w:val="00AD7649"/>
    <w:rsid w:val="00AD7B9B"/>
    <w:rsid w:val="00AE1056"/>
    <w:rsid w:val="00AE12A8"/>
    <w:rsid w:val="00AE13AC"/>
    <w:rsid w:val="00AE199D"/>
    <w:rsid w:val="00AE1B81"/>
    <w:rsid w:val="00AE1DD2"/>
    <w:rsid w:val="00AE1EC9"/>
    <w:rsid w:val="00AE1F41"/>
    <w:rsid w:val="00AE2A7F"/>
    <w:rsid w:val="00AE31E4"/>
    <w:rsid w:val="00AE3285"/>
    <w:rsid w:val="00AE357A"/>
    <w:rsid w:val="00AE3582"/>
    <w:rsid w:val="00AE3611"/>
    <w:rsid w:val="00AE3673"/>
    <w:rsid w:val="00AE36D7"/>
    <w:rsid w:val="00AE3D23"/>
    <w:rsid w:val="00AE3DF2"/>
    <w:rsid w:val="00AE3F1E"/>
    <w:rsid w:val="00AE3FB8"/>
    <w:rsid w:val="00AE4BCB"/>
    <w:rsid w:val="00AE4EB5"/>
    <w:rsid w:val="00AE52B6"/>
    <w:rsid w:val="00AE5C9C"/>
    <w:rsid w:val="00AE67B1"/>
    <w:rsid w:val="00AE6A75"/>
    <w:rsid w:val="00AE6C2A"/>
    <w:rsid w:val="00AE6E35"/>
    <w:rsid w:val="00AE6F53"/>
    <w:rsid w:val="00AE7283"/>
    <w:rsid w:val="00AE7682"/>
    <w:rsid w:val="00AE7C55"/>
    <w:rsid w:val="00AE7E8F"/>
    <w:rsid w:val="00AE7F84"/>
    <w:rsid w:val="00AE7FA2"/>
    <w:rsid w:val="00AF0429"/>
    <w:rsid w:val="00AF0934"/>
    <w:rsid w:val="00AF0D78"/>
    <w:rsid w:val="00AF1962"/>
    <w:rsid w:val="00AF28FB"/>
    <w:rsid w:val="00AF2949"/>
    <w:rsid w:val="00AF2E34"/>
    <w:rsid w:val="00AF361B"/>
    <w:rsid w:val="00AF3898"/>
    <w:rsid w:val="00AF3978"/>
    <w:rsid w:val="00AF470C"/>
    <w:rsid w:val="00AF48BD"/>
    <w:rsid w:val="00AF4964"/>
    <w:rsid w:val="00AF4E79"/>
    <w:rsid w:val="00AF5688"/>
    <w:rsid w:val="00AF59DA"/>
    <w:rsid w:val="00AF67C9"/>
    <w:rsid w:val="00AF67FD"/>
    <w:rsid w:val="00AF69BB"/>
    <w:rsid w:val="00AF6D8C"/>
    <w:rsid w:val="00AF7A90"/>
    <w:rsid w:val="00AF7CC2"/>
    <w:rsid w:val="00B000FB"/>
    <w:rsid w:val="00B0015F"/>
    <w:rsid w:val="00B00454"/>
    <w:rsid w:val="00B00544"/>
    <w:rsid w:val="00B006A6"/>
    <w:rsid w:val="00B0077E"/>
    <w:rsid w:val="00B0092D"/>
    <w:rsid w:val="00B00A69"/>
    <w:rsid w:val="00B00F9D"/>
    <w:rsid w:val="00B01AC9"/>
    <w:rsid w:val="00B0202A"/>
    <w:rsid w:val="00B02223"/>
    <w:rsid w:val="00B02C34"/>
    <w:rsid w:val="00B0396C"/>
    <w:rsid w:val="00B03A85"/>
    <w:rsid w:val="00B03FB6"/>
    <w:rsid w:val="00B04290"/>
    <w:rsid w:val="00B04617"/>
    <w:rsid w:val="00B049A0"/>
    <w:rsid w:val="00B050CC"/>
    <w:rsid w:val="00B0530E"/>
    <w:rsid w:val="00B0563A"/>
    <w:rsid w:val="00B05A85"/>
    <w:rsid w:val="00B06424"/>
    <w:rsid w:val="00B067B9"/>
    <w:rsid w:val="00B0690C"/>
    <w:rsid w:val="00B06932"/>
    <w:rsid w:val="00B069CF"/>
    <w:rsid w:val="00B06D57"/>
    <w:rsid w:val="00B0714D"/>
    <w:rsid w:val="00B07867"/>
    <w:rsid w:val="00B07C63"/>
    <w:rsid w:val="00B104B5"/>
    <w:rsid w:val="00B109F8"/>
    <w:rsid w:val="00B10CC0"/>
    <w:rsid w:val="00B10CD9"/>
    <w:rsid w:val="00B10E21"/>
    <w:rsid w:val="00B10F73"/>
    <w:rsid w:val="00B1174F"/>
    <w:rsid w:val="00B11D69"/>
    <w:rsid w:val="00B12C40"/>
    <w:rsid w:val="00B12D74"/>
    <w:rsid w:val="00B130EF"/>
    <w:rsid w:val="00B1343F"/>
    <w:rsid w:val="00B137FE"/>
    <w:rsid w:val="00B1394A"/>
    <w:rsid w:val="00B156BB"/>
    <w:rsid w:val="00B15B40"/>
    <w:rsid w:val="00B15C5C"/>
    <w:rsid w:val="00B160C0"/>
    <w:rsid w:val="00B16390"/>
    <w:rsid w:val="00B16C25"/>
    <w:rsid w:val="00B172AF"/>
    <w:rsid w:val="00B1743C"/>
    <w:rsid w:val="00B17C9E"/>
    <w:rsid w:val="00B17D81"/>
    <w:rsid w:val="00B20165"/>
    <w:rsid w:val="00B20813"/>
    <w:rsid w:val="00B20C0D"/>
    <w:rsid w:val="00B21552"/>
    <w:rsid w:val="00B2163D"/>
    <w:rsid w:val="00B21AE8"/>
    <w:rsid w:val="00B21DBE"/>
    <w:rsid w:val="00B22211"/>
    <w:rsid w:val="00B225DF"/>
    <w:rsid w:val="00B2303B"/>
    <w:rsid w:val="00B23DE2"/>
    <w:rsid w:val="00B241D3"/>
    <w:rsid w:val="00B24437"/>
    <w:rsid w:val="00B24B9A"/>
    <w:rsid w:val="00B24C64"/>
    <w:rsid w:val="00B24DE3"/>
    <w:rsid w:val="00B25742"/>
    <w:rsid w:val="00B25D23"/>
    <w:rsid w:val="00B26346"/>
    <w:rsid w:val="00B267EE"/>
    <w:rsid w:val="00B268E4"/>
    <w:rsid w:val="00B26B36"/>
    <w:rsid w:val="00B2710D"/>
    <w:rsid w:val="00B27AC2"/>
    <w:rsid w:val="00B27AE2"/>
    <w:rsid w:val="00B305CD"/>
    <w:rsid w:val="00B31512"/>
    <w:rsid w:val="00B31713"/>
    <w:rsid w:val="00B31B25"/>
    <w:rsid w:val="00B32566"/>
    <w:rsid w:val="00B32AD0"/>
    <w:rsid w:val="00B32BF2"/>
    <w:rsid w:val="00B32D21"/>
    <w:rsid w:val="00B32F21"/>
    <w:rsid w:val="00B33492"/>
    <w:rsid w:val="00B334E7"/>
    <w:rsid w:val="00B33520"/>
    <w:rsid w:val="00B33EDF"/>
    <w:rsid w:val="00B3409A"/>
    <w:rsid w:val="00B34E75"/>
    <w:rsid w:val="00B34F35"/>
    <w:rsid w:val="00B36231"/>
    <w:rsid w:val="00B362CA"/>
    <w:rsid w:val="00B36551"/>
    <w:rsid w:val="00B36C64"/>
    <w:rsid w:val="00B36D56"/>
    <w:rsid w:val="00B371DA"/>
    <w:rsid w:val="00B375F4"/>
    <w:rsid w:val="00B37E97"/>
    <w:rsid w:val="00B40014"/>
    <w:rsid w:val="00B40414"/>
    <w:rsid w:val="00B4075A"/>
    <w:rsid w:val="00B412BF"/>
    <w:rsid w:val="00B41766"/>
    <w:rsid w:val="00B4200D"/>
    <w:rsid w:val="00B4221A"/>
    <w:rsid w:val="00B42393"/>
    <w:rsid w:val="00B42632"/>
    <w:rsid w:val="00B428CB"/>
    <w:rsid w:val="00B43366"/>
    <w:rsid w:val="00B439AD"/>
    <w:rsid w:val="00B43A78"/>
    <w:rsid w:val="00B43BB4"/>
    <w:rsid w:val="00B43C0F"/>
    <w:rsid w:val="00B45142"/>
    <w:rsid w:val="00B45F5A"/>
    <w:rsid w:val="00B46380"/>
    <w:rsid w:val="00B46670"/>
    <w:rsid w:val="00B46E75"/>
    <w:rsid w:val="00B47082"/>
    <w:rsid w:val="00B470A7"/>
    <w:rsid w:val="00B47200"/>
    <w:rsid w:val="00B47797"/>
    <w:rsid w:val="00B47BFF"/>
    <w:rsid w:val="00B47FD6"/>
    <w:rsid w:val="00B50C03"/>
    <w:rsid w:val="00B50D63"/>
    <w:rsid w:val="00B515FF"/>
    <w:rsid w:val="00B516ED"/>
    <w:rsid w:val="00B51C53"/>
    <w:rsid w:val="00B52C5B"/>
    <w:rsid w:val="00B52D72"/>
    <w:rsid w:val="00B53084"/>
    <w:rsid w:val="00B533A2"/>
    <w:rsid w:val="00B53403"/>
    <w:rsid w:val="00B53992"/>
    <w:rsid w:val="00B54AD7"/>
    <w:rsid w:val="00B54B54"/>
    <w:rsid w:val="00B554A6"/>
    <w:rsid w:val="00B56176"/>
    <w:rsid w:val="00B561B4"/>
    <w:rsid w:val="00B566F5"/>
    <w:rsid w:val="00B56952"/>
    <w:rsid w:val="00B56AB3"/>
    <w:rsid w:val="00B601C3"/>
    <w:rsid w:val="00B60362"/>
    <w:rsid w:val="00B605F4"/>
    <w:rsid w:val="00B607C0"/>
    <w:rsid w:val="00B60AA8"/>
    <w:rsid w:val="00B6104C"/>
    <w:rsid w:val="00B61F19"/>
    <w:rsid w:val="00B61F51"/>
    <w:rsid w:val="00B620C2"/>
    <w:rsid w:val="00B6274D"/>
    <w:rsid w:val="00B629DB"/>
    <w:rsid w:val="00B6339D"/>
    <w:rsid w:val="00B63960"/>
    <w:rsid w:val="00B63A3C"/>
    <w:rsid w:val="00B64773"/>
    <w:rsid w:val="00B648D9"/>
    <w:rsid w:val="00B649D2"/>
    <w:rsid w:val="00B65399"/>
    <w:rsid w:val="00B657E7"/>
    <w:rsid w:val="00B65804"/>
    <w:rsid w:val="00B6601B"/>
    <w:rsid w:val="00B66040"/>
    <w:rsid w:val="00B66537"/>
    <w:rsid w:val="00B670A6"/>
    <w:rsid w:val="00B6734B"/>
    <w:rsid w:val="00B70157"/>
    <w:rsid w:val="00B7127C"/>
    <w:rsid w:val="00B71B95"/>
    <w:rsid w:val="00B72192"/>
    <w:rsid w:val="00B72C31"/>
    <w:rsid w:val="00B72F89"/>
    <w:rsid w:val="00B73517"/>
    <w:rsid w:val="00B73F53"/>
    <w:rsid w:val="00B741A8"/>
    <w:rsid w:val="00B74278"/>
    <w:rsid w:val="00B74A77"/>
    <w:rsid w:val="00B74C83"/>
    <w:rsid w:val="00B74DB3"/>
    <w:rsid w:val="00B75798"/>
    <w:rsid w:val="00B758E1"/>
    <w:rsid w:val="00B759A9"/>
    <w:rsid w:val="00B763E6"/>
    <w:rsid w:val="00B76AD7"/>
    <w:rsid w:val="00B76E78"/>
    <w:rsid w:val="00B76E90"/>
    <w:rsid w:val="00B772F4"/>
    <w:rsid w:val="00B80318"/>
    <w:rsid w:val="00B8051C"/>
    <w:rsid w:val="00B8061C"/>
    <w:rsid w:val="00B808E0"/>
    <w:rsid w:val="00B809EB"/>
    <w:rsid w:val="00B80C5F"/>
    <w:rsid w:val="00B80F94"/>
    <w:rsid w:val="00B8124D"/>
    <w:rsid w:val="00B81560"/>
    <w:rsid w:val="00B81655"/>
    <w:rsid w:val="00B81901"/>
    <w:rsid w:val="00B819E5"/>
    <w:rsid w:val="00B823B3"/>
    <w:rsid w:val="00B831AD"/>
    <w:rsid w:val="00B83276"/>
    <w:rsid w:val="00B83475"/>
    <w:rsid w:val="00B847AF"/>
    <w:rsid w:val="00B84B7C"/>
    <w:rsid w:val="00B84EB4"/>
    <w:rsid w:val="00B850D6"/>
    <w:rsid w:val="00B85167"/>
    <w:rsid w:val="00B852D7"/>
    <w:rsid w:val="00B853FC"/>
    <w:rsid w:val="00B85A11"/>
    <w:rsid w:val="00B85DC8"/>
    <w:rsid w:val="00B87137"/>
    <w:rsid w:val="00B8723D"/>
    <w:rsid w:val="00B8733C"/>
    <w:rsid w:val="00B87A68"/>
    <w:rsid w:val="00B87D52"/>
    <w:rsid w:val="00B87DE9"/>
    <w:rsid w:val="00B900E2"/>
    <w:rsid w:val="00B9024B"/>
    <w:rsid w:val="00B90458"/>
    <w:rsid w:val="00B9081F"/>
    <w:rsid w:val="00B90881"/>
    <w:rsid w:val="00B90EA5"/>
    <w:rsid w:val="00B9130C"/>
    <w:rsid w:val="00B9249E"/>
    <w:rsid w:val="00B92A21"/>
    <w:rsid w:val="00B92D33"/>
    <w:rsid w:val="00B92EB5"/>
    <w:rsid w:val="00B934D0"/>
    <w:rsid w:val="00B93C39"/>
    <w:rsid w:val="00B94049"/>
    <w:rsid w:val="00B94492"/>
    <w:rsid w:val="00B94641"/>
    <w:rsid w:val="00B94745"/>
    <w:rsid w:val="00B94E32"/>
    <w:rsid w:val="00B95EB7"/>
    <w:rsid w:val="00B96088"/>
    <w:rsid w:val="00B968D6"/>
    <w:rsid w:val="00B973B0"/>
    <w:rsid w:val="00B977FA"/>
    <w:rsid w:val="00B97A90"/>
    <w:rsid w:val="00BA00BA"/>
    <w:rsid w:val="00BA0229"/>
    <w:rsid w:val="00BA023B"/>
    <w:rsid w:val="00BA08B7"/>
    <w:rsid w:val="00BA1CFA"/>
    <w:rsid w:val="00BA1D76"/>
    <w:rsid w:val="00BA1E71"/>
    <w:rsid w:val="00BA2081"/>
    <w:rsid w:val="00BA25CD"/>
    <w:rsid w:val="00BA281D"/>
    <w:rsid w:val="00BA2907"/>
    <w:rsid w:val="00BA335E"/>
    <w:rsid w:val="00BA3F44"/>
    <w:rsid w:val="00BA45F1"/>
    <w:rsid w:val="00BA469D"/>
    <w:rsid w:val="00BA4A61"/>
    <w:rsid w:val="00BA5760"/>
    <w:rsid w:val="00BA65F8"/>
    <w:rsid w:val="00BA70EB"/>
    <w:rsid w:val="00BA7750"/>
    <w:rsid w:val="00BA7BE3"/>
    <w:rsid w:val="00BA7DD1"/>
    <w:rsid w:val="00BB0445"/>
    <w:rsid w:val="00BB05F0"/>
    <w:rsid w:val="00BB0ED2"/>
    <w:rsid w:val="00BB1F0E"/>
    <w:rsid w:val="00BB2290"/>
    <w:rsid w:val="00BB263E"/>
    <w:rsid w:val="00BB268A"/>
    <w:rsid w:val="00BB2B11"/>
    <w:rsid w:val="00BB2DFC"/>
    <w:rsid w:val="00BB2E79"/>
    <w:rsid w:val="00BB3B77"/>
    <w:rsid w:val="00BB3D60"/>
    <w:rsid w:val="00BB42B1"/>
    <w:rsid w:val="00BB43F6"/>
    <w:rsid w:val="00BB4F08"/>
    <w:rsid w:val="00BB53E6"/>
    <w:rsid w:val="00BB551E"/>
    <w:rsid w:val="00BB5702"/>
    <w:rsid w:val="00BB57F4"/>
    <w:rsid w:val="00BB58DB"/>
    <w:rsid w:val="00BB6602"/>
    <w:rsid w:val="00BB662C"/>
    <w:rsid w:val="00BB6B1B"/>
    <w:rsid w:val="00BB7090"/>
    <w:rsid w:val="00BB7327"/>
    <w:rsid w:val="00BB7494"/>
    <w:rsid w:val="00BB7B67"/>
    <w:rsid w:val="00BC0B1C"/>
    <w:rsid w:val="00BC14A6"/>
    <w:rsid w:val="00BC2808"/>
    <w:rsid w:val="00BC3077"/>
    <w:rsid w:val="00BC3293"/>
    <w:rsid w:val="00BC3C10"/>
    <w:rsid w:val="00BC40A5"/>
    <w:rsid w:val="00BC460E"/>
    <w:rsid w:val="00BC51EB"/>
    <w:rsid w:val="00BC53D9"/>
    <w:rsid w:val="00BC5652"/>
    <w:rsid w:val="00BC5732"/>
    <w:rsid w:val="00BC5A0B"/>
    <w:rsid w:val="00BC5A4B"/>
    <w:rsid w:val="00BC5A53"/>
    <w:rsid w:val="00BC5D61"/>
    <w:rsid w:val="00BC61CA"/>
    <w:rsid w:val="00BC7306"/>
    <w:rsid w:val="00BC73C1"/>
    <w:rsid w:val="00BC743A"/>
    <w:rsid w:val="00BC7547"/>
    <w:rsid w:val="00BD0345"/>
    <w:rsid w:val="00BD0706"/>
    <w:rsid w:val="00BD0A8D"/>
    <w:rsid w:val="00BD0C93"/>
    <w:rsid w:val="00BD122C"/>
    <w:rsid w:val="00BD1964"/>
    <w:rsid w:val="00BD197E"/>
    <w:rsid w:val="00BD1B8D"/>
    <w:rsid w:val="00BD1D10"/>
    <w:rsid w:val="00BD3C3A"/>
    <w:rsid w:val="00BD3CF4"/>
    <w:rsid w:val="00BD3D91"/>
    <w:rsid w:val="00BD4561"/>
    <w:rsid w:val="00BD4EC9"/>
    <w:rsid w:val="00BD56BB"/>
    <w:rsid w:val="00BD5705"/>
    <w:rsid w:val="00BD5B98"/>
    <w:rsid w:val="00BD5C27"/>
    <w:rsid w:val="00BD5DF0"/>
    <w:rsid w:val="00BD5E04"/>
    <w:rsid w:val="00BD656A"/>
    <w:rsid w:val="00BD6B35"/>
    <w:rsid w:val="00BD6FBE"/>
    <w:rsid w:val="00BD7085"/>
    <w:rsid w:val="00BD71B4"/>
    <w:rsid w:val="00BD72CB"/>
    <w:rsid w:val="00BE0148"/>
    <w:rsid w:val="00BE0153"/>
    <w:rsid w:val="00BE0D88"/>
    <w:rsid w:val="00BE1DC7"/>
    <w:rsid w:val="00BE1F08"/>
    <w:rsid w:val="00BE2794"/>
    <w:rsid w:val="00BE314D"/>
    <w:rsid w:val="00BE3B8A"/>
    <w:rsid w:val="00BE434C"/>
    <w:rsid w:val="00BE4F22"/>
    <w:rsid w:val="00BE5476"/>
    <w:rsid w:val="00BE5833"/>
    <w:rsid w:val="00BE5C0B"/>
    <w:rsid w:val="00BE65FB"/>
    <w:rsid w:val="00BE701A"/>
    <w:rsid w:val="00BE7A5D"/>
    <w:rsid w:val="00BF0359"/>
    <w:rsid w:val="00BF0541"/>
    <w:rsid w:val="00BF0B04"/>
    <w:rsid w:val="00BF0CD2"/>
    <w:rsid w:val="00BF0DD4"/>
    <w:rsid w:val="00BF11EE"/>
    <w:rsid w:val="00BF15A7"/>
    <w:rsid w:val="00BF20E6"/>
    <w:rsid w:val="00BF27C8"/>
    <w:rsid w:val="00BF2AF1"/>
    <w:rsid w:val="00BF306B"/>
    <w:rsid w:val="00BF3072"/>
    <w:rsid w:val="00BF4311"/>
    <w:rsid w:val="00BF445F"/>
    <w:rsid w:val="00BF4752"/>
    <w:rsid w:val="00BF4CB6"/>
    <w:rsid w:val="00BF5371"/>
    <w:rsid w:val="00BF580E"/>
    <w:rsid w:val="00BF5C16"/>
    <w:rsid w:val="00BF5D04"/>
    <w:rsid w:val="00BF5F4C"/>
    <w:rsid w:val="00BF68A1"/>
    <w:rsid w:val="00BF6B15"/>
    <w:rsid w:val="00BF6CDE"/>
    <w:rsid w:val="00BF76EA"/>
    <w:rsid w:val="00C002C4"/>
    <w:rsid w:val="00C00F46"/>
    <w:rsid w:val="00C0187A"/>
    <w:rsid w:val="00C018FD"/>
    <w:rsid w:val="00C0190C"/>
    <w:rsid w:val="00C019CC"/>
    <w:rsid w:val="00C01C4D"/>
    <w:rsid w:val="00C01EA8"/>
    <w:rsid w:val="00C023E1"/>
    <w:rsid w:val="00C0241F"/>
    <w:rsid w:val="00C024E8"/>
    <w:rsid w:val="00C02EB3"/>
    <w:rsid w:val="00C038DA"/>
    <w:rsid w:val="00C03AF1"/>
    <w:rsid w:val="00C03E80"/>
    <w:rsid w:val="00C04777"/>
    <w:rsid w:val="00C0497A"/>
    <w:rsid w:val="00C04995"/>
    <w:rsid w:val="00C04CF2"/>
    <w:rsid w:val="00C05096"/>
    <w:rsid w:val="00C06349"/>
    <w:rsid w:val="00C064B1"/>
    <w:rsid w:val="00C0698F"/>
    <w:rsid w:val="00C07B62"/>
    <w:rsid w:val="00C07DB4"/>
    <w:rsid w:val="00C11018"/>
    <w:rsid w:val="00C11374"/>
    <w:rsid w:val="00C11D67"/>
    <w:rsid w:val="00C11F28"/>
    <w:rsid w:val="00C124CB"/>
    <w:rsid w:val="00C1386B"/>
    <w:rsid w:val="00C14129"/>
    <w:rsid w:val="00C14233"/>
    <w:rsid w:val="00C1470E"/>
    <w:rsid w:val="00C155A4"/>
    <w:rsid w:val="00C159DD"/>
    <w:rsid w:val="00C15BDF"/>
    <w:rsid w:val="00C16441"/>
    <w:rsid w:val="00C1758E"/>
    <w:rsid w:val="00C17ADB"/>
    <w:rsid w:val="00C17D59"/>
    <w:rsid w:val="00C207A7"/>
    <w:rsid w:val="00C20BDE"/>
    <w:rsid w:val="00C2146C"/>
    <w:rsid w:val="00C218C1"/>
    <w:rsid w:val="00C219B9"/>
    <w:rsid w:val="00C21B36"/>
    <w:rsid w:val="00C21F1E"/>
    <w:rsid w:val="00C2210D"/>
    <w:rsid w:val="00C229A7"/>
    <w:rsid w:val="00C22BDB"/>
    <w:rsid w:val="00C231FA"/>
    <w:rsid w:val="00C23276"/>
    <w:rsid w:val="00C23288"/>
    <w:rsid w:val="00C232B3"/>
    <w:rsid w:val="00C23502"/>
    <w:rsid w:val="00C23D4B"/>
    <w:rsid w:val="00C248F0"/>
    <w:rsid w:val="00C24B4B"/>
    <w:rsid w:val="00C24D76"/>
    <w:rsid w:val="00C24DD0"/>
    <w:rsid w:val="00C24F16"/>
    <w:rsid w:val="00C2519A"/>
    <w:rsid w:val="00C251FB"/>
    <w:rsid w:val="00C254F0"/>
    <w:rsid w:val="00C26857"/>
    <w:rsid w:val="00C2690C"/>
    <w:rsid w:val="00C26E23"/>
    <w:rsid w:val="00C26F0D"/>
    <w:rsid w:val="00C26FF0"/>
    <w:rsid w:val="00C27564"/>
    <w:rsid w:val="00C27B4F"/>
    <w:rsid w:val="00C308EC"/>
    <w:rsid w:val="00C30982"/>
    <w:rsid w:val="00C32016"/>
    <w:rsid w:val="00C32854"/>
    <w:rsid w:val="00C32EA5"/>
    <w:rsid w:val="00C33984"/>
    <w:rsid w:val="00C33C2A"/>
    <w:rsid w:val="00C33F59"/>
    <w:rsid w:val="00C3476B"/>
    <w:rsid w:val="00C35274"/>
    <w:rsid w:val="00C3563F"/>
    <w:rsid w:val="00C35BDA"/>
    <w:rsid w:val="00C35DF4"/>
    <w:rsid w:val="00C35E19"/>
    <w:rsid w:val="00C35E22"/>
    <w:rsid w:val="00C362F2"/>
    <w:rsid w:val="00C36371"/>
    <w:rsid w:val="00C369D3"/>
    <w:rsid w:val="00C36E43"/>
    <w:rsid w:val="00C36F22"/>
    <w:rsid w:val="00C3735E"/>
    <w:rsid w:val="00C375C5"/>
    <w:rsid w:val="00C3765D"/>
    <w:rsid w:val="00C378F1"/>
    <w:rsid w:val="00C37959"/>
    <w:rsid w:val="00C37BD4"/>
    <w:rsid w:val="00C406A6"/>
    <w:rsid w:val="00C408B6"/>
    <w:rsid w:val="00C40A74"/>
    <w:rsid w:val="00C40D44"/>
    <w:rsid w:val="00C40E90"/>
    <w:rsid w:val="00C41822"/>
    <w:rsid w:val="00C41B50"/>
    <w:rsid w:val="00C41CE4"/>
    <w:rsid w:val="00C41F12"/>
    <w:rsid w:val="00C42316"/>
    <w:rsid w:val="00C423A3"/>
    <w:rsid w:val="00C42FCF"/>
    <w:rsid w:val="00C430E7"/>
    <w:rsid w:val="00C43D28"/>
    <w:rsid w:val="00C43FF9"/>
    <w:rsid w:val="00C44282"/>
    <w:rsid w:val="00C4428A"/>
    <w:rsid w:val="00C449DD"/>
    <w:rsid w:val="00C45D8B"/>
    <w:rsid w:val="00C466E1"/>
    <w:rsid w:val="00C468A0"/>
    <w:rsid w:val="00C468B5"/>
    <w:rsid w:val="00C46F9C"/>
    <w:rsid w:val="00C4767C"/>
    <w:rsid w:val="00C47916"/>
    <w:rsid w:val="00C47A40"/>
    <w:rsid w:val="00C47C2A"/>
    <w:rsid w:val="00C50FFA"/>
    <w:rsid w:val="00C512D0"/>
    <w:rsid w:val="00C51420"/>
    <w:rsid w:val="00C51494"/>
    <w:rsid w:val="00C516C4"/>
    <w:rsid w:val="00C51B71"/>
    <w:rsid w:val="00C51F98"/>
    <w:rsid w:val="00C520CE"/>
    <w:rsid w:val="00C5230E"/>
    <w:rsid w:val="00C52367"/>
    <w:rsid w:val="00C52457"/>
    <w:rsid w:val="00C527B6"/>
    <w:rsid w:val="00C52CF9"/>
    <w:rsid w:val="00C53538"/>
    <w:rsid w:val="00C536B0"/>
    <w:rsid w:val="00C543A0"/>
    <w:rsid w:val="00C551D4"/>
    <w:rsid w:val="00C5543F"/>
    <w:rsid w:val="00C55533"/>
    <w:rsid w:val="00C558E4"/>
    <w:rsid w:val="00C558F5"/>
    <w:rsid w:val="00C55958"/>
    <w:rsid w:val="00C56101"/>
    <w:rsid w:val="00C563F2"/>
    <w:rsid w:val="00C5651A"/>
    <w:rsid w:val="00C568B8"/>
    <w:rsid w:val="00C571B4"/>
    <w:rsid w:val="00C57266"/>
    <w:rsid w:val="00C57B71"/>
    <w:rsid w:val="00C57EB0"/>
    <w:rsid w:val="00C603FD"/>
    <w:rsid w:val="00C607BE"/>
    <w:rsid w:val="00C60948"/>
    <w:rsid w:val="00C6202F"/>
    <w:rsid w:val="00C62326"/>
    <w:rsid w:val="00C624EE"/>
    <w:rsid w:val="00C6256E"/>
    <w:rsid w:val="00C63082"/>
    <w:rsid w:val="00C6315B"/>
    <w:rsid w:val="00C633AB"/>
    <w:rsid w:val="00C639D1"/>
    <w:rsid w:val="00C639F2"/>
    <w:rsid w:val="00C63AAB"/>
    <w:rsid w:val="00C656D7"/>
    <w:rsid w:val="00C65A2B"/>
    <w:rsid w:val="00C67518"/>
    <w:rsid w:val="00C67A20"/>
    <w:rsid w:val="00C67A6D"/>
    <w:rsid w:val="00C67EC8"/>
    <w:rsid w:val="00C7056B"/>
    <w:rsid w:val="00C708B0"/>
    <w:rsid w:val="00C70A2C"/>
    <w:rsid w:val="00C70BB9"/>
    <w:rsid w:val="00C70C55"/>
    <w:rsid w:val="00C7108C"/>
    <w:rsid w:val="00C71471"/>
    <w:rsid w:val="00C722AD"/>
    <w:rsid w:val="00C72523"/>
    <w:rsid w:val="00C727FA"/>
    <w:rsid w:val="00C7315D"/>
    <w:rsid w:val="00C73391"/>
    <w:rsid w:val="00C7387A"/>
    <w:rsid w:val="00C74144"/>
    <w:rsid w:val="00C74150"/>
    <w:rsid w:val="00C741FD"/>
    <w:rsid w:val="00C74682"/>
    <w:rsid w:val="00C746F4"/>
    <w:rsid w:val="00C747DF"/>
    <w:rsid w:val="00C748C9"/>
    <w:rsid w:val="00C74D54"/>
    <w:rsid w:val="00C75B55"/>
    <w:rsid w:val="00C76718"/>
    <w:rsid w:val="00C76E06"/>
    <w:rsid w:val="00C76F31"/>
    <w:rsid w:val="00C77037"/>
    <w:rsid w:val="00C77BCF"/>
    <w:rsid w:val="00C80366"/>
    <w:rsid w:val="00C80673"/>
    <w:rsid w:val="00C80FD8"/>
    <w:rsid w:val="00C81155"/>
    <w:rsid w:val="00C818F5"/>
    <w:rsid w:val="00C81FDE"/>
    <w:rsid w:val="00C822E2"/>
    <w:rsid w:val="00C82889"/>
    <w:rsid w:val="00C8291C"/>
    <w:rsid w:val="00C82D8E"/>
    <w:rsid w:val="00C83977"/>
    <w:rsid w:val="00C839A6"/>
    <w:rsid w:val="00C843C4"/>
    <w:rsid w:val="00C846EE"/>
    <w:rsid w:val="00C84B88"/>
    <w:rsid w:val="00C84C8B"/>
    <w:rsid w:val="00C84F64"/>
    <w:rsid w:val="00C85293"/>
    <w:rsid w:val="00C8578D"/>
    <w:rsid w:val="00C85A17"/>
    <w:rsid w:val="00C85C10"/>
    <w:rsid w:val="00C864F6"/>
    <w:rsid w:val="00C8657D"/>
    <w:rsid w:val="00C8676C"/>
    <w:rsid w:val="00C873E9"/>
    <w:rsid w:val="00C87616"/>
    <w:rsid w:val="00C87E67"/>
    <w:rsid w:val="00C90237"/>
    <w:rsid w:val="00C90693"/>
    <w:rsid w:val="00C90886"/>
    <w:rsid w:val="00C90B46"/>
    <w:rsid w:val="00C90C02"/>
    <w:rsid w:val="00C90E10"/>
    <w:rsid w:val="00C92DE9"/>
    <w:rsid w:val="00C9302A"/>
    <w:rsid w:val="00C933AE"/>
    <w:rsid w:val="00C93418"/>
    <w:rsid w:val="00C934CD"/>
    <w:rsid w:val="00C935FC"/>
    <w:rsid w:val="00C93A30"/>
    <w:rsid w:val="00C94D97"/>
    <w:rsid w:val="00C94EB2"/>
    <w:rsid w:val="00C951DD"/>
    <w:rsid w:val="00C95E48"/>
    <w:rsid w:val="00C96099"/>
    <w:rsid w:val="00C96DC6"/>
    <w:rsid w:val="00C972A6"/>
    <w:rsid w:val="00C97397"/>
    <w:rsid w:val="00C97CF5"/>
    <w:rsid w:val="00C97EA5"/>
    <w:rsid w:val="00C97F6E"/>
    <w:rsid w:val="00CA0529"/>
    <w:rsid w:val="00CA0860"/>
    <w:rsid w:val="00CA0D83"/>
    <w:rsid w:val="00CA10A1"/>
    <w:rsid w:val="00CA14F2"/>
    <w:rsid w:val="00CA15A4"/>
    <w:rsid w:val="00CA1740"/>
    <w:rsid w:val="00CA23CF"/>
    <w:rsid w:val="00CA28A1"/>
    <w:rsid w:val="00CA29F0"/>
    <w:rsid w:val="00CA2AEF"/>
    <w:rsid w:val="00CA34B6"/>
    <w:rsid w:val="00CA3943"/>
    <w:rsid w:val="00CA39E7"/>
    <w:rsid w:val="00CA3B79"/>
    <w:rsid w:val="00CA4137"/>
    <w:rsid w:val="00CA4420"/>
    <w:rsid w:val="00CA484B"/>
    <w:rsid w:val="00CA492E"/>
    <w:rsid w:val="00CA4AF3"/>
    <w:rsid w:val="00CA4E8F"/>
    <w:rsid w:val="00CA5B87"/>
    <w:rsid w:val="00CA6715"/>
    <w:rsid w:val="00CA6A8E"/>
    <w:rsid w:val="00CA6EF2"/>
    <w:rsid w:val="00CA7B59"/>
    <w:rsid w:val="00CA7CA8"/>
    <w:rsid w:val="00CA7D1F"/>
    <w:rsid w:val="00CB04F8"/>
    <w:rsid w:val="00CB0B0F"/>
    <w:rsid w:val="00CB0CAE"/>
    <w:rsid w:val="00CB0FFE"/>
    <w:rsid w:val="00CB1200"/>
    <w:rsid w:val="00CB1C59"/>
    <w:rsid w:val="00CB1CDE"/>
    <w:rsid w:val="00CB1CED"/>
    <w:rsid w:val="00CB1E9A"/>
    <w:rsid w:val="00CB2283"/>
    <w:rsid w:val="00CB2293"/>
    <w:rsid w:val="00CB2493"/>
    <w:rsid w:val="00CB2C0B"/>
    <w:rsid w:val="00CB3B48"/>
    <w:rsid w:val="00CB3BF9"/>
    <w:rsid w:val="00CB4652"/>
    <w:rsid w:val="00CB4804"/>
    <w:rsid w:val="00CB50F8"/>
    <w:rsid w:val="00CB594D"/>
    <w:rsid w:val="00CB5AE7"/>
    <w:rsid w:val="00CB5BEA"/>
    <w:rsid w:val="00CB5D65"/>
    <w:rsid w:val="00CB6243"/>
    <w:rsid w:val="00CB6B10"/>
    <w:rsid w:val="00CB7204"/>
    <w:rsid w:val="00CB72B1"/>
    <w:rsid w:val="00CB7813"/>
    <w:rsid w:val="00CB7E2B"/>
    <w:rsid w:val="00CC0435"/>
    <w:rsid w:val="00CC0546"/>
    <w:rsid w:val="00CC07A1"/>
    <w:rsid w:val="00CC1969"/>
    <w:rsid w:val="00CC1A96"/>
    <w:rsid w:val="00CC1B20"/>
    <w:rsid w:val="00CC203A"/>
    <w:rsid w:val="00CC271F"/>
    <w:rsid w:val="00CC2797"/>
    <w:rsid w:val="00CC29A2"/>
    <w:rsid w:val="00CC320F"/>
    <w:rsid w:val="00CC34EB"/>
    <w:rsid w:val="00CC36DB"/>
    <w:rsid w:val="00CC390F"/>
    <w:rsid w:val="00CC3CAB"/>
    <w:rsid w:val="00CC4239"/>
    <w:rsid w:val="00CC431B"/>
    <w:rsid w:val="00CC43CC"/>
    <w:rsid w:val="00CC5109"/>
    <w:rsid w:val="00CC5386"/>
    <w:rsid w:val="00CC54D7"/>
    <w:rsid w:val="00CC5D38"/>
    <w:rsid w:val="00CC6C29"/>
    <w:rsid w:val="00CC6F7F"/>
    <w:rsid w:val="00CC7262"/>
    <w:rsid w:val="00CC7E77"/>
    <w:rsid w:val="00CC7F93"/>
    <w:rsid w:val="00CD000B"/>
    <w:rsid w:val="00CD0403"/>
    <w:rsid w:val="00CD0553"/>
    <w:rsid w:val="00CD0C69"/>
    <w:rsid w:val="00CD12F4"/>
    <w:rsid w:val="00CD1353"/>
    <w:rsid w:val="00CD1F48"/>
    <w:rsid w:val="00CD2715"/>
    <w:rsid w:val="00CD27E2"/>
    <w:rsid w:val="00CD2A36"/>
    <w:rsid w:val="00CD3F0B"/>
    <w:rsid w:val="00CD4158"/>
    <w:rsid w:val="00CD4C16"/>
    <w:rsid w:val="00CD57AE"/>
    <w:rsid w:val="00CD5A50"/>
    <w:rsid w:val="00CD5AD8"/>
    <w:rsid w:val="00CD5C7E"/>
    <w:rsid w:val="00CD5D61"/>
    <w:rsid w:val="00CD5D8E"/>
    <w:rsid w:val="00CD6305"/>
    <w:rsid w:val="00CD63FA"/>
    <w:rsid w:val="00CD657E"/>
    <w:rsid w:val="00CD68BA"/>
    <w:rsid w:val="00CD740A"/>
    <w:rsid w:val="00CE0C5B"/>
    <w:rsid w:val="00CE0CD2"/>
    <w:rsid w:val="00CE0EB6"/>
    <w:rsid w:val="00CE17FE"/>
    <w:rsid w:val="00CE241C"/>
    <w:rsid w:val="00CE2A1D"/>
    <w:rsid w:val="00CE2ABA"/>
    <w:rsid w:val="00CE2C21"/>
    <w:rsid w:val="00CE34D1"/>
    <w:rsid w:val="00CE37D5"/>
    <w:rsid w:val="00CE3B3D"/>
    <w:rsid w:val="00CE3B98"/>
    <w:rsid w:val="00CE4B59"/>
    <w:rsid w:val="00CE4F25"/>
    <w:rsid w:val="00CE506F"/>
    <w:rsid w:val="00CE54CB"/>
    <w:rsid w:val="00CE5683"/>
    <w:rsid w:val="00CE56A2"/>
    <w:rsid w:val="00CE5AE1"/>
    <w:rsid w:val="00CE6729"/>
    <w:rsid w:val="00CE69AB"/>
    <w:rsid w:val="00CE69BA"/>
    <w:rsid w:val="00CE6ADA"/>
    <w:rsid w:val="00CF0913"/>
    <w:rsid w:val="00CF0B7B"/>
    <w:rsid w:val="00CF0C2D"/>
    <w:rsid w:val="00CF0D14"/>
    <w:rsid w:val="00CF0D53"/>
    <w:rsid w:val="00CF0D7B"/>
    <w:rsid w:val="00CF1C33"/>
    <w:rsid w:val="00CF1DB4"/>
    <w:rsid w:val="00CF26CA"/>
    <w:rsid w:val="00CF2D65"/>
    <w:rsid w:val="00CF2DE2"/>
    <w:rsid w:val="00CF3002"/>
    <w:rsid w:val="00CF3115"/>
    <w:rsid w:val="00CF3246"/>
    <w:rsid w:val="00CF36D8"/>
    <w:rsid w:val="00CF3956"/>
    <w:rsid w:val="00CF3E7E"/>
    <w:rsid w:val="00CF4099"/>
    <w:rsid w:val="00CF42E1"/>
    <w:rsid w:val="00CF4C27"/>
    <w:rsid w:val="00CF4D22"/>
    <w:rsid w:val="00CF4EF4"/>
    <w:rsid w:val="00CF52B7"/>
    <w:rsid w:val="00CF5610"/>
    <w:rsid w:val="00CF5728"/>
    <w:rsid w:val="00CF5F07"/>
    <w:rsid w:val="00CF6086"/>
    <w:rsid w:val="00CF6DC4"/>
    <w:rsid w:val="00CF6DE6"/>
    <w:rsid w:val="00CF7639"/>
    <w:rsid w:val="00CF7E21"/>
    <w:rsid w:val="00D00871"/>
    <w:rsid w:val="00D00902"/>
    <w:rsid w:val="00D00DA4"/>
    <w:rsid w:val="00D015E3"/>
    <w:rsid w:val="00D0163B"/>
    <w:rsid w:val="00D02074"/>
    <w:rsid w:val="00D025FC"/>
    <w:rsid w:val="00D0286C"/>
    <w:rsid w:val="00D02BC1"/>
    <w:rsid w:val="00D02F87"/>
    <w:rsid w:val="00D032BE"/>
    <w:rsid w:val="00D0396A"/>
    <w:rsid w:val="00D03B01"/>
    <w:rsid w:val="00D03D5A"/>
    <w:rsid w:val="00D040EE"/>
    <w:rsid w:val="00D04389"/>
    <w:rsid w:val="00D043DE"/>
    <w:rsid w:val="00D049B0"/>
    <w:rsid w:val="00D04AF3"/>
    <w:rsid w:val="00D04CD7"/>
    <w:rsid w:val="00D04D85"/>
    <w:rsid w:val="00D04E43"/>
    <w:rsid w:val="00D05183"/>
    <w:rsid w:val="00D05227"/>
    <w:rsid w:val="00D054FA"/>
    <w:rsid w:val="00D05D60"/>
    <w:rsid w:val="00D0645D"/>
    <w:rsid w:val="00D06734"/>
    <w:rsid w:val="00D06C4C"/>
    <w:rsid w:val="00D07493"/>
    <w:rsid w:val="00D07B4B"/>
    <w:rsid w:val="00D07BA5"/>
    <w:rsid w:val="00D07F20"/>
    <w:rsid w:val="00D10AD2"/>
    <w:rsid w:val="00D10FA0"/>
    <w:rsid w:val="00D113E9"/>
    <w:rsid w:val="00D1193E"/>
    <w:rsid w:val="00D11CD0"/>
    <w:rsid w:val="00D11DAE"/>
    <w:rsid w:val="00D124F3"/>
    <w:rsid w:val="00D13096"/>
    <w:rsid w:val="00D13A27"/>
    <w:rsid w:val="00D13B04"/>
    <w:rsid w:val="00D13BEE"/>
    <w:rsid w:val="00D1500C"/>
    <w:rsid w:val="00D16B40"/>
    <w:rsid w:val="00D171FF"/>
    <w:rsid w:val="00D172AE"/>
    <w:rsid w:val="00D173F3"/>
    <w:rsid w:val="00D17510"/>
    <w:rsid w:val="00D17EC3"/>
    <w:rsid w:val="00D2020C"/>
    <w:rsid w:val="00D202DF"/>
    <w:rsid w:val="00D2059A"/>
    <w:rsid w:val="00D205B6"/>
    <w:rsid w:val="00D210D1"/>
    <w:rsid w:val="00D21757"/>
    <w:rsid w:val="00D2178A"/>
    <w:rsid w:val="00D22019"/>
    <w:rsid w:val="00D22775"/>
    <w:rsid w:val="00D22DE7"/>
    <w:rsid w:val="00D23BFB"/>
    <w:rsid w:val="00D2404F"/>
    <w:rsid w:val="00D2458D"/>
    <w:rsid w:val="00D246BB"/>
    <w:rsid w:val="00D2497A"/>
    <w:rsid w:val="00D253D7"/>
    <w:rsid w:val="00D259C0"/>
    <w:rsid w:val="00D25C97"/>
    <w:rsid w:val="00D25FCA"/>
    <w:rsid w:val="00D26640"/>
    <w:rsid w:val="00D2691E"/>
    <w:rsid w:val="00D26B26"/>
    <w:rsid w:val="00D270C6"/>
    <w:rsid w:val="00D2733C"/>
    <w:rsid w:val="00D274D6"/>
    <w:rsid w:val="00D32358"/>
    <w:rsid w:val="00D323A2"/>
    <w:rsid w:val="00D32577"/>
    <w:rsid w:val="00D32626"/>
    <w:rsid w:val="00D326CE"/>
    <w:rsid w:val="00D32C6F"/>
    <w:rsid w:val="00D331B7"/>
    <w:rsid w:val="00D33289"/>
    <w:rsid w:val="00D33560"/>
    <w:rsid w:val="00D33C78"/>
    <w:rsid w:val="00D33FBD"/>
    <w:rsid w:val="00D3493E"/>
    <w:rsid w:val="00D35361"/>
    <w:rsid w:val="00D354A6"/>
    <w:rsid w:val="00D35F43"/>
    <w:rsid w:val="00D36C8D"/>
    <w:rsid w:val="00D36EE8"/>
    <w:rsid w:val="00D37232"/>
    <w:rsid w:val="00D37D12"/>
    <w:rsid w:val="00D41203"/>
    <w:rsid w:val="00D419E0"/>
    <w:rsid w:val="00D42365"/>
    <w:rsid w:val="00D42E29"/>
    <w:rsid w:val="00D4305F"/>
    <w:rsid w:val="00D434A6"/>
    <w:rsid w:val="00D43E91"/>
    <w:rsid w:val="00D43FEE"/>
    <w:rsid w:val="00D4414F"/>
    <w:rsid w:val="00D4440F"/>
    <w:rsid w:val="00D445F3"/>
    <w:rsid w:val="00D44667"/>
    <w:rsid w:val="00D4484E"/>
    <w:rsid w:val="00D44DC3"/>
    <w:rsid w:val="00D458FD"/>
    <w:rsid w:val="00D45D00"/>
    <w:rsid w:val="00D45E42"/>
    <w:rsid w:val="00D473F0"/>
    <w:rsid w:val="00D4775B"/>
    <w:rsid w:val="00D47F31"/>
    <w:rsid w:val="00D50051"/>
    <w:rsid w:val="00D505FF"/>
    <w:rsid w:val="00D50E3B"/>
    <w:rsid w:val="00D51152"/>
    <w:rsid w:val="00D511DE"/>
    <w:rsid w:val="00D51336"/>
    <w:rsid w:val="00D517E2"/>
    <w:rsid w:val="00D51BB5"/>
    <w:rsid w:val="00D51CB7"/>
    <w:rsid w:val="00D523F9"/>
    <w:rsid w:val="00D531CC"/>
    <w:rsid w:val="00D53818"/>
    <w:rsid w:val="00D53B77"/>
    <w:rsid w:val="00D53FA6"/>
    <w:rsid w:val="00D54560"/>
    <w:rsid w:val="00D54A7F"/>
    <w:rsid w:val="00D55045"/>
    <w:rsid w:val="00D5524E"/>
    <w:rsid w:val="00D55574"/>
    <w:rsid w:val="00D55885"/>
    <w:rsid w:val="00D55B85"/>
    <w:rsid w:val="00D5621E"/>
    <w:rsid w:val="00D56647"/>
    <w:rsid w:val="00D566A5"/>
    <w:rsid w:val="00D56DCC"/>
    <w:rsid w:val="00D572E4"/>
    <w:rsid w:val="00D5738B"/>
    <w:rsid w:val="00D57424"/>
    <w:rsid w:val="00D579E9"/>
    <w:rsid w:val="00D57B08"/>
    <w:rsid w:val="00D60105"/>
    <w:rsid w:val="00D60689"/>
    <w:rsid w:val="00D61A02"/>
    <w:rsid w:val="00D61A91"/>
    <w:rsid w:val="00D62079"/>
    <w:rsid w:val="00D6241F"/>
    <w:rsid w:val="00D63024"/>
    <w:rsid w:val="00D63F23"/>
    <w:rsid w:val="00D6423E"/>
    <w:rsid w:val="00D64357"/>
    <w:rsid w:val="00D64DCA"/>
    <w:rsid w:val="00D662ED"/>
    <w:rsid w:val="00D66789"/>
    <w:rsid w:val="00D66B21"/>
    <w:rsid w:val="00D66D5D"/>
    <w:rsid w:val="00D66F48"/>
    <w:rsid w:val="00D67491"/>
    <w:rsid w:val="00D67499"/>
    <w:rsid w:val="00D67E62"/>
    <w:rsid w:val="00D70050"/>
    <w:rsid w:val="00D70A3F"/>
    <w:rsid w:val="00D70E37"/>
    <w:rsid w:val="00D7106A"/>
    <w:rsid w:val="00D71219"/>
    <w:rsid w:val="00D716D2"/>
    <w:rsid w:val="00D718A7"/>
    <w:rsid w:val="00D7263E"/>
    <w:rsid w:val="00D72848"/>
    <w:rsid w:val="00D72B31"/>
    <w:rsid w:val="00D72C1E"/>
    <w:rsid w:val="00D72C7C"/>
    <w:rsid w:val="00D73450"/>
    <w:rsid w:val="00D73706"/>
    <w:rsid w:val="00D73AED"/>
    <w:rsid w:val="00D73C70"/>
    <w:rsid w:val="00D73E68"/>
    <w:rsid w:val="00D74690"/>
    <w:rsid w:val="00D755FC"/>
    <w:rsid w:val="00D7585F"/>
    <w:rsid w:val="00D76697"/>
    <w:rsid w:val="00D76D70"/>
    <w:rsid w:val="00D76D78"/>
    <w:rsid w:val="00D776F2"/>
    <w:rsid w:val="00D808EB"/>
    <w:rsid w:val="00D80A92"/>
    <w:rsid w:val="00D80C05"/>
    <w:rsid w:val="00D8194E"/>
    <w:rsid w:val="00D81B99"/>
    <w:rsid w:val="00D82072"/>
    <w:rsid w:val="00D820B8"/>
    <w:rsid w:val="00D825D2"/>
    <w:rsid w:val="00D82758"/>
    <w:rsid w:val="00D82BEA"/>
    <w:rsid w:val="00D82F61"/>
    <w:rsid w:val="00D83B87"/>
    <w:rsid w:val="00D84ADE"/>
    <w:rsid w:val="00D85005"/>
    <w:rsid w:val="00D85090"/>
    <w:rsid w:val="00D850F9"/>
    <w:rsid w:val="00D85220"/>
    <w:rsid w:val="00D857C0"/>
    <w:rsid w:val="00D86041"/>
    <w:rsid w:val="00D8644A"/>
    <w:rsid w:val="00D86CF7"/>
    <w:rsid w:val="00D86DE8"/>
    <w:rsid w:val="00D87E53"/>
    <w:rsid w:val="00D907C3"/>
    <w:rsid w:val="00D90A2A"/>
    <w:rsid w:val="00D91120"/>
    <w:rsid w:val="00D91982"/>
    <w:rsid w:val="00D91A1E"/>
    <w:rsid w:val="00D91B52"/>
    <w:rsid w:val="00D921D8"/>
    <w:rsid w:val="00D92748"/>
    <w:rsid w:val="00D92885"/>
    <w:rsid w:val="00D9316F"/>
    <w:rsid w:val="00D9385F"/>
    <w:rsid w:val="00D939D8"/>
    <w:rsid w:val="00D93C7E"/>
    <w:rsid w:val="00D93F10"/>
    <w:rsid w:val="00D94007"/>
    <w:rsid w:val="00D94326"/>
    <w:rsid w:val="00D95490"/>
    <w:rsid w:val="00D95B5F"/>
    <w:rsid w:val="00D95F3F"/>
    <w:rsid w:val="00D968FD"/>
    <w:rsid w:val="00D96AA0"/>
    <w:rsid w:val="00D96EF1"/>
    <w:rsid w:val="00D96F22"/>
    <w:rsid w:val="00D973BA"/>
    <w:rsid w:val="00D975A6"/>
    <w:rsid w:val="00D97F1C"/>
    <w:rsid w:val="00D97F56"/>
    <w:rsid w:val="00DA0111"/>
    <w:rsid w:val="00DA0174"/>
    <w:rsid w:val="00DA0589"/>
    <w:rsid w:val="00DA0A69"/>
    <w:rsid w:val="00DA0F0E"/>
    <w:rsid w:val="00DA0FE3"/>
    <w:rsid w:val="00DA1066"/>
    <w:rsid w:val="00DA11BD"/>
    <w:rsid w:val="00DA1375"/>
    <w:rsid w:val="00DA2245"/>
    <w:rsid w:val="00DA2678"/>
    <w:rsid w:val="00DA282C"/>
    <w:rsid w:val="00DA2969"/>
    <w:rsid w:val="00DA29F3"/>
    <w:rsid w:val="00DA2FEC"/>
    <w:rsid w:val="00DA331B"/>
    <w:rsid w:val="00DA394C"/>
    <w:rsid w:val="00DA39A1"/>
    <w:rsid w:val="00DA4064"/>
    <w:rsid w:val="00DA4362"/>
    <w:rsid w:val="00DA46A4"/>
    <w:rsid w:val="00DA477F"/>
    <w:rsid w:val="00DA4916"/>
    <w:rsid w:val="00DA4940"/>
    <w:rsid w:val="00DA4AD4"/>
    <w:rsid w:val="00DA4B02"/>
    <w:rsid w:val="00DA5070"/>
    <w:rsid w:val="00DA5166"/>
    <w:rsid w:val="00DA6305"/>
    <w:rsid w:val="00DA665D"/>
    <w:rsid w:val="00DA6C98"/>
    <w:rsid w:val="00DA6F23"/>
    <w:rsid w:val="00DA7AC8"/>
    <w:rsid w:val="00DB0508"/>
    <w:rsid w:val="00DB097F"/>
    <w:rsid w:val="00DB0986"/>
    <w:rsid w:val="00DB0E4C"/>
    <w:rsid w:val="00DB1183"/>
    <w:rsid w:val="00DB2978"/>
    <w:rsid w:val="00DB3419"/>
    <w:rsid w:val="00DB3A0D"/>
    <w:rsid w:val="00DB3A3B"/>
    <w:rsid w:val="00DB4232"/>
    <w:rsid w:val="00DB440F"/>
    <w:rsid w:val="00DB4CB8"/>
    <w:rsid w:val="00DB4D89"/>
    <w:rsid w:val="00DB50FB"/>
    <w:rsid w:val="00DB5101"/>
    <w:rsid w:val="00DB536B"/>
    <w:rsid w:val="00DB6D82"/>
    <w:rsid w:val="00DB6DFD"/>
    <w:rsid w:val="00DB7224"/>
    <w:rsid w:val="00DB7ABE"/>
    <w:rsid w:val="00DB7DC6"/>
    <w:rsid w:val="00DC0311"/>
    <w:rsid w:val="00DC032A"/>
    <w:rsid w:val="00DC0959"/>
    <w:rsid w:val="00DC19C7"/>
    <w:rsid w:val="00DC1EEE"/>
    <w:rsid w:val="00DC24F0"/>
    <w:rsid w:val="00DC28A7"/>
    <w:rsid w:val="00DC38A7"/>
    <w:rsid w:val="00DC3975"/>
    <w:rsid w:val="00DC3C9A"/>
    <w:rsid w:val="00DC3CB2"/>
    <w:rsid w:val="00DC4489"/>
    <w:rsid w:val="00DC4C17"/>
    <w:rsid w:val="00DC4C58"/>
    <w:rsid w:val="00DC5408"/>
    <w:rsid w:val="00DC549D"/>
    <w:rsid w:val="00DC5530"/>
    <w:rsid w:val="00DC5BE6"/>
    <w:rsid w:val="00DC5FBE"/>
    <w:rsid w:val="00DC626A"/>
    <w:rsid w:val="00DC699F"/>
    <w:rsid w:val="00DC77A6"/>
    <w:rsid w:val="00DC7C1A"/>
    <w:rsid w:val="00DD040A"/>
    <w:rsid w:val="00DD0E36"/>
    <w:rsid w:val="00DD12E8"/>
    <w:rsid w:val="00DD1614"/>
    <w:rsid w:val="00DD1644"/>
    <w:rsid w:val="00DD17D3"/>
    <w:rsid w:val="00DD1B08"/>
    <w:rsid w:val="00DD2229"/>
    <w:rsid w:val="00DD239F"/>
    <w:rsid w:val="00DD2607"/>
    <w:rsid w:val="00DD286C"/>
    <w:rsid w:val="00DD2E87"/>
    <w:rsid w:val="00DD2F1E"/>
    <w:rsid w:val="00DD3AA4"/>
    <w:rsid w:val="00DD3AB3"/>
    <w:rsid w:val="00DD3F04"/>
    <w:rsid w:val="00DD4510"/>
    <w:rsid w:val="00DD464C"/>
    <w:rsid w:val="00DD498C"/>
    <w:rsid w:val="00DD51A6"/>
    <w:rsid w:val="00DD5528"/>
    <w:rsid w:val="00DD58F8"/>
    <w:rsid w:val="00DD5B44"/>
    <w:rsid w:val="00DD61C1"/>
    <w:rsid w:val="00DD6682"/>
    <w:rsid w:val="00DD7467"/>
    <w:rsid w:val="00DD768A"/>
    <w:rsid w:val="00DD77E6"/>
    <w:rsid w:val="00DD78ED"/>
    <w:rsid w:val="00DD7BBE"/>
    <w:rsid w:val="00DD7E64"/>
    <w:rsid w:val="00DE017D"/>
    <w:rsid w:val="00DE0313"/>
    <w:rsid w:val="00DE0321"/>
    <w:rsid w:val="00DE03B0"/>
    <w:rsid w:val="00DE0501"/>
    <w:rsid w:val="00DE0BE1"/>
    <w:rsid w:val="00DE14F1"/>
    <w:rsid w:val="00DE2139"/>
    <w:rsid w:val="00DE23F1"/>
    <w:rsid w:val="00DE246E"/>
    <w:rsid w:val="00DE27CB"/>
    <w:rsid w:val="00DE2D3A"/>
    <w:rsid w:val="00DE3561"/>
    <w:rsid w:val="00DE4437"/>
    <w:rsid w:val="00DE454B"/>
    <w:rsid w:val="00DE5CC7"/>
    <w:rsid w:val="00DE6726"/>
    <w:rsid w:val="00DE68A7"/>
    <w:rsid w:val="00DE6BA1"/>
    <w:rsid w:val="00DE6E8B"/>
    <w:rsid w:val="00DE6FE9"/>
    <w:rsid w:val="00DE7137"/>
    <w:rsid w:val="00DE72A8"/>
    <w:rsid w:val="00DE740B"/>
    <w:rsid w:val="00DE7FCF"/>
    <w:rsid w:val="00DF0DC1"/>
    <w:rsid w:val="00DF11B7"/>
    <w:rsid w:val="00DF13B1"/>
    <w:rsid w:val="00DF1603"/>
    <w:rsid w:val="00DF1976"/>
    <w:rsid w:val="00DF19D1"/>
    <w:rsid w:val="00DF1BD2"/>
    <w:rsid w:val="00DF1DAD"/>
    <w:rsid w:val="00DF2AA0"/>
    <w:rsid w:val="00DF2AFD"/>
    <w:rsid w:val="00DF2E10"/>
    <w:rsid w:val="00DF314F"/>
    <w:rsid w:val="00DF3830"/>
    <w:rsid w:val="00DF3F30"/>
    <w:rsid w:val="00DF40C2"/>
    <w:rsid w:val="00DF432A"/>
    <w:rsid w:val="00DF43B7"/>
    <w:rsid w:val="00DF4B9E"/>
    <w:rsid w:val="00DF4CCA"/>
    <w:rsid w:val="00DF5167"/>
    <w:rsid w:val="00DF57DD"/>
    <w:rsid w:val="00DF5813"/>
    <w:rsid w:val="00DF5FD0"/>
    <w:rsid w:val="00DF62CE"/>
    <w:rsid w:val="00DF6955"/>
    <w:rsid w:val="00DF78D0"/>
    <w:rsid w:val="00DF7CAF"/>
    <w:rsid w:val="00E000C1"/>
    <w:rsid w:val="00E0021F"/>
    <w:rsid w:val="00E0051E"/>
    <w:rsid w:val="00E00E3D"/>
    <w:rsid w:val="00E00E6B"/>
    <w:rsid w:val="00E00FBF"/>
    <w:rsid w:val="00E0119B"/>
    <w:rsid w:val="00E01314"/>
    <w:rsid w:val="00E0176C"/>
    <w:rsid w:val="00E01B96"/>
    <w:rsid w:val="00E02454"/>
    <w:rsid w:val="00E025CE"/>
    <w:rsid w:val="00E02645"/>
    <w:rsid w:val="00E02956"/>
    <w:rsid w:val="00E0315A"/>
    <w:rsid w:val="00E03435"/>
    <w:rsid w:val="00E03653"/>
    <w:rsid w:val="00E03CD7"/>
    <w:rsid w:val="00E046CC"/>
    <w:rsid w:val="00E04C8D"/>
    <w:rsid w:val="00E04EA2"/>
    <w:rsid w:val="00E05577"/>
    <w:rsid w:val="00E05861"/>
    <w:rsid w:val="00E06526"/>
    <w:rsid w:val="00E0719D"/>
    <w:rsid w:val="00E07927"/>
    <w:rsid w:val="00E07A1A"/>
    <w:rsid w:val="00E07C98"/>
    <w:rsid w:val="00E10244"/>
    <w:rsid w:val="00E10490"/>
    <w:rsid w:val="00E104E5"/>
    <w:rsid w:val="00E1088E"/>
    <w:rsid w:val="00E10BCC"/>
    <w:rsid w:val="00E10C89"/>
    <w:rsid w:val="00E11071"/>
    <w:rsid w:val="00E1168B"/>
    <w:rsid w:val="00E120BF"/>
    <w:rsid w:val="00E12C2E"/>
    <w:rsid w:val="00E131A4"/>
    <w:rsid w:val="00E13213"/>
    <w:rsid w:val="00E13CF1"/>
    <w:rsid w:val="00E13E50"/>
    <w:rsid w:val="00E1406A"/>
    <w:rsid w:val="00E1553A"/>
    <w:rsid w:val="00E15ADB"/>
    <w:rsid w:val="00E15DC5"/>
    <w:rsid w:val="00E161E7"/>
    <w:rsid w:val="00E167CB"/>
    <w:rsid w:val="00E16B60"/>
    <w:rsid w:val="00E16C36"/>
    <w:rsid w:val="00E17132"/>
    <w:rsid w:val="00E17139"/>
    <w:rsid w:val="00E172F9"/>
    <w:rsid w:val="00E1741B"/>
    <w:rsid w:val="00E17B57"/>
    <w:rsid w:val="00E17F25"/>
    <w:rsid w:val="00E17F7E"/>
    <w:rsid w:val="00E20799"/>
    <w:rsid w:val="00E20E70"/>
    <w:rsid w:val="00E21D08"/>
    <w:rsid w:val="00E21D94"/>
    <w:rsid w:val="00E21EA9"/>
    <w:rsid w:val="00E22017"/>
    <w:rsid w:val="00E224A6"/>
    <w:rsid w:val="00E23204"/>
    <w:rsid w:val="00E239D2"/>
    <w:rsid w:val="00E23A51"/>
    <w:rsid w:val="00E2409F"/>
    <w:rsid w:val="00E24252"/>
    <w:rsid w:val="00E24324"/>
    <w:rsid w:val="00E24485"/>
    <w:rsid w:val="00E24A66"/>
    <w:rsid w:val="00E2563E"/>
    <w:rsid w:val="00E25C16"/>
    <w:rsid w:val="00E25E29"/>
    <w:rsid w:val="00E25F4C"/>
    <w:rsid w:val="00E26075"/>
    <w:rsid w:val="00E26299"/>
    <w:rsid w:val="00E26431"/>
    <w:rsid w:val="00E264E8"/>
    <w:rsid w:val="00E26A9A"/>
    <w:rsid w:val="00E2753F"/>
    <w:rsid w:val="00E27602"/>
    <w:rsid w:val="00E278CC"/>
    <w:rsid w:val="00E27A3A"/>
    <w:rsid w:val="00E27DE1"/>
    <w:rsid w:val="00E30518"/>
    <w:rsid w:val="00E308A1"/>
    <w:rsid w:val="00E30AFB"/>
    <w:rsid w:val="00E30E79"/>
    <w:rsid w:val="00E30F86"/>
    <w:rsid w:val="00E31599"/>
    <w:rsid w:val="00E31BF7"/>
    <w:rsid w:val="00E32684"/>
    <w:rsid w:val="00E3299C"/>
    <w:rsid w:val="00E3349C"/>
    <w:rsid w:val="00E336A1"/>
    <w:rsid w:val="00E33D42"/>
    <w:rsid w:val="00E33FFB"/>
    <w:rsid w:val="00E34205"/>
    <w:rsid w:val="00E34358"/>
    <w:rsid w:val="00E346B8"/>
    <w:rsid w:val="00E35EED"/>
    <w:rsid w:val="00E36337"/>
    <w:rsid w:val="00E36648"/>
    <w:rsid w:val="00E36742"/>
    <w:rsid w:val="00E36C95"/>
    <w:rsid w:val="00E36D1C"/>
    <w:rsid w:val="00E36F80"/>
    <w:rsid w:val="00E376DD"/>
    <w:rsid w:val="00E37BBA"/>
    <w:rsid w:val="00E400AA"/>
    <w:rsid w:val="00E40219"/>
    <w:rsid w:val="00E406CA"/>
    <w:rsid w:val="00E40EA7"/>
    <w:rsid w:val="00E42372"/>
    <w:rsid w:val="00E42675"/>
    <w:rsid w:val="00E42EEA"/>
    <w:rsid w:val="00E43728"/>
    <w:rsid w:val="00E438B5"/>
    <w:rsid w:val="00E43B14"/>
    <w:rsid w:val="00E44488"/>
    <w:rsid w:val="00E4454C"/>
    <w:rsid w:val="00E449AA"/>
    <w:rsid w:val="00E44B0A"/>
    <w:rsid w:val="00E44CAA"/>
    <w:rsid w:val="00E44FAB"/>
    <w:rsid w:val="00E45056"/>
    <w:rsid w:val="00E452A1"/>
    <w:rsid w:val="00E45DC4"/>
    <w:rsid w:val="00E45DD5"/>
    <w:rsid w:val="00E4602D"/>
    <w:rsid w:val="00E464A8"/>
    <w:rsid w:val="00E46932"/>
    <w:rsid w:val="00E46A1C"/>
    <w:rsid w:val="00E46C67"/>
    <w:rsid w:val="00E471E1"/>
    <w:rsid w:val="00E475C9"/>
    <w:rsid w:val="00E4767C"/>
    <w:rsid w:val="00E47A83"/>
    <w:rsid w:val="00E501F8"/>
    <w:rsid w:val="00E50271"/>
    <w:rsid w:val="00E50512"/>
    <w:rsid w:val="00E50B35"/>
    <w:rsid w:val="00E5186B"/>
    <w:rsid w:val="00E518C9"/>
    <w:rsid w:val="00E51C4F"/>
    <w:rsid w:val="00E52290"/>
    <w:rsid w:val="00E52BE3"/>
    <w:rsid w:val="00E52DE9"/>
    <w:rsid w:val="00E52E12"/>
    <w:rsid w:val="00E53636"/>
    <w:rsid w:val="00E537B3"/>
    <w:rsid w:val="00E54FCD"/>
    <w:rsid w:val="00E552C7"/>
    <w:rsid w:val="00E55824"/>
    <w:rsid w:val="00E55FC6"/>
    <w:rsid w:val="00E56178"/>
    <w:rsid w:val="00E5627E"/>
    <w:rsid w:val="00E5697A"/>
    <w:rsid w:val="00E569E8"/>
    <w:rsid w:val="00E569F0"/>
    <w:rsid w:val="00E57145"/>
    <w:rsid w:val="00E573CF"/>
    <w:rsid w:val="00E57A29"/>
    <w:rsid w:val="00E57AC9"/>
    <w:rsid w:val="00E57ACF"/>
    <w:rsid w:val="00E57BE6"/>
    <w:rsid w:val="00E57CE0"/>
    <w:rsid w:val="00E57D65"/>
    <w:rsid w:val="00E57DA1"/>
    <w:rsid w:val="00E57E57"/>
    <w:rsid w:val="00E60E5F"/>
    <w:rsid w:val="00E61889"/>
    <w:rsid w:val="00E61DD2"/>
    <w:rsid w:val="00E61ECE"/>
    <w:rsid w:val="00E628D9"/>
    <w:rsid w:val="00E629AF"/>
    <w:rsid w:val="00E63311"/>
    <w:rsid w:val="00E63A33"/>
    <w:rsid w:val="00E63B8E"/>
    <w:rsid w:val="00E63E6A"/>
    <w:rsid w:val="00E642A0"/>
    <w:rsid w:val="00E6433D"/>
    <w:rsid w:val="00E651B1"/>
    <w:rsid w:val="00E6554E"/>
    <w:rsid w:val="00E65C01"/>
    <w:rsid w:val="00E65E6C"/>
    <w:rsid w:val="00E6630A"/>
    <w:rsid w:val="00E665DA"/>
    <w:rsid w:val="00E66F2A"/>
    <w:rsid w:val="00E678C5"/>
    <w:rsid w:val="00E700E2"/>
    <w:rsid w:val="00E7118A"/>
    <w:rsid w:val="00E711ED"/>
    <w:rsid w:val="00E7149D"/>
    <w:rsid w:val="00E7163A"/>
    <w:rsid w:val="00E7194C"/>
    <w:rsid w:val="00E71AE4"/>
    <w:rsid w:val="00E71DD5"/>
    <w:rsid w:val="00E720A6"/>
    <w:rsid w:val="00E72C5E"/>
    <w:rsid w:val="00E72DA2"/>
    <w:rsid w:val="00E7357C"/>
    <w:rsid w:val="00E736DB"/>
    <w:rsid w:val="00E73892"/>
    <w:rsid w:val="00E73B56"/>
    <w:rsid w:val="00E73D25"/>
    <w:rsid w:val="00E73E08"/>
    <w:rsid w:val="00E7413B"/>
    <w:rsid w:val="00E75803"/>
    <w:rsid w:val="00E75DB9"/>
    <w:rsid w:val="00E760DC"/>
    <w:rsid w:val="00E761EB"/>
    <w:rsid w:val="00E76E1D"/>
    <w:rsid w:val="00E77441"/>
    <w:rsid w:val="00E77DC5"/>
    <w:rsid w:val="00E80109"/>
    <w:rsid w:val="00E807F0"/>
    <w:rsid w:val="00E80964"/>
    <w:rsid w:val="00E80A74"/>
    <w:rsid w:val="00E8156C"/>
    <w:rsid w:val="00E81A44"/>
    <w:rsid w:val="00E81AD1"/>
    <w:rsid w:val="00E82047"/>
    <w:rsid w:val="00E822FA"/>
    <w:rsid w:val="00E825AB"/>
    <w:rsid w:val="00E8260F"/>
    <w:rsid w:val="00E82653"/>
    <w:rsid w:val="00E8298A"/>
    <w:rsid w:val="00E82F4A"/>
    <w:rsid w:val="00E8377D"/>
    <w:rsid w:val="00E83C30"/>
    <w:rsid w:val="00E83FA2"/>
    <w:rsid w:val="00E8404F"/>
    <w:rsid w:val="00E846B5"/>
    <w:rsid w:val="00E8567C"/>
    <w:rsid w:val="00E863D4"/>
    <w:rsid w:val="00E8673A"/>
    <w:rsid w:val="00E86DBD"/>
    <w:rsid w:val="00E8744F"/>
    <w:rsid w:val="00E875E4"/>
    <w:rsid w:val="00E87E5C"/>
    <w:rsid w:val="00E90102"/>
    <w:rsid w:val="00E90254"/>
    <w:rsid w:val="00E9057E"/>
    <w:rsid w:val="00E905CF"/>
    <w:rsid w:val="00E9083E"/>
    <w:rsid w:val="00E90912"/>
    <w:rsid w:val="00E90D5D"/>
    <w:rsid w:val="00E91060"/>
    <w:rsid w:val="00E910F4"/>
    <w:rsid w:val="00E919FD"/>
    <w:rsid w:val="00E91A88"/>
    <w:rsid w:val="00E92317"/>
    <w:rsid w:val="00E9249B"/>
    <w:rsid w:val="00E929D6"/>
    <w:rsid w:val="00E92CAF"/>
    <w:rsid w:val="00E932ED"/>
    <w:rsid w:val="00E94020"/>
    <w:rsid w:val="00E942BB"/>
    <w:rsid w:val="00E945B2"/>
    <w:rsid w:val="00E94C68"/>
    <w:rsid w:val="00E9562D"/>
    <w:rsid w:val="00E95722"/>
    <w:rsid w:val="00E964A7"/>
    <w:rsid w:val="00E967B0"/>
    <w:rsid w:val="00E96D91"/>
    <w:rsid w:val="00E97120"/>
    <w:rsid w:val="00E9732C"/>
    <w:rsid w:val="00E97938"/>
    <w:rsid w:val="00E979C3"/>
    <w:rsid w:val="00E97BA2"/>
    <w:rsid w:val="00E97C2C"/>
    <w:rsid w:val="00E97F0C"/>
    <w:rsid w:val="00EA00A1"/>
    <w:rsid w:val="00EA074E"/>
    <w:rsid w:val="00EA08FF"/>
    <w:rsid w:val="00EA0A2C"/>
    <w:rsid w:val="00EA1298"/>
    <w:rsid w:val="00EA1B9F"/>
    <w:rsid w:val="00EA1DAA"/>
    <w:rsid w:val="00EA1E0D"/>
    <w:rsid w:val="00EA25AF"/>
    <w:rsid w:val="00EA2B78"/>
    <w:rsid w:val="00EA2DFE"/>
    <w:rsid w:val="00EA38C3"/>
    <w:rsid w:val="00EA39CB"/>
    <w:rsid w:val="00EA3B44"/>
    <w:rsid w:val="00EA3BAB"/>
    <w:rsid w:val="00EA47DF"/>
    <w:rsid w:val="00EA4D01"/>
    <w:rsid w:val="00EA51E5"/>
    <w:rsid w:val="00EA556F"/>
    <w:rsid w:val="00EA59A4"/>
    <w:rsid w:val="00EA6206"/>
    <w:rsid w:val="00EA6EB9"/>
    <w:rsid w:val="00EA703B"/>
    <w:rsid w:val="00EA7338"/>
    <w:rsid w:val="00EA75E2"/>
    <w:rsid w:val="00EA78E9"/>
    <w:rsid w:val="00EA7BAC"/>
    <w:rsid w:val="00EB0413"/>
    <w:rsid w:val="00EB0C85"/>
    <w:rsid w:val="00EB1395"/>
    <w:rsid w:val="00EB1EC4"/>
    <w:rsid w:val="00EB1EF1"/>
    <w:rsid w:val="00EB2204"/>
    <w:rsid w:val="00EB2C0D"/>
    <w:rsid w:val="00EB2C69"/>
    <w:rsid w:val="00EB335E"/>
    <w:rsid w:val="00EB3534"/>
    <w:rsid w:val="00EB42DB"/>
    <w:rsid w:val="00EB43CB"/>
    <w:rsid w:val="00EB4666"/>
    <w:rsid w:val="00EB4979"/>
    <w:rsid w:val="00EB4F88"/>
    <w:rsid w:val="00EB51A9"/>
    <w:rsid w:val="00EB53DE"/>
    <w:rsid w:val="00EB54A3"/>
    <w:rsid w:val="00EB5984"/>
    <w:rsid w:val="00EB5D74"/>
    <w:rsid w:val="00EB62D9"/>
    <w:rsid w:val="00EB6D0A"/>
    <w:rsid w:val="00EB6E27"/>
    <w:rsid w:val="00EB6F24"/>
    <w:rsid w:val="00EC0FAF"/>
    <w:rsid w:val="00EC119F"/>
    <w:rsid w:val="00EC167B"/>
    <w:rsid w:val="00EC1DAF"/>
    <w:rsid w:val="00EC1EEB"/>
    <w:rsid w:val="00EC23DA"/>
    <w:rsid w:val="00EC320D"/>
    <w:rsid w:val="00EC3744"/>
    <w:rsid w:val="00EC3EBE"/>
    <w:rsid w:val="00EC3F83"/>
    <w:rsid w:val="00EC42CB"/>
    <w:rsid w:val="00EC43E1"/>
    <w:rsid w:val="00EC445B"/>
    <w:rsid w:val="00EC5401"/>
    <w:rsid w:val="00EC5F6D"/>
    <w:rsid w:val="00EC645B"/>
    <w:rsid w:val="00EC67F9"/>
    <w:rsid w:val="00EC7066"/>
    <w:rsid w:val="00EC7C3C"/>
    <w:rsid w:val="00ED031E"/>
    <w:rsid w:val="00ED0814"/>
    <w:rsid w:val="00ED0C8E"/>
    <w:rsid w:val="00ED0CAD"/>
    <w:rsid w:val="00ED0F8C"/>
    <w:rsid w:val="00ED120F"/>
    <w:rsid w:val="00ED1A59"/>
    <w:rsid w:val="00ED1CA1"/>
    <w:rsid w:val="00ED2150"/>
    <w:rsid w:val="00ED288B"/>
    <w:rsid w:val="00ED2C0E"/>
    <w:rsid w:val="00ED2CC1"/>
    <w:rsid w:val="00ED2E25"/>
    <w:rsid w:val="00ED3884"/>
    <w:rsid w:val="00ED3A9C"/>
    <w:rsid w:val="00ED4B9C"/>
    <w:rsid w:val="00ED4FA0"/>
    <w:rsid w:val="00ED53C5"/>
    <w:rsid w:val="00ED7147"/>
    <w:rsid w:val="00ED7182"/>
    <w:rsid w:val="00ED77FD"/>
    <w:rsid w:val="00EE07ED"/>
    <w:rsid w:val="00EE143B"/>
    <w:rsid w:val="00EE16D5"/>
    <w:rsid w:val="00EE192D"/>
    <w:rsid w:val="00EE1960"/>
    <w:rsid w:val="00EE1A58"/>
    <w:rsid w:val="00EE1A69"/>
    <w:rsid w:val="00EE1C3F"/>
    <w:rsid w:val="00EE1DAF"/>
    <w:rsid w:val="00EE234E"/>
    <w:rsid w:val="00EE2525"/>
    <w:rsid w:val="00EE2893"/>
    <w:rsid w:val="00EE3AFA"/>
    <w:rsid w:val="00EE3CC2"/>
    <w:rsid w:val="00EE4584"/>
    <w:rsid w:val="00EE506F"/>
    <w:rsid w:val="00EE533F"/>
    <w:rsid w:val="00EE548C"/>
    <w:rsid w:val="00EE56D5"/>
    <w:rsid w:val="00EE579D"/>
    <w:rsid w:val="00EE5D1E"/>
    <w:rsid w:val="00EE5FDF"/>
    <w:rsid w:val="00EE68D5"/>
    <w:rsid w:val="00EE6BC3"/>
    <w:rsid w:val="00EE761C"/>
    <w:rsid w:val="00EF070B"/>
    <w:rsid w:val="00EF0FAB"/>
    <w:rsid w:val="00EF1620"/>
    <w:rsid w:val="00EF1F57"/>
    <w:rsid w:val="00EF21C1"/>
    <w:rsid w:val="00EF23B0"/>
    <w:rsid w:val="00EF2732"/>
    <w:rsid w:val="00EF2BC1"/>
    <w:rsid w:val="00EF31DB"/>
    <w:rsid w:val="00EF3A3F"/>
    <w:rsid w:val="00EF3D48"/>
    <w:rsid w:val="00EF45E8"/>
    <w:rsid w:val="00EF4822"/>
    <w:rsid w:val="00EF4C90"/>
    <w:rsid w:val="00EF4E18"/>
    <w:rsid w:val="00EF51F2"/>
    <w:rsid w:val="00EF55B1"/>
    <w:rsid w:val="00EF5960"/>
    <w:rsid w:val="00EF5B68"/>
    <w:rsid w:val="00EF69C1"/>
    <w:rsid w:val="00EF6DDD"/>
    <w:rsid w:val="00EF6EA1"/>
    <w:rsid w:val="00EF7455"/>
    <w:rsid w:val="00EF7466"/>
    <w:rsid w:val="00EF75AD"/>
    <w:rsid w:val="00EF7D89"/>
    <w:rsid w:val="00F004C0"/>
    <w:rsid w:val="00F00C43"/>
    <w:rsid w:val="00F010D7"/>
    <w:rsid w:val="00F0133C"/>
    <w:rsid w:val="00F0154A"/>
    <w:rsid w:val="00F01EE6"/>
    <w:rsid w:val="00F0200C"/>
    <w:rsid w:val="00F02676"/>
    <w:rsid w:val="00F032D5"/>
    <w:rsid w:val="00F033A1"/>
    <w:rsid w:val="00F034ED"/>
    <w:rsid w:val="00F0385B"/>
    <w:rsid w:val="00F038DF"/>
    <w:rsid w:val="00F041A6"/>
    <w:rsid w:val="00F041A7"/>
    <w:rsid w:val="00F04435"/>
    <w:rsid w:val="00F0458E"/>
    <w:rsid w:val="00F046BD"/>
    <w:rsid w:val="00F04723"/>
    <w:rsid w:val="00F0495A"/>
    <w:rsid w:val="00F04A9A"/>
    <w:rsid w:val="00F0541A"/>
    <w:rsid w:val="00F05F2A"/>
    <w:rsid w:val="00F06276"/>
    <w:rsid w:val="00F062D7"/>
    <w:rsid w:val="00F06F33"/>
    <w:rsid w:val="00F07103"/>
    <w:rsid w:val="00F072BC"/>
    <w:rsid w:val="00F07395"/>
    <w:rsid w:val="00F108EF"/>
    <w:rsid w:val="00F112F7"/>
    <w:rsid w:val="00F113EF"/>
    <w:rsid w:val="00F11766"/>
    <w:rsid w:val="00F1272D"/>
    <w:rsid w:val="00F12E9F"/>
    <w:rsid w:val="00F12EF4"/>
    <w:rsid w:val="00F1351D"/>
    <w:rsid w:val="00F13739"/>
    <w:rsid w:val="00F1380B"/>
    <w:rsid w:val="00F13EE9"/>
    <w:rsid w:val="00F13F73"/>
    <w:rsid w:val="00F153B7"/>
    <w:rsid w:val="00F15606"/>
    <w:rsid w:val="00F1560D"/>
    <w:rsid w:val="00F1590D"/>
    <w:rsid w:val="00F15F39"/>
    <w:rsid w:val="00F16AC8"/>
    <w:rsid w:val="00F16B71"/>
    <w:rsid w:val="00F16C0E"/>
    <w:rsid w:val="00F170BE"/>
    <w:rsid w:val="00F177BB"/>
    <w:rsid w:val="00F17A01"/>
    <w:rsid w:val="00F17B9C"/>
    <w:rsid w:val="00F17BF4"/>
    <w:rsid w:val="00F17CA2"/>
    <w:rsid w:val="00F200FD"/>
    <w:rsid w:val="00F20564"/>
    <w:rsid w:val="00F21230"/>
    <w:rsid w:val="00F215AD"/>
    <w:rsid w:val="00F21BF0"/>
    <w:rsid w:val="00F21E97"/>
    <w:rsid w:val="00F2292F"/>
    <w:rsid w:val="00F22A58"/>
    <w:rsid w:val="00F22B72"/>
    <w:rsid w:val="00F23989"/>
    <w:rsid w:val="00F2437D"/>
    <w:rsid w:val="00F2477E"/>
    <w:rsid w:val="00F24C07"/>
    <w:rsid w:val="00F24E39"/>
    <w:rsid w:val="00F25569"/>
    <w:rsid w:val="00F26308"/>
    <w:rsid w:val="00F26A1E"/>
    <w:rsid w:val="00F26AFD"/>
    <w:rsid w:val="00F27090"/>
    <w:rsid w:val="00F279DF"/>
    <w:rsid w:val="00F27EFE"/>
    <w:rsid w:val="00F27F68"/>
    <w:rsid w:val="00F301E5"/>
    <w:rsid w:val="00F30B0D"/>
    <w:rsid w:val="00F30B1F"/>
    <w:rsid w:val="00F30CBB"/>
    <w:rsid w:val="00F31137"/>
    <w:rsid w:val="00F31187"/>
    <w:rsid w:val="00F31525"/>
    <w:rsid w:val="00F31548"/>
    <w:rsid w:val="00F317B3"/>
    <w:rsid w:val="00F319C1"/>
    <w:rsid w:val="00F31C17"/>
    <w:rsid w:val="00F32098"/>
    <w:rsid w:val="00F32179"/>
    <w:rsid w:val="00F331DB"/>
    <w:rsid w:val="00F33558"/>
    <w:rsid w:val="00F336A4"/>
    <w:rsid w:val="00F34939"/>
    <w:rsid w:val="00F354C4"/>
    <w:rsid w:val="00F35A8B"/>
    <w:rsid w:val="00F3639D"/>
    <w:rsid w:val="00F365CD"/>
    <w:rsid w:val="00F36A60"/>
    <w:rsid w:val="00F36B1A"/>
    <w:rsid w:val="00F36FA7"/>
    <w:rsid w:val="00F37740"/>
    <w:rsid w:val="00F37774"/>
    <w:rsid w:val="00F37A81"/>
    <w:rsid w:val="00F37C69"/>
    <w:rsid w:val="00F40072"/>
    <w:rsid w:val="00F4064B"/>
    <w:rsid w:val="00F40933"/>
    <w:rsid w:val="00F40A5C"/>
    <w:rsid w:val="00F40C3D"/>
    <w:rsid w:val="00F40D42"/>
    <w:rsid w:val="00F40DDB"/>
    <w:rsid w:val="00F41CC9"/>
    <w:rsid w:val="00F423FF"/>
    <w:rsid w:val="00F4273A"/>
    <w:rsid w:val="00F42A6B"/>
    <w:rsid w:val="00F42CF9"/>
    <w:rsid w:val="00F42EB2"/>
    <w:rsid w:val="00F433AB"/>
    <w:rsid w:val="00F43493"/>
    <w:rsid w:val="00F439E1"/>
    <w:rsid w:val="00F43AB5"/>
    <w:rsid w:val="00F43C72"/>
    <w:rsid w:val="00F43ED7"/>
    <w:rsid w:val="00F4452D"/>
    <w:rsid w:val="00F44584"/>
    <w:rsid w:val="00F44862"/>
    <w:rsid w:val="00F45552"/>
    <w:rsid w:val="00F45D7C"/>
    <w:rsid w:val="00F4685F"/>
    <w:rsid w:val="00F47480"/>
    <w:rsid w:val="00F476F1"/>
    <w:rsid w:val="00F47ACD"/>
    <w:rsid w:val="00F47E08"/>
    <w:rsid w:val="00F50287"/>
    <w:rsid w:val="00F5053C"/>
    <w:rsid w:val="00F50811"/>
    <w:rsid w:val="00F5088D"/>
    <w:rsid w:val="00F5142C"/>
    <w:rsid w:val="00F5166F"/>
    <w:rsid w:val="00F51985"/>
    <w:rsid w:val="00F519DB"/>
    <w:rsid w:val="00F5249A"/>
    <w:rsid w:val="00F527E3"/>
    <w:rsid w:val="00F53183"/>
    <w:rsid w:val="00F5334A"/>
    <w:rsid w:val="00F53AED"/>
    <w:rsid w:val="00F53C29"/>
    <w:rsid w:val="00F54C5A"/>
    <w:rsid w:val="00F5563F"/>
    <w:rsid w:val="00F564EE"/>
    <w:rsid w:val="00F56789"/>
    <w:rsid w:val="00F5678E"/>
    <w:rsid w:val="00F5729D"/>
    <w:rsid w:val="00F57877"/>
    <w:rsid w:val="00F5795E"/>
    <w:rsid w:val="00F57A93"/>
    <w:rsid w:val="00F57F16"/>
    <w:rsid w:val="00F602A4"/>
    <w:rsid w:val="00F60DA6"/>
    <w:rsid w:val="00F60E1A"/>
    <w:rsid w:val="00F611E0"/>
    <w:rsid w:val="00F61216"/>
    <w:rsid w:val="00F61E58"/>
    <w:rsid w:val="00F61E88"/>
    <w:rsid w:val="00F62072"/>
    <w:rsid w:val="00F622D9"/>
    <w:rsid w:val="00F62541"/>
    <w:rsid w:val="00F62964"/>
    <w:rsid w:val="00F62981"/>
    <w:rsid w:val="00F62C2B"/>
    <w:rsid w:val="00F62D96"/>
    <w:rsid w:val="00F62E7C"/>
    <w:rsid w:val="00F62EB5"/>
    <w:rsid w:val="00F62F1A"/>
    <w:rsid w:val="00F63483"/>
    <w:rsid w:val="00F6358B"/>
    <w:rsid w:val="00F646D4"/>
    <w:rsid w:val="00F6500C"/>
    <w:rsid w:val="00F659E6"/>
    <w:rsid w:val="00F65E58"/>
    <w:rsid w:val="00F65F16"/>
    <w:rsid w:val="00F66490"/>
    <w:rsid w:val="00F66AF3"/>
    <w:rsid w:val="00F66EE7"/>
    <w:rsid w:val="00F67507"/>
    <w:rsid w:val="00F676CF"/>
    <w:rsid w:val="00F702B1"/>
    <w:rsid w:val="00F70341"/>
    <w:rsid w:val="00F70487"/>
    <w:rsid w:val="00F7078D"/>
    <w:rsid w:val="00F70C1F"/>
    <w:rsid w:val="00F7109F"/>
    <w:rsid w:val="00F711A4"/>
    <w:rsid w:val="00F711E6"/>
    <w:rsid w:val="00F7153D"/>
    <w:rsid w:val="00F71D8D"/>
    <w:rsid w:val="00F71EC7"/>
    <w:rsid w:val="00F72180"/>
    <w:rsid w:val="00F7275A"/>
    <w:rsid w:val="00F72AD9"/>
    <w:rsid w:val="00F72DC0"/>
    <w:rsid w:val="00F72E51"/>
    <w:rsid w:val="00F73216"/>
    <w:rsid w:val="00F734BA"/>
    <w:rsid w:val="00F73531"/>
    <w:rsid w:val="00F736FF"/>
    <w:rsid w:val="00F7423D"/>
    <w:rsid w:val="00F7433D"/>
    <w:rsid w:val="00F74AD9"/>
    <w:rsid w:val="00F74C86"/>
    <w:rsid w:val="00F7520A"/>
    <w:rsid w:val="00F769E6"/>
    <w:rsid w:val="00F77238"/>
    <w:rsid w:val="00F807A9"/>
    <w:rsid w:val="00F80C2F"/>
    <w:rsid w:val="00F81251"/>
    <w:rsid w:val="00F814EB"/>
    <w:rsid w:val="00F822D5"/>
    <w:rsid w:val="00F82B11"/>
    <w:rsid w:val="00F8379C"/>
    <w:rsid w:val="00F83868"/>
    <w:rsid w:val="00F83BBD"/>
    <w:rsid w:val="00F83D9E"/>
    <w:rsid w:val="00F8499D"/>
    <w:rsid w:val="00F84B9E"/>
    <w:rsid w:val="00F8534F"/>
    <w:rsid w:val="00F8558F"/>
    <w:rsid w:val="00F857B7"/>
    <w:rsid w:val="00F86376"/>
    <w:rsid w:val="00F86C39"/>
    <w:rsid w:val="00F86F1C"/>
    <w:rsid w:val="00F87384"/>
    <w:rsid w:val="00F876E5"/>
    <w:rsid w:val="00F87ACD"/>
    <w:rsid w:val="00F87E92"/>
    <w:rsid w:val="00F90348"/>
    <w:rsid w:val="00F90739"/>
    <w:rsid w:val="00F907A0"/>
    <w:rsid w:val="00F914C6"/>
    <w:rsid w:val="00F91A2F"/>
    <w:rsid w:val="00F92577"/>
    <w:rsid w:val="00F925CB"/>
    <w:rsid w:val="00F92A3D"/>
    <w:rsid w:val="00F92EBC"/>
    <w:rsid w:val="00F9361B"/>
    <w:rsid w:val="00F9371C"/>
    <w:rsid w:val="00F93E77"/>
    <w:rsid w:val="00F93EEE"/>
    <w:rsid w:val="00F94286"/>
    <w:rsid w:val="00F949D2"/>
    <w:rsid w:val="00F94D52"/>
    <w:rsid w:val="00F94E89"/>
    <w:rsid w:val="00F9573B"/>
    <w:rsid w:val="00F95901"/>
    <w:rsid w:val="00F95930"/>
    <w:rsid w:val="00F96590"/>
    <w:rsid w:val="00F96982"/>
    <w:rsid w:val="00F97381"/>
    <w:rsid w:val="00F97903"/>
    <w:rsid w:val="00F97A6E"/>
    <w:rsid w:val="00F97FDE"/>
    <w:rsid w:val="00FA0AF4"/>
    <w:rsid w:val="00FA12E6"/>
    <w:rsid w:val="00FA1922"/>
    <w:rsid w:val="00FA1AED"/>
    <w:rsid w:val="00FA1C7D"/>
    <w:rsid w:val="00FA1DE2"/>
    <w:rsid w:val="00FA21DC"/>
    <w:rsid w:val="00FA2297"/>
    <w:rsid w:val="00FA2558"/>
    <w:rsid w:val="00FA2559"/>
    <w:rsid w:val="00FA267B"/>
    <w:rsid w:val="00FA29AC"/>
    <w:rsid w:val="00FA2C47"/>
    <w:rsid w:val="00FA2ED3"/>
    <w:rsid w:val="00FA3278"/>
    <w:rsid w:val="00FA3374"/>
    <w:rsid w:val="00FA35F6"/>
    <w:rsid w:val="00FA39E1"/>
    <w:rsid w:val="00FA3DE7"/>
    <w:rsid w:val="00FA3F13"/>
    <w:rsid w:val="00FA41D3"/>
    <w:rsid w:val="00FA42C7"/>
    <w:rsid w:val="00FA4AEB"/>
    <w:rsid w:val="00FA4DC0"/>
    <w:rsid w:val="00FA6325"/>
    <w:rsid w:val="00FA69CA"/>
    <w:rsid w:val="00FA6FEB"/>
    <w:rsid w:val="00FA73F5"/>
    <w:rsid w:val="00FA748C"/>
    <w:rsid w:val="00FA768E"/>
    <w:rsid w:val="00FA7E01"/>
    <w:rsid w:val="00FB0252"/>
    <w:rsid w:val="00FB0C9D"/>
    <w:rsid w:val="00FB0EC7"/>
    <w:rsid w:val="00FB113D"/>
    <w:rsid w:val="00FB117C"/>
    <w:rsid w:val="00FB1431"/>
    <w:rsid w:val="00FB1D5D"/>
    <w:rsid w:val="00FB1EDF"/>
    <w:rsid w:val="00FB2167"/>
    <w:rsid w:val="00FB2243"/>
    <w:rsid w:val="00FB2603"/>
    <w:rsid w:val="00FB2616"/>
    <w:rsid w:val="00FB3628"/>
    <w:rsid w:val="00FB3D62"/>
    <w:rsid w:val="00FB4103"/>
    <w:rsid w:val="00FB4923"/>
    <w:rsid w:val="00FB49EB"/>
    <w:rsid w:val="00FB4DD2"/>
    <w:rsid w:val="00FB4E21"/>
    <w:rsid w:val="00FB4ECA"/>
    <w:rsid w:val="00FB51B8"/>
    <w:rsid w:val="00FB5228"/>
    <w:rsid w:val="00FB53B4"/>
    <w:rsid w:val="00FB615C"/>
    <w:rsid w:val="00FB70C4"/>
    <w:rsid w:val="00FB7342"/>
    <w:rsid w:val="00FB74B3"/>
    <w:rsid w:val="00FB7717"/>
    <w:rsid w:val="00FB7798"/>
    <w:rsid w:val="00FB7912"/>
    <w:rsid w:val="00FB7CDA"/>
    <w:rsid w:val="00FB7E11"/>
    <w:rsid w:val="00FC12B3"/>
    <w:rsid w:val="00FC13D1"/>
    <w:rsid w:val="00FC1469"/>
    <w:rsid w:val="00FC2410"/>
    <w:rsid w:val="00FC281E"/>
    <w:rsid w:val="00FC2F0B"/>
    <w:rsid w:val="00FC332E"/>
    <w:rsid w:val="00FC37E4"/>
    <w:rsid w:val="00FC396B"/>
    <w:rsid w:val="00FC42BE"/>
    <w:rsid w:val="00FC49CA"/>
    <w:rsid w:val="00FC5093"/>
    <w:rsid w:val="00FC520E"/>
    <w:rsid w:val="00FC52A0"/>
    <w:rsid w:val="00FC583C"/>
    <w:rsid w:val="00FC59EF"/>
    <w:rsid w:val="00FC5D77"/>
    <w:rsid w:val="00FC609E"/>
    <w:rsid w:val="00FC6194"/>
    <w:rsid w:val="00FC64F7"/>
    <w:rsid w:val="00FC676F"/>
    <w:rsid w:val="00FC73DC"/>
    <w:rsid w:val="00FD0C42"/>
    <w:rsid w:val="00FD0D14"/>
    <w:rsid w:val="00FD0FFA"/>
    <w:rsid w:val="00FD12C0"/>
    <w:rsid w:val="00FD1586"/>
    <w:rsid w:val="00FD1BC9"/>
    <w:rsid w:val="00FD1CE7"/>
    <w:rsid w:val="00FD1D46"/>
    <w:rsid w:val="00FD25C4"/>
    <w:rsid w:val="00FD2703"/>
    <w:rsid w:val="00FD2F4A"/>
    <w:rsid w:val="00FD2FF3"/>
    <w:rsid w:val="00FD308C"/>
    <w:rsid w:val="00FD3159"/>
    <w:rsid w:val="00FD359E"/>
    <w:rsid w:val="00FD3759"/>
    <w:rsid w:val="00FD3CDF"/>
    <w:rsid w:val="00FD3DB8"/>
    <w:rsid w:val="00FD3EBB"/>
    <w:rsid w:val="00FD4623"/>
    <w:rsid w:val="00FD4D06"/>
    <w:rsid w:val="00FD4E52"/>
    <w:rsid w:val="00FD4F17"/>
    <w:rsid w:val="00FD4F29"/>
    <w:rsid w:val="00FD5234"/>
    <w:rsid w:val="00FD5D99"/>
    <w:rsid w:val="00FD6911"/>
    <w:rsid w:val="00FD6A12"/>
    <w:rsid w:val="00FD6ED9"/>
    <w:rsid w:val="00FD7184"/>
    <w:rsid w:val="00FD7610"/>
    <w:rsid w:val="00FD7D1B"/>
    <w:rsid w:val="00FE04D0"/>
    <w:rsid w:val="00FE0965"/>
    <w:rsid w:val="00FE14B7"/>
    <w:rsid w:val="00FE172F"/>
    <w:rsid w:val="00FE1A8D"/>
    <w:rsid w:val="00FE1B1D"/>
    <w:rsid w:val="00FE1CDA"/>
    <w:rsid w:val="00FE1EB3"/>
    <w:rsid w:val="00FE2071"/>
    <w:rsid w:val="00FE2224"/>
    <w:rsid w:val="00FE2D7A"/>
    <w:rsid w:val="00FE2F4D"/>
    <w:rsid w:val="00FE3406"/>
    <w:rsid w:val="00FE3635"/>
    <w:rsid w:val="00FE370F"/>
    <w:rsid w:val="00FE3955"/>
    <w:rsid w:val="00FE47CE"/>
    <w:rsid w:val="00FE4C6E"/>
    <w:rsid w:val="00FE4E56"/>
    <w:rsid w:val="00FE50BC"/>
    <w:rsid w:val="00FE5706"/>
    <w:rsid w:val="00FE5AF0"/>
    <w:rsid w:val="00FE5BB3"/>
    <w:rsid w:val="00FE62FC"/>
    <w:rsid w:val="00FE6E92"/>
    <w:rsid w:val="00FE6F5F"/>
    <w:rsid w:val="00FE723F"/>
    <w:rsid w:val="00FE7927"/>
    <w:rsid w:val="00FE7D7C"/>
    <w:rsid w:val="00FF0428"/>
    <w:rsid w:val="00FF048E"/>
    <w:rsid w:val="00FF0A5E"/>
    <w:rsid w:val="00FF0B32"/>
    <w:rsid w:val="00FF0C92"/>
    <w:rsid w:val="00FF1130"/>
    <w:rsid w:val="00FF1F74"/>
    <w:rsid w:val="00FF2384"/>
    <w:rsid w:val="00FF247B"/>
    <w:rsid w:val="00FF2DDF"/>
    <w:rsid w:val="00FF37EB"/>
    <w:rsid w:val="00FF3D04"/>
    <w:rsid w:val="00FF42C5"/>
    <w:rsid w:val="00FF4634"/>
    <w:rsid w:val="00FF4675"/>
    <w:rsid w:val="00FF4D3E"/>
    <w:rsid w:val="00FF4F2C"/>
    <w:rsid w:val="00FF52BA"/>
    <w:rsid w:val="00FF562C"/>
    <w:rsid w:val="00FF56D9"/>
    <w:rsid w:val="00FF660A"/>
    <w:rsid w:val="00FF6B23"/>
    <w:rsid w:val="00FF6F8B"/>
    <w:rsid w:val="00FF72D5"/>
    <w:rsid w:val="00FF7480"/>
    <w:rsid w:val="00FF7817"/>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1"/>
    <o:shapelayout v:ext="edit">
      <o:idmap v:ext="edit" data="2"/>
    </o:shapelayout>
  </w:shapeDefaults>
  <w:decimalSymbol w:val=","/>
  <w:listSeparator w:val=";"/>
  <w14:docId w14:val="6D012908"/>
  <w15:docId w15:val="{1310C9BE-69A6-4A11-A70D-2F948CF6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C29DD"/>
    <w:pPr>
      <w:spacing w:before="120" w:after="120"/>
      <w:jc w:val="both"/>
    </w:pPr>
    <w:rPr>
      <w:rFonts w:ascii="Verdana" w:hAnsi="Verdana"/>
      <w:szCs w:val="24"/>
      <w:lang w:eastAsia="de-DE"/>
    </w:rPr>
  </w:style>
  <w:style w:type="paragraph" w:styleId="Naslov1">
    <w:name w:val="heading 1"/>
    <w:basedOn w:val="Navaden"/>
    <w:next w:val="Navaden"/>
    <w:qFormat/>
    <w:rsid w:val="00BF5371"/>
    <w:pPr>
      <w:keepNext/>
      <w:numPr>
        <w:numId w:val="1"/>
      </w:numPr>
      <w:spacing w:before="360" w:after="200"/>
      <w:outlineLvl w:val="0"/>
    </w:pPr>
    <w:rPr>
      <w:rFonts w:cs="Arial"/>
      <w:b/>
      <w:bCs/>
      <w:caps/>
      <w:kern w:val="32"/>
      <w:sz w:val="28"/>
      <w:szCs w:val="28"/>
    </w:rPr>
  </w:style>
  <w:style w:type="paragraph" w:styleId="Naslov2">
    <w:name w:val="heading 2"/>
    <w:basedOn w:val="Navaden"/>
    <w:next w:val="Navaden"/>
    <w:link w:val="Naslov2Znak"/>
    <w:qFormat/>
    <w:rsid w:val="001119BD"/>
    <w:pPr>
      <w:keepNext/>
      <w:numPr>
        <w:ilvl w:val="1"/>
        <w:numId w:val="1"/>
      </w:numPr>
      <w:spacing w:before="240" w:after="160"/>
      <w:outlineLvl w:val="1"/>
    </w:pPr>
    <w:rPr>
      <w:b/>
      <w:bCs/>
      <w:iCs/>
      <w:szCs w:val="28"/>
      <w:lang w:val="de-DE"/>
    </w:rPr>
  </w:style>
  <w:style w:type="paragraph" w:styleId="Naslov3">
    <w:name w:val="heading 3"/>
    <w:basedOn w:val="Navaden"/>
    <w:next w:val="Navaden"/>
    <w:link w:val="Naslov3Znak"/>
    <w:qFormat/>
    <w:rsid w:val="001119BD"/>
    <w:pPr>
      <w:keepNext/>
      <w:numPr>
        <w:ilvl w:val="2"/>
        <w:numId w:val="1"/>
      </w:numPr>
      <w:tabs>
        <w:tab w:val="left" w:pos="851"/>
      </w:tabs>
      <w:spacing w:before="240"/>
      <w:outlineLvl w:val="2"/>
    </w:pPr>
    <w:rPr>
      <w:b/>
      <w:bCs/>
    </w:rPr>
  </w:style>
  <w:style w:type="paragraph" w:styleId="Naslov4">
    <w:name w:val="heading 4"/>
    <w:basedOn w:val="Navaden"/>
    <w:next w:val="Navaden"/>
    <w:link w:val="Naslov4Znak"/>
    <w:qFormat/>
    <w:rsid w:val="001119BD"/>
    <w:pPr>
      <w:keepNext/>
      <w:numPr>
        <w:ilvl w:val="3"/>
        <w:numId w:val="1"/>
      </w:numPr>
      <w:tabs>
        <w:tab w:val="left" w:pos="907"/>
      </w:tabs>
      <w:spacing w:before="240"/>
      <w:outlineLvl w:val="3"/>
    </w:pPr>
    <w:rPr>
      <w:b/>
      <w:bCs/>
      <w:i/>
      <w:szCs w:val="22"/>
    </w:rPr>
  </w:style>
  <w:style w:type="paragraph" w:styleId="Naslov5">
    <w:name w:val="heading 5"/>
    <w:aliases w:val="Char Char Char, Char Char Char"/>
    <w:basedOn w:val="Navaden"/>
    <w:next w:val="Navaden"/>
    <w:link w:val="Naslov5Znak"/>
    <w:qFormat/>
    <w:rsid w:val="00C85C10"/>
    <w:pPr>
      <w:numPr>
        <w:ilvl w:val="4"/>
        <w:numId w:val="1"/>
      </w:numPr>
      <w:spacing w:before="240"/>
      <w:ind w:left="864" w:hanging="864"/>
      <w:outlineLvl w:val="4"/>
    </w:pPr>
    <w:rPr>
      <w:bCs/>
      <w:i/>
      <w:iCs/>
      <w:caps/>
    </w:rPr>
  </w:style>
  <w:style w:type="paragraph" w:styleId="Naslov6">
    <w:name w:val="heading 6"/>
    <w:basedOn w:val="Navaden"/>
    <w:next w:val="Navaden"/>
    <w:qFormat/>
    <w:rsid w:val="001119BD"/>
    <w:pPr>
      <w:numPr>
        <w:ilvl w:val="5"/>
        <w:numId w:val="1"/>
      </w:numPr>
      <w:spacing w:before="240"/>
      <w:outlineLvl w:val="5"/>
    </w:pPr>
    <w:rPr>
      <w:bCs/>
      <w:i/>
      <w:sz w:val="22"/>
      <w:szCs w:val="22"/>
    </w:rPr>
  </w:style>
  <w:style w:type="paragraph" w:styleId="Naslov7">
    <w:name w:val="heading 7"/>
    <w:basedOn w:val="Navaden"/>
    <w:next w:val="Navaden"/>
    <w:qFormat/>
    <w:rsid w:val="001119BD"/>
    <w:pPr>
      <w:numPr>
        <w:ilvl w:val="6"/>
        <w:numId w:val="5"/>
      </w:numPr>
      <w:spacing w:before="240"/>
      <w:outlineLvl w:val="6"/>
    </w:pPr>
    <w:rPr>
      <w:b/>
      <w:sz w:val="28"/>
    </w:rPr>
  </w:style>
  <w:style w:type="paragraph" w:styleId="Naslov8">
    <w:name w:val="heading 8"/>
    <w:basedOn w:val="Navaden"/>
    <w:next w:val="Navaden"/>
    <w:qFormat/>
    <w:rsid w:val="001119BD"/>
    <w:pPr>
      <w:numPr>
        <w:ilvl w:val="7"/>
        <w:numId w:val="1"/>
      </w:numPr>
      <w:spacing w:before="240"/>
      <w:outlineLvl w:val="7"/>
    </w:pPr>
    <w:rPr>
      <w:rFonts w:ascii="Times New Roman" w:hAnsi="Times New Roman"/>
      <w:i/>
      <w:iCs/>
    </w:rPr>
  </w:style>
  <w:style w:type="paragraph" w:styleId="Naslov9">
    <w:name w:val="heading 9"/>
    <w:basedOn w:val="Navaden"/>
    <w:next w:val="Navaden"/>
    <w:qFormat/>
    <w:rsid w:val="001119BD"/>
    <w:pPr>
      <w:numPr>
        <w:ilvl w:val="8"/>
        <w:numId w:val="1"/>
      </w:numPr>
      <w:spacing w:before="24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Heading2notnumbered">
    <w:name w:val="Style Heading 2 not numbered"/>
    <w:basedOn w:val="Naslov2"/>
    <w:rsid w:val="00BA45F1"/>
    <w:pPr>
      <w:numPr>
        <w:ilvl w:val="0"/>
        <w:numId w:val="0"/>
      </w:numPr>
    </w:pPr>
    <w:rPr>
      <w:szCs w:val="20"/>
    </w:rPr>
  </w:style>
  <w:style w:type="paragraph" w:customStyle="1" w:styleId="Default">
    <w:name w:val="Default"/>
    <w:rsid w:val="00D049B0"/>
    <w:pPr>
      <w:autoSpaceDE w:val="0"/>
      <w:autoSpaceDN w:val="0"/>
      <w:adjustRightInd w:val="0"/>
    </w:pPr>
    <w:rPr>
      <w:rFonts w:ascii="Arial" w:hAnsi="Arial" w:cs="Arial"/>
      <w:color w:val="000000"/>
      <w:sz w:val="24"/>
      <w:szCs w:val="24"/>
      <w:lang w:val="de-DE" w:eastAsia="de-DE"/>
    </w:rPr>
  </w:style>
  <w:style w:type="paragraph" w:customStyle="1" w:styleId="tabletext">
    <w:name w:val="table text"/>
    <w:basedOn w:val="Default"/>
    <w:next w:val="Default"/>
    <w:rsid w:val="00BA45F1"/>
    <w:pPr>
      <w:spacing w:before="20" w:after="20"/>
    </w:pPr>
    <w:rPr>
      <w:rFonts w:ascii="Arial Narrow" w:hAnsi="Arial Narrow" w:cs="Times New Roman"/>
      <w:color w:val="auto"/>
      <w:sz w:val="20"/>
    </w:rPr>
  </w:style>
  <w:style w:type="paragraph" w:customStyle="1" w:styleId="BodyText1">
    <w:name w:val="Body Text1"/>
    <w:basedOn w:val="Default"/>
    <w:next w:val="Default"/>
    <w:rsid w:val="00BA45F1"/>
    <w:rPr>
      <w:rFonts w:ascii="Trebuchet MS" w:hAnsi="Trebuchet MS" w:cs="Times New Roman"/>
      <w:color w:val="auto"/>
      <w:sz w:val="22"/>
    </w:rPr>
  </w:style>
  <w:style w:type="paragraph" w:styleId="Kazalovsebine1">
    <w:name w:val="toc 1"/>
    <w:basedOn w:val="Navaden"/>
    <w:next w:val="Navaden"/>
    <w:uiPriority w:val="39"/>
    <w:qFormat/>
    <w:rsid w:val="00E97F0C"/>
    <w:pPr>
      <w:tabs>
        <w:tab w:val="left" w:pos="567"/>
        <w:tab w:val="right" w:pos="9072"/>
      </w:tabs>
      <w:ind w:left="567" w:hanging="567"/>
      <w:jc w:val="left"/>
    </w:pPr>
    <w:rPr>
      <w:b/>
      <w:bCs/>
      <w:caps/>
      <w:lang w:eastAsia="en-US"/>
    </w:rPr>
  </w:style>
  <w:style w:type="table" w:styleId="Tabelamrea">
    <w:name w:val="Table Grid"/>
    <w:basedOn w:val="Navadnatabela"/>
    <w:uiPriority w:val="39"/>
    <w:rsid w:val="00B934D0"/>
    <w:pPr>
      <w:spacing w:after="12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OtitleblackCharChar">
    <w:name w:val="ENCO_title_black Char Char"/>
    <w:basedOn w:val="Navaden"/>
    <w:link w:val="ENCOtitleblackCharCharChar"/>
    <w:rsid w:val="00115CB5"/>
    <w:pPr>
      <w:widowControl w:val="0"/>
      <w:autoSpaceDE w:val="0"/>
      <w:autoSpaceDN w:val="0"/>
      <w:adjustRightInd w:val="0"/>
      <w:spacing w:before="0" w:after="0"/>
      <w:jc w:val="left"/>
    </w:pPr>
    <w:rPr>
      <w:rFonts w:ascii="Trebuchet MS" w:hAnsi="Trebuchet MS"/>
      <w:sz w:val="36"/>
      <w:szCs w:val="36"/>
    </w:rPr>
  </w:style>
  <w:style w:type="character" w:customStyle="1" w:styleId="ENCOtitleblackCharCharChar">
    <w:name w:val="ENCO_title_black Char Char Char"/>
    <w:link w:val="ENCOtitleblackCharChar"/>
    <w:rsid w:val="00115CB5"/>
    <w:rPr>
      <w:rFonts w:ascii="Trebuchet MS" w:hAnsi="Trebuchet MS"/>
      <w:sz w:val="36"/>
      <w:szCs w:val="36"/>
      <w:lang w:val="en-GB" w:eastAsia="de-DE" w:bidi="ar-SA"/>
    </w:rPr>
  </w:style>
  <w:style w:type="paragraph" w:customStyle="1" w:styleId="ENCOtitlegray">
    <w:name w:val="ENCO_title_gray"/>
    <w:basedOn w:val="ENCOtitleblackCharChar"/>
    <w:rsid w:val="00115CB5"/>
    <w:rPr>
      <w:color w:val="666666"/>
    </w:rPr>
  </w:style>
  <w:style w:type="paragraph" w:customStyle="1" w:styleId="ENCOstandardEN">
    <w:name w:val="ENCO_standard_EN"/>
    <w:basedOn w:val="Navaden"/>
    <w:rsid w:val="00115CB5"/>
    <w:pPr>
      <w:spacing w:before="0" w:line="280" w:lineRule="exact"/>
      <w:jc w:val="left"/>
    </w:pPr>
  </w:style>
  <w:style w:type="paragraph" w:styleId="Noga">
    <w:name w:val="footer"/>
    <w:basedOn w:val="Navaden"/>
    <w:link w:val="NogaZnak"/>
    <w:uiPriority w:val="99"/>
    <w:rsid w:val="004C29DD"/>
    <w:pPr>
      <w:tabs>
        <w:tab w:val="center" w:pos="4153"/>
        <w:tab w:val="right" w:pos="8306"/>
      </w:tabs>
      <w:spacing w:after="0"/>
    </w:pPr>
    <w:rPr>
      <w:lang w:val="en-US" w:eastAsia="en-US"/>
    </w:rPr>
  </w:style>
  <w:style w:type="paragraph" w:styleId="Glava">
    <w:name w:val="header"/>
    <w:aliases w:val="Top Line"/>
    <w:basedOn w:val="Navaden"/>
    <w:link w:val="GlavaZnak"/>
    <w:uiPriority w:val="99"/>
    <w:rsid w:val="0034737C"/>
    <w:pPr>
      <w:keepNext/>
      <w:pageBreakBefore/>
      <w:tabs>
        <w:tab w:val="center" w:pos="4153"/>
        <w:tab w:val="right" w:pos="8306"/>
      </w:tabs>
      <w:spacing w:after="0"/>
    </w:pPr>
    <w:rPr>
      <w:lang w:val="ru-RU" w:eastAsia="en-US"/>
    </w:rPr>
  </w:style>
  <w:style w:type="character" w:styleId="tevilkastrani">
    <w:name w:val="page number"/>
    <w:rsid w:val="001134E1"/>
    <w:rPr>
      <w:rFonts w:ascii="Arial" w:hAnsi="Arial"/>
      <w:dstrike w:val="0"/>
      <w:color w:val="auto"/>
      <w:sz w:val="16"/>
      <w:vertAlign w:val="baseline"/>
    </w:rPr>
  </w:style>
  <w:style w:type="paragraph" w:styleId="Sprotnaopomba-besedilo">
    <w:name w:val="footnote text"/>
    <w:basedOn w:val="Navaden"/>
    <w:link w:val="Sprotnaopomba-besediloZnak"/>
    <w:rsid w:val="0001264F"/>
    <w:rPr>
      <w:szCs w:val="20"/>
    </w:rPr>
  </w:style>
  <w:style w:type="character" w:styleId="Sprotnaopomba-sklic">
    <w:name w:val="footnote reference"/>
    <w:rsid w:val="0001264F"/>
    <w:rPr>
      <w:vertAlign w:val="superscript"/>
    </w:rPr>
  </w:style>
  <w:style w:type="paragraph" w:styleId="Kazalovsebine2">
    <w:name w:val="toc 2"/>
    <w:basedOn w:val="Navaden"/>
    <w:next w:val="Navaden"/>
    <w:autoRedefine/>
    <w:uiPriority w:val="39"/>
    <w:qFormat/>
    <w:rsid w:val="00C656D7"/>
    <w:pPr>
      <w:tabs>
        <w:tab w:val="left" w:pos="720"/>
        <w:tab w:val="right" w:pos="9060"/>
      </w:tabs>
      <w:ind w:left="720" w:hanging="720"/>
    </w:pPr>
  </w:style>
  <w:style w:type="paragraph" w:styleId="Kazalovsebine3">
    <w:name w:val="toc 3"/>
    <w:basedOn w:val="Navaden"/>
    <w:next w:val="Navaden"/>
    <w:autoRedefine/>
    <w:uiPriority w:val="39"/>
    <w:qFormat/>
    <w:rsid w:val="00256823"/>
    <w:pPr>
      <w:tabs>
        <w:tab w:val="left" w:pos="1540"/>
        <w:tab w:val="right" w:pos="9072"/>
      </w:tabs>
      <w:ind w:left="1530" w:right="1275" w:hanging="1050"/>
    </w:pPr>
  </w:style>
  <w:style w:type="character" w:styleId="Hiperpovezava">
    <w:name w:val="Hyperlink"/>
    <w:uiPriority w:val="99"/>
    <w:rsid w:val="006B2972"/>
    <w:rPr>
      <w:color w:val="0000FF"/>
      <w:u w:val="single"/>
    </w:rPr>
  </w:style>
  <w:style w:type="paragraph" w:styleId="Napis">
    <w:name w:val="caption"/>
    <w:basedOn w:val="Navaden"/>
    <w:next w:val="Navaden"/>
    <w:qFormat/>
    <w:rsid w:val="00FA1922"/>
    <w:rPr>
      <w:bCs/>
      <w:i/>
      <w:szCs w:val="20"/>
    </w:rPr>
  </w:style>
  <w:style w:type="paragraph" w:styleId="Kazalovsebine4">
    <w:name w:val="toc 4"/>
    <w:basedOn w:val="Navaden"/>
    <w:next w:val="Navaden"/>
    <w:autoRedefine/>
    <w:uiPriority w:val="39"/>
    <w:rsid w:val="009A7EDD"/>
    <w:pPr>
      <w:tabs>
        <w:tab w:val="left" w:pos="1760"/>
        <w:tab w:val="right" w:pos="9000"/>
      </w:tabs>
      <w:ind w:left="1800" w:right="1512" w:hanging="1080"/>
    </w:pPr>
  </w:style>
  <w:style w:type="paragraph" w:styleId="Kazaloslik">
    <w:name w:val="table of figures"/>
    <w:basedOn w:val="Navaden"/>
    <w:next w:val="Navaden"/>
    <w:uiPriority w:val="99"/>
    <w:rsid w:val="00FA1922"/>
  </w:style>
  <w:style w:type="paragraph" w:customStyle="1" w:styleId="ENCOFooter">
    <w:name w:val="ENCO_Footer"/>
    <w:basedOn w:val="Noga"/>
    <w:rsid w:val="00F9371C"/>
    <w:pPr>
      <w:tabs>
        <w:tab w:val="clear" w:pos="4153"/>
        <w:tab w:val="clear" w:pos="8306"/>
        <w:tab w:val="center" w:pos="4536"/>
        <w:tab w:val="right" w:pos="9072"/>
      </w:tabs>
      <w:spacing w:before="0"/>
      <w:jc w:val="left"/>
    </w:pPr>
    <w:rPr>
      <w:sz w:val="16"/>
      <w:szCs w:val="16"/>
      <w:lang w:val="en-GB" w:eastAsia="de-DE"/>
    </w:rPr>
  </w:style>
  <w:style w:type="paragraph" w:customStyle="1" w:styleId="ENCOFooterright">
    <w:name w:val="ENCO_Footer right"/>
    <w:basedOn w:val="Noga"/>
    <w:next w:val="ENCOFooter"/>
    <w:rsid w:val="00F9371C"/>
    <w:pPr>
      <w:tabs>
        <w:tab w:val="clear" w:pos="4153"/>
        <w:tab w:val="clear" w:pos="8306"/>
        <w:tab w:val="center" w:pos="4536"/>
        <w:tab w:val="right" w:pos="9072"/>
      </w:tabs>
      <w:spacing w:before="0"/>
      <w:jc w:val="right"/>
    </w:pPr>
    <w:rPr>
      <w:sz w:val="16"/>
      <w:szCs w:val="16"/>
      <w:lang w:val="en-GB" w:eastAsia="de-DE"/>
    </w:rPr>
  </w:style>
  <w:style w:type="paragraph" w:customStyle="1" w:styleId="ENCOtitleblack">
    <w:name w:val="ENCO_title_black"/>
    <w:basedOn w:val="Navaden"/>
    <w:link w:val="ENCOtitleblackChar"/>
    <w:rsid w:val="00BD0C93"/>
    <w:pPr>
      <w:widowControl w:val="0"/>
      <w:autoSpaceDE w:val="0"/>
      <w:autoSpaceDN w:val="0"/>
      <w:adjustRightInd w:val="0"/>
      <w:spacing w:before="0" w:after="0"/>
      <w:jc w:val="left"/>
    </w:pPr>
    <w:rPr>
      <w:rFonts w:ascii="Trebuchet MS" w:hAnsi="Trebuchet MS"/>
      <w:sz w:val="36"/>
      <w:szCs w:val="36"/>
    </w:rPr>
  </w:style>
  <w:style w:type="character" w:customStyle="1" w:styleId="ENCOtitleblackChar">
    <w:name w:val="ENCO_title_black Char"/>
    <w:link w:val="ENCOtitleblack"/>
    <w:rsid w:val="00BD0C93"/>
    <w:rPr>
      <w:rFonts w:ascii="Trebuchet MS" w:hAnsi="Trebuchet MS"/>
      <w:sz w:val="36"/>
      <w:szCs w:val="36"/>
      <w:lang w:val="en-GB" w:eastAsia="de-DE" w:bidi="ar-SA"/>
    </w:rPr>
  </w:style>
  <w:style w:type="character" w:customStyle="1" w:styleId="Stil10pt">
    <w:name w:val="Stil 10 pt"/>
    <w:rsid w:val="00B934D0"/>
    <w:rPr>
      <w:sz w:val="24"/>
    </w:rPr>
  </w:style>
  <w:style w:type="character" w:customStyle="1" w:styleId="Stil10ptPodebljano">
    <w:name w:val="Stil 10 pt Podebljano"/>
    <w:rsid w:val="00B934D0"/>
    <w:rPr>
      <w:b/>
      <w:bCs/>
      <w:sz w:val="24"/>
    </w:rPr>
  </w:style>
  <w:style w:type="character" w:customStyle="1" w:styleId="Stil10ptPodebljanoPodcrtano">
    <w:name w:val="Stil 10 pt Podebljano Podcrtano"/>
    <w:rsid w:val="00B934D0"/>
    <w:rPr>
      <w:b/>
      <w:bCs/>
      <w:sz w:val="24"/>
      <w:u w:val="single"/>
    </w:rPr>
  </w:style>
  <w:style w:type="character" w:customStyle="1" w:styleId="Stil10ptCrvena">
    <w:name w:val="Stil 10 pt Crvena"/>
    <w:rsid w:val="00B934D0"/>
    <w:rPr>
      <w:color w:val="FF0000"/>
      <w:sz w:val="24"/>
    </w:rPr>
  </w:style>
  <w:style w:type="character" w:customStyle="1" w:styleId="Stil10ptKurziv">
    <w:name w:val="Stil 10 pt Kurziv"/>
    <w:rsid w:val="00B934D0"/>
    <w:rPr>
      <w:i/>
      <w:iCs/>
      <w:sz w:val="24"/>
    </w:rPr>
  </w:style>
  <w:style w:type="character" w:customStyle="1" w:styleId="Stil10ptCrna">
    <w:name w:val="Stil 10 pt Crna"/>
    <w:rsid w:val="00B934D0"/>
    <w:rPr>
      <w:color w:val="000000"/>
      <w:sz w:val="24"/>
    </w:rPr>
  </w:style>
  <w:style w:type="character" w:customStyle="1" w:styleId="Stil10ptKurzivCrvena">
    <w:name w:val="Stil 10 pt Kurziv Crvena"/>
    <w:rsid w:val="00B934D0"/>
    <w:rPr>
      <w:i/>
      <w:iCs/>
      <w:color w:val="FF0000"/>
      <w:sz w:val="24"/>
    </w:rPr>
  </w:style>
  <w:style w:type="character" w:customStyle="1" w:styleId="Stil10ptPodcrtano">
    <w:name w:val="Stil 10 pt Podcrtano"/>
    <w:rsid w:val="00B934D0"/>
    <w:rPr>
      <w:sz w:val="24"/>
      <w:u w:val="single"/>
    </w:rPr>
  </w:style>
  <w:style w:type="paragraph" w:styleId="Konnaopomba-besedilo">
    <w:name w:val="endnote text"/>
    <w:basedOn w:val="Navaden"/>
    <w:rsid w:val="009F751C"/>
    <w:pPr>
      <w:numPr>
        <w:numId w:val="2"/>
      </w:numPr>
      <w:spacing w:after="0"/>
    </w:pPr>
    <w:rPr>
      <w:rFonts w:ascii="Times New Roman" w:hAnsi="Times New Roman"/>
      <w:szCs w:val="20"/>
      <w:lang w:eastAsia="en-US"/>
    </w:rPr>
  </w:style>
  <w:style w:type="paragraph" w:customStyle="1" w:styleId="Normal-table">
    <w:name w:val="Normal - table"/>
    <w:basedOn w:val="Navaden"/>
    <w:rsid w:val="00DA665D"/>
    <w:rPr>
      <w:rFonts w:ascii="Arial" w:hAnsi="Arial"/>
      <w:snapToGrid w:val="0"/>
      <w:sz w:val="16"/>
      <w:szCs w:val="20"/>
      <w:lang w:eastAsia="en-US"/>
    </w:rPr>
  </w:style>
  <w:style w:type="paragraph" w:styleId="Naslov">
    <w:name w:val="Title"/>
    <w:basedOn w:val="Navaden"/>
    <w:next w:val="Navaden"/>
    <w:link w:val="NaslovZnak"/>
    <w:qFormat/>
    <w:rsid w:val="00EB4666"/>
    <w:pPr>
      <w:spacing w:before="240" w:after="60"/>
      <w:jc w:val="center"/>
      <w:outlineLvl w:val="0"/>
    </w:pPr>
    <w:rPr>
      <w:b/>
      <w:bCs/>
      <w:kern w:val="28"/>
      <w:sz w:val="28"/>
      <w:szCs w:val="32"/>
    </w:rPr>
  </w:style>
  <w:style w:type="character" w:customStyle="1" w:styleId="NaslovZnak">
    <w:name w:val="Naslov Znak"/>
    <w:link w:val="Naslov"/>
    <w:rsid w:val="00EB4666"/>
    <w:rPr>
      <w:rFonts w:ascii="Verdana" w:hAnsi="Verdana"/>
      <w:b/>
      <w:bCs/>
      <w:kern w:val="28"/>
      <w:sz w:val="28"/>
      <w:szCs w:val="32"/>
      <w:lang w:val="en-GB" w:eastAsia="de-DE"/>
    </w:rPr>
  </w:style>
  <w:style w:type="character" w:styleId="Pripombasklic">
    <w:name w:val="annotation reference"/>
    <w:unhideWhenUsed/>
    <w:rsid w:val="00D41203"/>
    <w:rPr>
      <w:sz w:val="16"/>
      <w:szCs w:val="16"/>
    </w:rPr>
  </w:style>
  <w:style w:type="paragraph" w:styleId="Pripombabesedilo">
    <w:name w:val="annotation text"/>
    <w:basedOn w:val="Navaden"/>
    <w:link w:val="PripombabesediloZnak"/>
    <w:unhideWhenUsed/>
    <w:rsid w:val="00D41203"/>
    <w:pPr>
      <w:spacing w:before="0" w:after="200"/>
      <w:jc w:val="left"/>
    </w:pPr>
    <w:rPr>
      <w:rFonts w:ascii="Times New Roman" w:hAnsi="Times New Roman"/>
      <w:szCs w:val="20"/>
      <w:lang w:val="x-none" w:eastAsia="x-none"/>
    </w:rPr>
  </w:style>
  <w:style w:type="character" w:customStyle="1" w:styleId="PripombabesediloZnak">
    <w:name w:val="Pripomba – besedilo Znak"/>
    <w:link w:val="Pripombabesedilo"/>
    <w:rsid w:val="00D41203"/>
    <w:rPr>
      <w:rFonts w:eastAsia="Times New Roman" w:cs="Times New Roman"/>
    </w:rPr>
  </w:style>
  <w:style w:type="paragraph" w:styleId="Zadevapripombe">
    <w:name w:val="annotation subject"/>
    <w:basedOn w:val="Pripombabesedilo"/>
    <w:next w:val="Pripombabesedilo"/>
    <w:link w:val="ZadevapripombeZnak"/>
    <w:unhideWhenUsed/>
    <w:rsid w:val="00D41203"/>
    <w:rPr>
      <w:b/>
      <w:bCs/>
    </w:rPr>
  </w:style>
  <w:style w:type="character" w:customStyle="1" w:styleId="ZadevapripombeZnak">
    <w:name w:val="Zadeva pripombe Znak"/>
    <w:link w:val="Zadevapripombe"/>
    <w:rsid w:val="00D41203"/>
    <w:rPr>
      <w:rFonts w:eastAsia="Times New Roman" w:cs="Times New Roman"/>
      <w:b/>
      <w:bCs/>
    </w:rPr>
  </w:style>
  <w:style w:type="paragraph" w:styleId="Besedilooblaka">
    <w:name w:val="Balloon Text"/>
    <w:basedOn w:val="Navaden"/>
    <w:link w:val="BesedilooblakaZnak"/>
    <w:unhideWhenUsed/>
    <w:rsid w:val="00D41203"/>
    <w:pPr>
      <w:spacing w:before="0" w:after="0"/>
      <w:jc w:val="left"/>
    </w:pPr>
    <w:rPr>
      <w:rFonts w:ascii="Tahoma" w:hAnsi="Tahoma"/>
      <w:sz w:val="16"/>
      <w:szCs w:val="16"/>
      <w:lang w:val="x-none" w:eastAsia="x-none"/>
    </w:rPr>
  </w:style>
  <w:style w:type="character" w:customStyle="1" w:styleId="BesedilooblakaZnak">
    <w:name w:val="Besedilo oblačka Znak"/>
    <w:link w:val="Besedilooblaka"/>
    <w:rsid w:val="00D41203"/>
    <w:rPr>
      <w:rFonts w:ascii="Tahoma" w:eastAsia="Times New Roman" w:hAnsi="Tahoma" w:cs="Tahoma"/>
      <w:sz w:val="16"/>
      <w:szCs w:val="16"/>
    </w:rPr>
  </w:style>
  <w:style w:type="paragraph" w:customStyle="1" w:styleId="Odlomakpopisa">
    <w:name w:val="Odlomak popisa"/>
    <w:basedOn w:val="Navaden"/>
    <w:uiPriority w:val="34"/>
    <w:qFormat/>
    <w:rsid w:val="00D41203"/>
    <w:pPr>
      <w:spacing w:before="0" w:after="200" w:line="276" w:lineRule="auto"/>
      <w:ind w:left="720"/>
      <w:contextualSpacing/>
      <w:jc w:val="left"/>
    </w:pPr>
    <w:rPr>
      <w:szCs w:val="22"/>
      <w:lang w:val="en-US" w:eastAsia="en-US"/>
    </w:rPr>
  </w:style>
  <w:style w:type="paragraph" w:styleId="Makrobesedilo">
    <w:name w:val="macro"/>
    <w:link w:val="MakrobesediloZnak"/>
    <w:rsid w:val="00227A8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character" w:customStyle="1" w:styleId="MakrobesediloZnak">
    <w:name w:val="Makro besedilo Znak"/>
    <w:link w:val="Makrobesedilo"/>
    <w:rsid w:val="00227A81"/>
    <w:rPr>
      <w:rFonts w:ascii="Courier New" w:hAnsi="Courier New"/>
      <w:lang w:val="en-US" w:eastAsia="en-GB" w:bidi="ar-SA"/>
    </w:rPr>
  </w:style>
  <w:style w:type="paragraph" w:styleId="Kazalovsebine5">
    <w:name w:val="toc 5"/>
    <w:basedOn w:val="Navaden"/>
    <w:next w:val="Navaden"/>
    <w:autoRedefine/>
    <w:uiPriority w:val="39"/>
    <w:unhideWhenUsed/>
    <w:rsid w:val="00D323A2"/>
    <w:pPr>
      <w:spacing w:before="0" w:after="100" w:line="276" w:lineRule="auto"/>
      <w:ind w:left="880"/>
      <w:jc w:val="left"/>
    </w:pPr>
    <w:rPr>
      <w:rFonts w:ascii="Calibri" w:hAnsi="Calibri"/>
      <w:sz w:val="22"/>
      <w:szCs w:val="22"/>
      <w:lang w:val="en-US" w:eastAsia="en-US"/>
    </w:rPr>
  </w:style>
  <w:style w:type="paragraph" w:styleId="Kazalovsebine6">
    <w:name w:val="toc 6"/>
    <w:basedOn w:val="Navaden"/>
    <w:next w:val="Navaden"/>
    <w:autoRedefine/>
    <w:uiPriority w:val="39"/>
    <w:unhideWhenUsed/>
    <w:rsid w:val="00D323A2"/>
    <w:pPr>
      <w:spacing w:before="0" w:after="100" w:line="276" w:lineRule="auto"/>
      <w:ind w:left="1100"/>
      <w:jc w:val="left"/>
    </w:pPr>
    <w:rPr>
      <w:rFonts w:ascii="Calibri" w:hAnsi="Calibri"/>
      <w:sz w:val="22"/>
      <w:szCs w:val="22"/>
      <w:lang w:val="en-US" w:eastAsia="en-US"/>
    </w:rPr>
  </w:style>
  <w:style w:type="paragraph" w:styleId="Kazalovsebine7">
    <w:name w:val="toc 7"/>
    <w:basedOn w:val="Navaden"/>
    <w:next w:val="Navaden"/>
    <w:autoRedefine/>
    <w:uiPriority w:val="39"/>
    <w:unhideWhenUsed/>
    <w:rsid w:val="00D323A2"/>
    <w:pPr>
      <w:spacing w:before="0" w:after="100" w:line="276" w:lineRule="auto"/>
      <w:ind w:left="1320"/>
      <w:jc w:val="left"/>
    </w:pPr>
    <w:rPr>
      <w:rFonts w:ascii="Calibri" w:hAnsi="Calibri"/>
      <w:sz w:val="22"/>
      <w:szCs w:val="22"/>
      <w:lang w:val="en-US" w:eastAsia="en-US"/>
    </w:rPr>
  </w:style>
  <w:style w:type="paragraph" w:styleId="Kazalovsebine8">
    <w:name w:val="toc 8"/>
    <w:basedOn w:val="Navaden"/>
    <w:next w:val="Navaden"/>
    <w:autoRedefine/>
    <w:uiPriority w:val="39"/>
    <w:unhideWhenUsed/>
    <w:rsid w:val="00D323A2"/>
    <w:pPr>
      <w:spacing w:before="0" w:after="100" w:line="276" w:lineRule="auto"/>
      <w:ind w:left="1540"/>
      <w:jc w:val="left"/>
    </w:pPr>
    <w:rPr>
      <w:rFonts w:ascii="Calibri" w:hAnsi="Calibri"/>
      <w:sz w:val="22"/>
      <w:szCs w:val="22"/>
      <w:lang w:val="en-US" w:eastAsia="en-US"/>
    </w:rPr>
  </w:style>
  <w:style w:type="paragraph" w:styleId="Kazalovsebine9">
    <w:name w:val="toc 9"/>
    <w:basedOn w:val="Navaden"/>
    <w:next w:val="Navaden"/>
    <w:autoRedefine/>
    <w:uiPriority w:val="39"/>
    <w:unhideWhenUsed/>
    <w:rsid w:val="00D323A2"/>
    <w:pPr>
      <w:spacing w:before="0" w:after="100" w:line="276" w:lineRule="auto"/>
      <w:ind w:left="1760"/>
      <w:jc w:val="left"/>
    </w:pPr>
    <w:rPr>
      <w:rFonts w:ascii="Calibri" w:hAnsi="Calibri"/>
      <w:sz w:val="22"/>
      <w:szCs w:val="22"/>
      <w:lang w:val="en-US" w:eastAsia="en-US"/>
    </w:rPr>
  </w:style>
  <w:style w:type="paragraph" w:styleId="Telobesedila2">
    <w:name w:val="Body Text 2"/>
    <w:basedOn w:val="Navaden"/>
    <w:link w:val="Telobesedila2Znak"/>
    <w:rsid w:val="007E79AE"/>
    <w:pPr>
      <w:spacing w:before="60" w:after="60"/>
      <w:jc w:val="center"/>
    </w:pPr>
    <w:rPr>
      <w:rFonts w:ascii="Times New Roman" w:hAnsi="Times New Roman"/>
      <w:b/>
      <w:sz w:val="30"/>
      <w:szCs w:val="20"/>
      <w:lang w:eastAsia="x-none"/>
    </w:rPr>
  </w:style>
  <w:style w:type="character" w:customStyle="1" w:styleId="Telobesedila2Znak">
    <w:name w:val="Telo besedila 2 Znak"/>
    <w:link w:val="Telobesedila2"/>
    <w:rsid w:val="007E79AE"/>
    <w:rPr>
      <w:b/>
      <w:sz w:val="30"/>
      <w:lang w:val="en-GB"/>
    </w:rPr>
  </w:style>
  <w:style w:type="paragraph" w:customStyle="1" w:styleId="StyleHeading1Arial">
    <w:name w:val="Style Heading 1 + Arial"/>
    <w:basedOn w:val="Naslov1"/>
    <w:next w:val="Navaden"/>
    <w:rsid w:val="0049440A"/>
    <w:pPr>
      <w:widowControl w:val="0"/>
      <w:numPr>
        <w:numId w:val="3"/>
      </w:numPr>
      <w:spacing w:before="0" w:after="0"/>
    </w:pPr>
    <w:rPr>
      <w:rFonts w:ascii="Arial" w:hAnsi="Arial" w:cs="Times New Roman"/>
      <w:bCs w:val="0"/>
      <w:kern w:val="0"/>
      <w:sz w:val="24"/>
      <w:szCs w:val="20"/>
      <w:lang w:eastAsia="en-US"/>
    </w:rPr>
  </w:style>
  <w:style w:type="character" w:styleId="Konnaopomba-sklic">
    <w:name w:val="endnote reference"/>
    <w:rsid w:val="0049440A"/>
    <w:rPr>
      <w:vertAlign w:val="superscript"/>
    </w:rPr>
  </w:style>
  <w:style w:type="character" w:customStyle="1" w:styleId="Document8">
    <w:name w:val="Document 8"/>
    <w:basedOn w:val="Privzetapisavaodstavka"/>
    <w:rsid w:val="0049440A"/>
  </w:style>
  <w:style w:type="character" w:customStyle="1" w:styleId="Document4">
    <w:name w:val="Document 4"/>
    <w:rsid w:val="0049440A"/>
    <w:rPr>
      <w:b/>
      <w:bCs/>
      <w:i/>
      <w:iCs/>
      <w:sz w:val="16"/>
      <w:szCs w:val="16"/>
    </w:rPr>
  </w:style>
  <w:style w:type="character" w:customStyle="1" w:styleId="Document6">
    <w:name w:val="Document 6"/>
    <w:basedOn w:val="Privzetapisavaodstavka"/>
    <w:rsid w:val="0049440A"/>
  </w:style>
  <w:style w:type="character" w:customStyle="1" w:styleId="Document5">
    <w:name w:val="Document 5"/>
    <w:basedOn w:val="Privzetapisavaodstavka"/>
    <w:rsid w:val="0049440A"/>
  </w:style>
  <w:style w:type="character" w:customStyle="1" w:styleId="Document2">
    <w:name w:val="Document 2"/>
    <w:rsid w:val="0049440A"/>
    <w:rPr>
      <w:rFonts w:ascii="CG Times" w:hAnsi="CG Times" w:cs="CG Times"/>
      <w:sz w:val="16"/>
      <w:szCs w:val="16"/>
      <w:lang w:val="en-US"/>
    </w:rPr>
  </w:style>
  <w:style w:type="character" w:customStyle="1" w:styleId="Document7">
    <w:name w:val="Document 7"/>
    <w:basedOn w:val="Privzetapisavaodstavka"/>
    <w:rsid w:val="0049440A"/>
  </w:style>
  <w:style w:type="character" w:customStyle="1" w:styleId="RightPar1">
    <w:name w:val="Right Par 1"/>
    <w:basedOn w:val="Privzetapisavaodstavka"/>
    <w:rsid w:val="0049440A"/>
  </w:style>
  <w:style w:type="character" w:customStyle="1" w:styleId="RightPar2">
    <w:name w:val="Right Par 2"/>
    <w:basedOn w:val="Privzetapisavaodstavka"/>
    <w:rsid w:val="0049440A"/>
  </w:style>
  <w:style w:type="character" w:customStyle="1" w:styleId="Document3">
    <w:name w:val="Document 3"/>
    <w:rsid w:val="0049440A"/>
    <w:rPr>
      <w:rFonts w:ascii="CG Times" w:hAnsi="CG Times" w:cs="CG Times"/>
      <w:sz w:val="16"/>
      <w:szCs w:val="16"/>
      <w:lang w:val="en-US"/>
    </w:rPr>
  </w:style>
  <w:style w:type="character" w:customStyle="1" w:styleId="RightPar3">
    <w:name w:val="Right Par 3"/>
    <w:basedOn w:val="Privzetapisavaodstavka"/>
    <w:rsid w:val="0049440A"/>
  </w:style>
  <w:style w:type="character" w:customStyle="1" w:styleId="RightPar4">
    <w:name w:val="Right Par 4"/>
    <w:basedOn w:val="Privzetapisavaodstavka"/>
    <w:rsid w:val="0049440A"/>
  </w:style>
  <w:style w:type="character" w:customStyle="1" w:styleId="RightPar5">
    <w:name w:val="Right Par 5"/>
    <w:basedOn w:val="Privzetapisavaodstavka"/>
    <w:rsid w:val="0049440A"/>
  </w:style>
  <w:style w:type="character" w:customStyle="1" w:styleId="RightPar6">
    <w:name w:val="Right Par 6"/>
    <w:basedOn w:val="Privzetapisavaodstavka"/>
    <w:rsid w:val="0049440A"/>
  </w:style>
  <w:style w:type="character" w:customStyle="1" w:styleId="RightPar7">
    <w:name w:val="Right Par 7"/>
    <w:basedOn w:val="Privzetapisavaodstavka"/>
    <w:rsid w:val="0049440A"/>
  </w:style>
  <w:style w:type="character" w:customStyle="1" w:styleId="RightPar8">
    <w:name w:val="Right Par 8"/>
    <w:basedOn w:val="Privzetapisavaodstavka"/>
    <w:rsid w:val="0049440A"/>
  </w:style>
  <w:style w:type="character" w:customStyle="1" w:styleId="asciitext">
    <w:name w:val="ascii text"/>
    <w:rsid w:val="0049440A"/>
    <w:rPr>
      <w:rFonts w:ascii="Arial Narrow" w:hAnsi="Arial Narrow" w:cs="Arial Narrow"/>
      <w:sz w:val="17"/>
      <w:szCs w:val="17"/>
      <w:lang w:val="en-US"/>
    </w:rPr>
  </w:style>
  <w:style w:type="paragraph" w:customStyle="1" w:styleId="Document1">
    <w:name w:val="Document 1"/>
    <w:rsid w:val="0049440A"/>
    <w:pPr>
      <w:keepNext/>
      <w:keepLines/>
      <w:widowControl w:val="0"/>
      <w:tabs>
        <w:tab w:val="left" w:pos="-720"/>
      </w:tabs>
      <w:suppressAutoHyphens/>
      <w:autoSpaceDE w:val="0"/>
      <w:autoSpaceDN w:val="0"/>
      <w:adjustRightInd w:val="0"/>
      <w:spacing w:line="240" w:lineRule="atLeast"/>
    </w:pPr>
    <w:rPr>
      <w:rFonts w:ascii="CG Times" w:hAnsi="CG Times" w:cs="CG Times"/>
      <w:sz w:val="16"/>
      <w:szCs w:val="16"/>
      <w:lang w:val="en-US" w:eastAsia="en-US"/>
    </w:rPr>
  </w:style>
  <w:style w:type="character" w:customStyle="1" w:styleId="Technical5">
    <w:name w:val="Technical 5"/>
    <w:basedOn w:val="Privzetapisavaodstavka"/>
    <w:rsid w:val="0049440A"/>
  </w:style>
  <w:style w:type="character" w:customStyle="1" w:styleId="Technical6">
    <w:name w:val="Technical 6"/>
    <w:basedOn w:val="Privzetapisavaodstavka"/>
    <w:rsid w:val="0049440A"/>
  </w:style>
  <w:style w:type="character" w:customStyle="1" w:styleId="Technical2">
    <w:name w:val="Technical 2"/>
    <w:rsid w:val="0049440A"/>
    <w:rPr>
      <w:rFonts w:ascii="CG Times" w:hAnsi="CG Times" w:cs="CG Times"/>
      <w:sz w:val="16"/>
      <w:szCs w:val="16"/>
      <w:lang w:val="en-US"/>
    </w:rPr>
  </w:style>
  <w:style w:type="character" w:customStyle="1" w:styleId="Technical3">
    <w:name w:val="Technical 3"/>
    <w:rsid w:val="0049440A"/>
    <w:rPr>
      <w:rFonts w:ascii="CG Times" w:hAnsi="CG Times" w:cs="CG Times"/>
      <w:sz w:val="16"/>
      <w:szCs w:val="16"/>
      <w:lang w:val="en-US"/>
    </w:rPr>
  </w:style>
  <w:style w:type="character" w:customStyle="1" w:styleId="Technical4">
    <w:name w:val="Technical 4"/>
    <w:basedOn w:val="Privzetapisavaodstavka"/>
    <w:rsid w:val="0049440A"/>
  </w:style>
  <w:style w:type="character" w:customStyle="1" w:styleId="Technical1">
    <w:name w:val="Technical 1"/>
    <w:rsid w:val="0049440A"/>
    <w:rPr>
      <w:rFonts w:ascii="CG Times" w:hAnsi="CG Times" w:cs="CG Times"/>
      <w:sz w:val="16"/>
      <w:szCs w:val="16"/>
      <w:lang w:val="en-US"/>
    </w:rPr>
  </w:style>
  <w:style w:type="character" w:customStyle="1" w:styleId="Technical7">
    <w:name w:val="Technical 7"/>
    <w:basedOn w:val="Privzetapisavaodstavka"/>
    <w:rsid w:val="0049440A"/>
  </w:style>
  <w:style w:type="character" w:customStyle="1" w:styleId="Technical8">
    <w:name w:val="Technical 8"/>
    <w:basedOn w:val="Privzetapisavaodstavka"/>
    <w:rsid w:val="0049440A"/>
  </w:style>
  <w:style w:type="character" w:customStyle="1" w:styleId="titles">
    <w:name w:val="titles"/>
    <w:rsid w:val="0049440A"/>
    <w:rPr>
      <w:rFonts w:ascii="CG Times" w:hAnsi="CG Times" w:cs="CG Times"/>
      <w:b/>
      <w:bCs/>
      <w:sz w:val="16"/>
      <w:szCs w:val="16"/>
      <w:lang w:val="en-US"/>
    </w:rPr>
  </w:style>
  <w:style w:type="character" w:customStyle="1" w:styleId="Notes">
    <w:name w:val="Notes"/>
    <w:rsid w:val="0049440A"/>
    <w:rPr>
      <w:rFonts w:ascii="Century Gothic" w:hAnsi="Century Gothic" w:cs="Century Gothic"/>
      <w:sz w:val="20"/>
      <w:szCs w:val="20"/>
      <w:lang w:val="en-US"/>
    </w:rPr>
  </w:style>
  <w:style w:type="character" w:customStyle="1" w:styleId="Bibliogrphy">
    <w:name w:val="Bibliogrphy"/>
    <w:basedOn w:val="Privzetapisavaodstavka"/>
    <w:rsid w:val="0049440A"/>
  </w:style>
  <w:style w:type="character" w:customStyle="1" w:styleId="DocInit">
    <w:name w:val="Doc Init"/>
    <w:basedOn w:val="Privzetapisavaodstavka"/>
    <w:rsid w:val="0049440A"/>
  </w:style>
  <w:style w:type="paragraph" w:customStyle="1" w:styleId="TechInit">
    <w:name w:val="Tech Init"/>
    <w:rsid w:val="0049440A"/>
    <w:pPr>
      <w:widowControl w:val="0"/>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autoSpaceDE w:val="0"/>
      <w:autoSpaceDN w:val="0"/>
      <w:adjustRightInd w:val="0"/>
      <w:spacing w:line="240" w:lineRule="atLeast"/>
    </w:pPr>
    <w:rPr>
      <w:sz w:val="24"/>
      <w:szCs w:val="24"/>
      <w:lang w:val="en-US" w:eastAsia="en-US"/>
    </w:rPr>
  </w:style>
  <w:style w:type="character" w:customStyle="1" w:styleId="2">
    <w:name w:val="2"/>
    <w:basedOn w:val="Privzetapisavaodstavka"/>
    <w:rsid w:val="0049440A"/>
  </w:style>
  <w:style w:type="character" w:customStyle="1" w:styleId="3">
    <w:name w:val="3"/>
    <w:basedOn w:val="Privzetapisavaodstavka"/>
    <w:rsid w:val="0049440A"/>
  </w:style>
  <w:style w:type="character" w:customStyle="1" w:styleId="SourceCode">
    <w:name w:val="Source Code"/>
    <w:rsid w:val="0049440A"/>
    <w:rPr>
      <w:rFonts w:ascii="Courier New" w:hAnsi="Courier New" w:cs="Courier New"/>
      <w:sz w:val="12"/>
      <w:szCs w:val="12"/>
      <w:lang w:val="en-US"/>
    </w:rPr>
  </w:style>
  <w:style w:type="character" w:customStyle="1" w:styleId="Output">
    <w:name w:val="Output"/>
    <w:rsid w:val="0049440A"/>
    <w:rPr>
      <w:rFonts w:ascii="Courier New" w:hAnsi="Courier New" w:cs="Courier New"/>
      <w:sz w:val="10"/>
      <w:szCs w:val="10"/>
      <w:lang w:val="en-US"/>
    </w:rPr>
  </w:style>
  <w:style w:type="paragraph" w:styleId="Stvarnokazalo1">
    <w:name w:val="index 1"/>
    <w:basedOn w:val="Navaden"/>
    <w:next w:val="Navaden"/>
    <w:rsid w:val="0049440A"/>
    <w:pPr>
      <w:widowControl w:val="0"/>
      <w:tabs>
        <w:tab w:val="right" w:leader="dot" w:pos="9360"/>
      </w:tabs>
      <w:suppressAutoHyphens/>
      <w:autoSpaceDE w:val="0"/>
      <w:autoSpaceDN w:val="0"/>
      <w:adjustRightInd w:val="0"/>
      <w:spacing w:before="0" w:after="0" w:line="240" w:lineRule="atLeast"/>
      <w:ind w:left="720" w:hanging="720"/>
      <w:jc w:val="left"/>
    </w:pPr>
    <w:rPr>
      <w:rFonts w:ascii="CG Times" w:hAnsi="CG Times" w:cs="CG Times"/>
      <w:sz w:val="16"/>
      <w:szCs w:val="16"/>
      <w:lang w:val="en-US" w:eastAsia="en-US"/>
    </w:rPr>
  </w:style>
  <w:style w:type="paragraph" w:styleId="Stvarnokazalo2">
    <w:name w:val="index 2"/>
    <w:basedOn w:val="Navaden"/>
    <w:next w:val="Navaden"/>
    <w:rsid w:val="0049440A"/>
    <w:pPr>
      <w:widowControl w:val="0"/>
      <w:tabs>
        <w:tab w:val="right" w:leader="dot" w:pos="9360"/>
      </w:tabs>
      <w:suppressAutoHyphens/>
      <w:autoSpaceDE w:val="0"/>
      <w:autoSpaceDN w:val="0"/>
      <w:adjustRightInd w:val="0"/>
      <w:spacing w:before="0" w:after="0" w:line="240" w:lineRule="atLeast"/>
      <w:ind w:left="720"/>
      <w:jc w:val="left"/>
    </w:pPr>
    <w:rPr>
      <w:rFonts w:ascii="CG Times" w:hAnsi="CG Times" w:cs="CG Times"/>
      <w:sz w:val="16"/>
      <w:szCs w:val="16"/>
      <w:lang w:val="en-US" w:eastAsia="en-US"/>
    </w:rPr>
  </w:style>
  <w:style w:type="paragraph" w:styleId="Kazalovirov-naslov">
    <w:name w:val="toa heading"/>
    <w:basedOn w:val="Navaden"/>
    <w:next w:val="Navaden"/>
    <w:rsid w:val="0049440A"/>
    <w:pPr>
      <w:widowControl w:val="0"/>
      <w:tabs>
        <w:tab w:val="right" w:pos="9360"/>
      </w:tabs>
      <w:suppressAutoHyphens/>
      <w:autoSpaceDE w:val="0"/>
      <w:autoSpaceDN w:val="0"/>
      <w:adjustRightInd w:val="0"/>
      <w:spacing w:before="0" w:after="0" w:line="240" w:lineRule="atLeast"/>
      <w:jc w:val="left"/>
    </w:pPr>
    <w:rPr>
      <w:rFonts w:ascii="CG Times" w:hAnsi="CG Times" w:cs="CG Times"/>
      <w:sz w:val="16"/>
      <w:szCs w:val="16"/>
      <w:lang w:val="en-US" w:eastAsia="en-US"/>
    </w:rPr>
  </w:style>
  <w:style w:type="character" w:customStyle="1" w:styleId="EquationCaption">
    <w:name w:val="_Equation Caption"/>
    <w:rsid w:val="0049440A"/>
  </w:style>
  <w:style w:type="paragraph" w:customStyle="1" w:styleId="Revizija1">
    <w:name w:val="Revizija1"/>
    <w:hidden/>
    <w:uiPriority w:val="99"/>
    <w:semiHidden/>
    <w:rsid w:val="0049440A"/>
    <w:rPr>
      <w:rFonts w:ascii="Trebuchet MS" w:hAnsi="Trebuchet MS"/>
      <w:sz w:val="24"/>
      <w:szCs w:val="24"/>
      <w:lang w:eastAsia="de-DE"/>
    </w:rPr>
  </w:style>
  <w:style w:type="paragraph" w:customStyle="1" w:styleId="TOCNaslov">
    <w:name w:val="TOC Naslov"/>
    <w:basedOn w:val="Naslov1"/>
    <w:next w:val="Navaden"/>
    <w:uiPriority w:val="39"/>
    <w:qFormat/>
    <w:rsid w:val="009E43CD"/>
    <w:pPr>
      <w:keepLines/>
      <w:numPr>
        <w:numId w:val="0"/>
      </w:numPr>
      <w:spacing w:before="480" w:after="0" w:line="276" w:lineRule="auto"/>
      <w:jc w:val="left"/>
      <w:outlineLvl w:val="9"/>
    </w:pPr>
    <w:rPr>
      <w:rFonts w:ascii="Cambria" w:hAnsi="Cambria" w:cs="Times New Roman"/>
      <w:color w:val="365F91"/>
      <w:kern w:val="0"/>
      <w:lang w:val="hr-HR" w:eastAsia="en-US"/>
    </w:rPr>
  </w:style>
  <w:style w:type="numbering" w:customStyle="1" w:styleId="NoList1">
    <w:name w:val="No List1"/>
    <w:next w:val="Brezseznama"/>
    <w:semiHidden/>
    <w:rsid w:val="00457024"/>
  </w:style>
  <w:style w:type="table" w:customStyle="1" w:styleId="TableGrid1">
    <w:name w:val="Table Grid1"/>
    <w:basedOn w:val="Navadnatabela"/>
    <w:next w:val="Tabelamrea"/>
    <w:rsid w:val="00457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457024"/>
    <w:pPr>
      <w:spacing w:before="60" w:after="60"/>
      <w:ind w:right="-432"/>
      <w:jc w:val="right"/>
    </w:pPr>
    <w:rPr>
      <w:rFonts w:ascii="CopprplGoth Hv BT" w:hAnsi="CopprplGoth Hv BT"/>
      <w:b/>
      <w:sz w:val="60"/>
      <w:szCs w:val="20"/>
      <w:lang w:val="en-US" w:eastAsia="en-US"/>
    </w:rPr>
  </w:style>
  <w:style w:type="paragraph" w:styleId="Telobesedila-zamik">
    <w:name w:val="Body Text Indent"/>
    <w:basedOn w:val="Navaden"/>
    <w:link w:val="Telobesedila-zamikZnak"/>
    <w:rsid w:val="00457024"/>
    <w:pPr>
      <w:spacing w:before="60" w:after="60"/>
      <w:ind w:left="432"/>
      <w:jc w:val="left"/>
    </w:pPr>
    <w:rPr>
      <w:rFonts w:ascii="Arial" w:hAnsi="Arial"/>
      <w:sz w:val="22"/>
      <w:szCs w:val="20"/>
      <w:lang w:val="en-US" w:eastAsia="en-US"/>
    </w:rPr>
  </w:style>
  <w:style w:type="paragraph" w:styleId="Telobesedila3">
    <w:name w:val="Body Text 3"/>
    <w:basedOn w:val="Navaden"/>
    <w:rsid w:val="00457024"/>
    <w:pPr>
      <w:spacing w:before="60" w:after="60"/>
    </w:pPr>
    <w:rPr>
      <w:rFonts w:ascii="Trebuchet MS" w:hAnsi="Trebuchet MS"/>
      <w:sz w:val="22"/>
      <w:szCs w:val="20"/>
      <w:lang w:val="en-US" w:eastAsia="en-US"/>
    </w:rPr>
  </w:style>
  <w:style w:type="paragraph" w:styleId="Telobesedila-zamik2">
    <w:name w:val="Body Text Indent 2"/>
    <w:basedOn w:val="Navaden"/>
    <w:rsid w:val="00457024"/>
    <w:pPr>
      <w:spacing w:before="40" w:after="0"/>
      <w:ind w:left="284"/>
      <w:jc w:val="left"/>
    </w:pPr>
    <w:rPr>
      <w:rFonts w:ascii="Trebuchet MS" w:hAnsi="Trebuchet MS"/>
      <w:sz w:val="22"/>
      <w:szCs w:val="20"/>
      <w:lang w:val="en-US" w:eastAsia="en-US"/>
    </w:rPr>
  </w:style>
  <w:style w:type="character" w:customStyle="1" w:styleId="Naslov5Znak">
    <w:name w:val="Naslov 5 Znak"/>
    <w:aliases w:val="Char Char Char Znak, Char Char Char Znak"/>
    <w:link w:val="Naslov5"/>
    <w:rsid w:val="00C85C10"/>
    <w:rPr>
      <w:rFonts w:ascii="Verdana" w:hAnsi="Verdana"/>
      <w:bCs/>
      <w:i/>
      <w:iCs/>
      <w:caps/>
      <w:szCs w:val="24"/>
      <w:lang w:eastAsia="de-DE"/>
    </w:rPr>
  </w:style>
  <w:style w:type="character" w:customStyle="1" w:styleId="CharCharCharCharChar">
    <w:name w:val="Char Char Char Char Char"/>
    <w:rsid w:val="00457024"/>
    <w:rPr>
      <w:rFonts w:ascii="Arial" w:hAnsi="Arial"/>
      <w:b/>
      <w:sz w:val="22"/>
      <w:lang w:val="en-US" w:eastAsia="en-US" w:bidi="ar-SA"/>
    </w:rPr>
  </w:style>
  <w:style w:type="character" w:customStyle="1" w:styleId="Char">
    <w:name w:val="Char"/>
    <w:rsid w:val="00457024"/>
    <w:rPr>
      <w:rFonts w:ascii="Arial" w:eastAsia="Times New Roman" w:hAnsi="Arial" w:cs="Times New Roman"/>
      <w:b/>
      <w:szCs w:val="20"/>
      <w:lang w:val="en-US"/>
    </w:rPr>
  </w:style>
  <w:style w:type="paragraph" w:customStyle="1" w:styleId="Styleheading1notnumbered">
    <w:name w:val="Style heading 1 not numbered"/>
    <w:basedOn w:val="Navaden"/>
    <w:rsid w:val="00457024"/>
    <w:pPr>
      <w:keepNext/>
      <w:tabs>
        <w:tab w:val="left" w:pos="794"/>
      </w:tabs>
      <w:spacing w:before="240" w:after="160"/>
      <w:outlineLvl w:val="1"/>
    </w:pPr>
    <w:rPr>
      <w:rFonts w:ascii="Trebuchet MS" w:hAnsi="Trebuchet MS"/>
      <w:b/>
      <w:bCs/>
      <w:iCs/>
      <w:caps/>
      <w:sz w:val="28"/>
      <w:szCs w:val="28"/>
      <w:lang w:val="de-DE"/>
    </w:rPr>
  </w:style>
  <w:style w:type="paragraph" w:styleId="NaslovTOC">
    <w:name w:val="TOC Heading"/>
    <w:basedOn w:val="Naslov1"/>
    <w:next w:val="Navaden"/>
    <w:qFormat/>
    <w:rsid w:val="00457024"/>
    <w:pPr>
      <w:keepLines/>
      <w:numPr>
        <w:numId w:val="0"/>
      </w:numPr>
      <w:spacing w:before="480" w:after="0" w:line="276" w:lineRule="auto"/>
      <w:jc w:val="left"/>
      <w:outlineLvl w:val="9"/>
    </w:pPr>
    <w:rPr>
      <w:rFonts w:ascii="Cambria" w:hAnsi="Cambria" w:cs="Times New Roman"/>
      <w:caps w:val="0"/>
      <w:color w:val="365F91"/>
      <w:kern w:val="0"/>
      <w:lang w:val="hr-HR" w:eastAsia="en-US"/>
    </w:rPr>
  </w:style>
  <w:style w:type="numbering" w:customStyle="1" w:styleId="NoList11">
    <w:name w:val="No List11"/>
    <w:next w:val="Brezseznama"/>
    <w:semiHidden/>
    <w:rsid w:val="00457024"/>
  </w:style>
  <w:style w:type="table" w:customStyle="1" w:styleId="TableGrid11">
    <w:name w:val="Table Grid11"/>
    <w:basedOn w:val="Navadnatabela"/>
    <w:next w:val="Tabelamrea"/>
    <w:rsid w:val="00457024"/>
    <w:pPr>
      <w:spacing w:before="40" w:after="4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qFormat/>
    <w:rsid w:val="00457024"/>
    <w:rPr>
      <w:b/>
      <w:bCs/>
    </w:rPr>
  </w:style>
  <w:style w:type="character" w:customStyle="1" w:styleId="Sprotnaopomba-besediloZnak">
    <w:name w:val="Sprotna opomba - besedilo Znak"/>
    <w:link w:val="Sprotnaopomba-besedilo"/>
    <w:semiHidden/>
    <w:locked/>
    <w:rsid w:val="0042244E"/>
    <w:rPr>
      <w:rFonts w:ascii="Verdana" w:hAnsi="Verdana"/>
      <w:lang w:val="en-GB" w:eastAsia="de-DE" w:bidi="ar-SA"/>
    </w:rPr>
  </w:style>
  <w:style w:type="paragraph" w:customStyle="1" w:styleId="App">
    <w:name w:val="App"/>
    <w:basedOn w:val="Naslov7"/>
    <w:next w:val="Navaden"/>
    <w:autoRedefine/>
    <w:rsid w:val="001119BD"/>
    <w:pPr>
      <w:numPr>
        <w:numId w:val="1"/>
      </w:numPr>
      <w:ind w:left="1296"/>
    </w:pPr>
    <w:rPr>
      <w:b w:val="0"/>
    </w:rPr>
  </w:style>
  <w:style w:type="paragraph" w:customStyle="1" w:styleId="StyleHeading3Bold">
    <w:name w:val="Style Heading 3 + Bold"/>
    <w:basedOn w:val="Navaden"/>
    <w:rsid w:val="001119BD"/>
    <w:pPr>
      <w:numPr>
        <w:ilvl w:val="2"/>
        <w:numId w:val="5"/>
      </w:numPr>
    </w:pPr>
  </w:style>
  <w:style w:type="paragraph" w:styleId="Navadensplet">
    <w:name w:val="Normal (Web)"/>
    <w:basedOn w:val="Navaden"/>
    <w:rsid w:val="00D857C0"/>
    <w:pPr>
      <w:spacing w:before="100" w:beforeAutospacing="1" w:after="100" w:afterAutospacing="1"/>
      <w:jc w:val="left"/>
    </w:pPr>
    <w:rPr>
      <w:rFonts w:ascii="Times New Roman" w:hAnsi="Times New Roman"/>
      <w:sz w:val="24"/>
      <w:lang w:val="hr-HR" w:eastAsia="hr-HR"/>
    </w:rPr>
  </w:style>
  <w:style w:type="paragraph" w:styleId="Odstavekseznama">
    <w:name w:val="List Paragraph"/>
    <w:basedOn w:val="Navaden"/>
    <w:uiPriority w:val="34"/>
    <w:qFormat/>
    <w:rsid w:val="00C21B36"/>
    <w:pPr>
      <w:ind w:left="720"/>
      <w:contextualSpacing/>
    </w:pPr>
  </w:style>
  <w:style w:type="paragraph" w:styleId="Revizija">
    <w:name w:val="Revision"/>
    <w:hidden/>
    <w:uiPriority w:val="99"/>
    <w:semiHidden/>
    <w:rsid w:val="000D77BE"/>
    <w:rPr>
      <w:rFonts w:ascii="Verdana" w:hAnsi="Verdana"/>
      <w:szCs w:val="24"/>
      <w:lang w:eastAsia="de-DE"/>
    </w:rPr>
  </w:style>
  <w:style w:type="paragraph" w:customStyle="1" w:styleId="Style3">
    <w:name w:val="Style3"/>
    <w:basedOn w:val="Default"/>
    <w:next w:val="Default"/>
    <w:uiPriority w:val="99"/>
    <w:rsid w:val="00EB6D0A"/>
    <w:rPr>
      <w:color w:val="auto"/>
      <w:lang w:val="hr-HR" w:eastAsia="hr-HR"/>
    </w:rPr>
  </w:style>
  <w:style w:type="character" w:customStyle="1" w:styleId="st">
    <w:name w:val="st"/>
    <w:basedOn w:val="Privzetapisavaodstavka"/>
    <w:rsid w:val="00780DC6"/>
  </w:style>
  <w:style w:type="character" w:styleId="Poudarek">
    <w:name w:val="Emphasis"/>
    <w:uiPriority w:val="20"/>
    <w:qFormat/>
    <w:rsid w:val="00780DC6"/>
    <w:rPr>
      <w:i/>
      <w:iCs/>
    </w:rPr>
  </w:style>
  <w:style w:type="character" w:customStyle="1" w:styleId="Naslov4Znak">
    <w:name w:val="Naslov 4 Znak"/>
    <w:link w:val="Naslov4"/>
    <w:rsid w:val="002C0FE7"/>
    <w:rPr>
      <w:rFonts w:ascii="Verdana" w:hAnsi="Verdana"/>
      <w:b/>
      <w:bCs/>
      <w:i/>
      <w:szCs w:val="22"/>
      <w:lang w:eastAsia="de-DE"/>
    </w:rPr>
  </w:style>
  <w:style w:type="character" w:customStyle="1" w:styleId="hps">
    <w:name w:val="hps"/>
    <w:basedOn w:val="Privzetapisavaodstavka"/>
    <w:rsid w:val="00B605F4"/>
  </w:style>
  <w:style w:type="character" w:customStyle="1" w:styleId="Naslov3Znak">
    <w:name w:val="Naslov 3 Znak"/>
    <w:link w:val="Naslov3"/>
    <w:rsid w:val="0069134E"/>
    <w:rPr>
      <w:rFonts w:ascii="Verdana" w:hAnsi="Verdana"/>
      <w:b/>
      <w:bCs/>
      <w:szCs w:val="24"/>
      <w:lang w:eastAsia="de-DE"/>
    </w:rPr>
  </w:style>
  <w:style w:type="character" w:customStyle="1" w:styleId="Naslov2Znak">
    <w:name w:val="Naslov 2 Znak"/>
    <w:link w:val="Naslov2"/>
    <w:rsid w:val="00D76D70"/>
    <w:rPr>
      <w:rFonts w:ascii="Verdana" w:hAnsi="Verdana"/>
      <w:b/>
      <w:bCs/>
      <w:iCs/>
      <w:szCs w:val="28"/>
      <w:lang w:val="de-DE" w:eastAsia="de-DE"/>
    </w:rPr>
  </w:style>
  <w:style w:type="paragraph" w:customStyle="1" w:styleId="NumberedParagraph">
    <w:name w:val="Numbered Paragraph"/>
    <w:basedOn w:val="Navaden"/>
    <w:next w:val="Navaden"/>
    <w:link w:val="NumberedParagraphZnak"/>
    <w:qFormat/>
    <w:rsid w:val="006D5268"/>
    <w:pPr>
      <w:numPr>
        <w:numId w:val="7"/>
      </w:numPr>
      <w:spacing w:before="0" w:after="200" w:line="264" w:lineRule="auto"/>
      <w:ind w:left="709" w:hanging="709"/>
    </w:pPr>
    <w:rPr>
      <w:rFonts w:eastAsia="Calibri"/>
      <w:lang w:val="en-US" w:eastAsia="en-US"/>
    </w:rPr>
  </w:style>
  <w:style w:type="character" w:customStyle="1" w:styleId="NumberedParagraphZnak">
    <w:name w:val="Numbered Paragraph Znak"/>
    <w:link w:val="NumberedParagraph"/>
    <w:rsid w:val="006D5268"/>
    <w:rPr>
      <w:rFonts w:ascii="Verdana" w:eastAsia="Calibri" w:hAnsi="Verdana"/>
      <w:szCs w:val="24"/>
      <w:lang w:val="en-US" w:eastAsia="en-US"/>
    </w:rPr>
  </w:style>
  <w:style w:type="paragraph" w:customStyle="1" w:styleId="Odlomakpopisa1">
    <w:name w:val="Odlomak popisa1"/>
    <w:basedOn w:val="Navaden"/>
    <w:uiPriority w:val="34"/>
    <w:qFormat/>
    <w:rsid w:val="006E1838"/>
    <w:pPr>
      <w:spacing w:before="0" w:after="200" w:line="276" w:lineRule="auto"/>
      <w:ind w:left="720"/>
      <w:contextualSpacing/>
      <w:jc w:val="left"/>
    </w:pPr>
    <w:rPr>
      <w:szCs w:val="22"/>
      <w:lang w:val="en-US" w:eastAsia="en-US"/>
    </w:rPr>
  </w:style>
  <w:style w:type="paragraph" w:customStyle="1" w:styleId="TOCNaslov1">
    <w:name w:val="TOC Naslov1"/>
    <w:basedOn w:val="Naslov1"/>
    <w:next w:val="Navaden"/>
    <w:uiPriority w:val="39"/>
    <w:qFormat/>
    <w:rsid w:val="006E1838"/>
    <w:pPr>
      <w:keepLines/>
      <w:numPr>
        <w:numId w:val="0"/>
      </w:numPr>
      <w:spacing w:before="480" w:after="0" w:line="276" w:lineRule="auto"/>
      <w:jc w:val="left"/>
      <w:outlineLvl w:val="9"/>
    </w:pPr>
    <w:rPr>
      <w:rFonts w:ascii="Cambria" w:hAnsi="Cambria" w:cs="Times New Roman"/>
      <w:color w:val="365F91"/>
      <w:kern w:val="0"/>
      <w:lang w:val="hr-HR" w:eastAsia="en-US"/>
    </w:rPr>
  </w:style>
  <w:style w:type="paragraph" w:customStyle="1" w:styleId="Issuetitle">
    <w:name w:val="Issue title"/>
    <w:basedOn w:val="Navaden"/>
    <w:rsid w:val="006E1838"/>
    <w:pPr>
      <w:spacing w:before="240" w:after="40"/>
    </w:pPr>
    <w:rPr>
      <w:rFonts w:ascii="Times New Roman" w:hAnsi="Times New Roman"/>
      <w:b/>
      <w:bCs/>
      <w:snapToGrid w:val="0"/>
      <w:sz w:val="24"/>
      <w:lang w:eastAsia="en-US"/>
    </w:rPr>
  </w:style>
  <w:style w:type="paragraph" w:customStyle="1" w:styleId="Normalabbrev">
    <w:name w:val="Normal_abbrev"/>
    <w:basedOn w:val="Navaden"/>
    <w:autoRedefine/>
    <w:rsid w:val="006E1838"/>
    <w:pPr>
      <w:tabs>
        <w:tab w:val="left" w:pos="1259"/>
      </w:tabs>
      <w:spacing w:before="20" w:after="20"/>
    </w:pPr>
    <w:rPr>
      <w:rFonts w:ascii="Times New Roman" w:hAnsi="Times New Roman"/>
      <w:snapToGrid w:val="0"/>
      <w:sz w:val="22"/>
      <w:szCs w:val="22"/>
      <w:lang w:eastAsia="en-US"/>
    </w:rPr>
  </w:style>
  <w:style w:type="paragraph" w:styleId="Podnaslov">
    <w:name w:val="Subtitle"/>
    <w:basedOn w:val="Navaden"/>
    <w:link w:val="PodnaslovZnak"/>
    <w:qFormat/>
    <w:rsid w:val="006E1838"/>
    <w:pPr>
      <w:spacing w:before="0" w:after="0"/>
    </w:pPr>
    <w:rPr>
      <w:rFonts w:ascii="Times New Roman" w:hAnsi="Times New Roman"/>
      <w:sz w:val="22"/>
      <w:szCs w:val="22"/>
      <w:lang w:val="de-DE" w:eastAsia="en-US"/>
    </w:rPr>
  </w:style>
  <w:style w:type="character" w:customStyle="1" w:styleId="PodnaslovZnak">
    <w:name w:val="Podnaslov Znak"/>
    <w:link w:val="Podnaslov"/>
    <w:rsid w:val="006E1838"/>
    <w:rPr>
      <w:sz w:val="22"/>
      <w:szCs w:val="22"/>
      <w:lang w:val="de-DE" w:eastAsia="en-US"/>
    </w:rPr>
  </w:style>
  <w:style w:type="character" w:customStyle="1" w:styleId="CharCharCharCharChar0">
    <w:name w:val="Char Char Char Char Char"/>
    <w:rsid w:val="006E1838"/>
    <w:rPr>
      <w:rFonts w:ascii="Arial" w:hAnsi="Arial"/>
      <w:b/>
      <w:sz w:val="22"/>
      <w:lang w:val="en-US" w:eastAsia="en-US" w:bidi="ar-SA"/>
    </w:rPr>
  </w:style>
  <w:style w:type="character" w:customStyle="1" w:styleId="Char0">
    <w:name w:val="Char"/>
    <w:rsid w:val="006E1838"/>
    <w:rPr>
      <w:rFonts w:ascii="Arial" w:eastAsia="Times New Roman" w:hAnsi="Arial" w:cs="Times New Roman"/>
      <w:b/>
      <w:szCs w:val="20"/>
      <w:lang w:val="en-US"/>
    </w:rPr>
  </w:style>
  <w:style w:type="paragraph" w:customStyle="1" w:styleId="Bruno">
    <w:name w:val="Bruno"/>
    <w:basedOn w:val="Navaden"/>
    <w:rsid w:val="006E1838"/>
    <w:pPr>
      <w:spacing w:after="40"/>
      <w:ind w:left="142" w:right="136"/>
    </w:pPr>
    <w:rPr>
      <w:rFonts w:ascii="Times New Roman" w:hAnsi="Times New Roman"/>
      <w:i/>
      <w:spacing w:val="-3"/>
      <w:sz w:val="24"/>
      <w:szCs w:val="20"/>
      <w:lang w:eastAsia="en-US"/>
    </w:rPr>
  </w:style>
  <w:style w:type="paragraph" w:customStyle="1" w:styleId="Tableheading">
    <w:name w:val="Table heading"/>
    <w:basedOn w:val="Navaden"/>
    <w:rsid w:val="006E1838"/>
    <w:pPr>
      <w:spacing w:after="60"/>
    </w:pPr>
    <w:rPr>
      <w:rFonts w:ascii="Arial Narrow" w:hAnsi="Arial Narrow"/>
      <w:b/>
      <w:szCs w:val="20"/>
      <w:lang w:eastAsia="en-US"/>
    </w:rPr>
  </w:style>
  <w:style w:type="paragraph" w:customStyle="1" w:styleId="Tabletext0">
    <w:name w:val="Table text"/>
    <w:basedOn w:val="Navaden"/>
    <w:rsid w:val="006E1838"/>
    <w:pPr>
      <w:spacing w:before="20" w:after="20"/>
      <w:ind w:right="-57"/>
    </w:pPr>
    <w:rPr>
      <w:rFonts w:ascii="Arial Narrow" w:hAnsi="Arial Narrow"/>
      <w:szCs w:val="22"/>
      <w:lang w:eastAsia="en-US"/>
    </w:rPr>
  </w:style>
  <w:style w:type="character" w:customStyle="1" w:styleId="UnresolvedMention1">
    <w:name w:val="Unresolved Mention1"/>
    <w:basedOn w:val="Privzetapisavaodstavka"/>
    <w:uiPriority w:val="99"/>
    <w:semiHidden/>
    <w:unhideWhenUsed/>
    <w:rsid w:val="00ED1A59"/>
    <w:rPr>
      <w:color w:val="605E5C"/>
      <w:shd w:val="clear" w:color="auto" w:fill="E1DFDD"/>
    </w:rPr>
  </w:style>
  <w:style w:type="character" w:customStyle="1" w:styleId="TelobesedilaZnak">
    <w:name w:val="Telo besedila Znak"/>
    <w:basedOn w:val="Privzetapisavaodstavka"/>
    <w:link w:val="Telobesedila"/>
    <w:rsid w:val="00ED1A59"/>
    <w:rPr>
      <w:rFonts w:ascii="CopprplGoth Hv BT" w:hAnsi="CopprplGoth Hv BT"/>
      <w:b/>
      <w:sz w:val="60"/>
      <w:lang w:val="en-US" w:eastAsia="en-US"/>
    </w:rPr>
  </w:style>
  <w:style w:type="character" w:customStyle="1" w:styleId="Telobesedila-zamikZnak">
    <w:name w:val="Telo besedila - zamik Znak"/>
    <w:basedOn w:val="Privzetapisavaodstavka"/>
    <w:link w:val="Telobesedila-zamik"/>
    <w:rsid w:val="00ED1A59"/>
    <w:rPr>
      <w:rFonts w:ascii="Arial" w:hAnsi="Arial"/>
      <w:sz w:val="22"/>
      <w:lang w:val="en-US" w:eastAsia="en-US"/>
    </w:rPr>
  </w:style>
  <w:style w:type="character" w:customStyle="1" w:styleId="GlavaZnak">
    <w:name w:val="Glava Znak"/>
    <w:aliases w:val="Top Line Znak"/>
    <w:link w:val="Glava"/>
    <w:uiPriority w:val="99"/>
    <w:rsid w:val="00935B67"/>
    <w:rPr>
      <w:rFonts w:ascii="Verdana" w:hAnsi="Verdana"/>
      <w:szCs w:val="24"/>
      <w:lang w:val="ru-RU" w:eastAsia="en-US"/>
    </w:rPr>
  </w:style>
  <w:style w:type="character" w:customStyle="1" w:styleId="NogaZnak">
    <w:name w:val="Noga Znak"/>
    <w:link w:val="Noga"/>
    <w:uiPriority w:val="99"/>
    <w:rsid w:val="00935B67"/>
    <w:rPr>
      <w:rFonts w:ascii="Verdana" w:hAnsi="Verdana"/>
      <w:szCs w:val="24"/>
      <w:lang w:val="en-US" w:eastAsia="en-US"/>
    </w:rPr>
  </w:style>
  <w:style w:type="paragraph" w:customStyle="1" w:styleId="xmsonormal">
    <w:name w:val="x_msonormal"/>
    <w:basedOn w:val="Navaden"/>
    <w:rsid w:val="00935B67"/>
    <w:pPr>
      <w:spacing w:before="0" w:after="0"/>
      <w:jc w:val="left"/>
    </w:pPr>
    <w:rPr>
      <w:rFonts w:ascii="Calibri" w:eastAsiaTheme="minorHAnsi" w:hAnsi="Calibri" w:cs="Calibri"/>
      <w:sz w:val="22"/>
      <w:szCs w:val="22"/>
      <w:lang w:val="sl-SI" w:eastAsia="sl-SI"/>
    </w:rPr>
  </w:style>
  <w:style w:type="character" w:styleId="Besedilooznabemesta">
    <w:name w:val="Placeholder Text"/>
    <w:basedOn w:val="Privzetapisavaodstavka"/>
    <w:uiPriority w:val="99"/>
    <w:semiHidden/>
    <w:rsid w:val="000120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370">
      <w:bodyDiv w:val="1"/>
      <w:marLeft w:val="0"/>
      <w:marRight w:val="0"/>
      <w:marTop w:val="0"/>
      <w:marBottom w:val="0"/>
      <w:divBdr>
        <w:top w:val="none" w:sz="0" w:space="0" w:color="auto"/>
        <w:left w:val="none" w:sz="0" w:space="0" w:color="auto"/>
        <w:bottom w:val="none" w:sz="0" w:space="0" w:color="auto"/>
        <w:right w:val="none" w:sz="0" w:space="0" w:color="auto"/>
      </w:divBdr>
    </w:div>
    <w:div w:id="41054756">
      <w:bodyDiv w:val="1"/>
      <w:marLeft w:val="0"/>
      <w:marRight w:val="0"/>
      <w:marTop w:val="0"/>
      <w:marBottom w:val="0"/>
      <w:divBdr>
        <w:top w:val="none" w:sz="0" w:space="0" w:color="auto"/>
        <w:left w:val="none" w:sz="0" w:space="0" w:color="auto"/>
        <w:bottom w:val="none" w:sz="0" w:space="0" w:color="auto"/>
        <w:right w:val="none" w:sz="0" w:space="0" w:color="auto"/>
      </w:divBdr>
    </w:div>
    <w:div w:id="44910893">
      <w:bodyDiv w:val="1"/>
      <w:marLeft w:val="0"/>
      <w:marRight w:val="0"/>
      <w:marTop w:val="0"/>
      <w:marBottom w:val="0"/>
      <w:divBdr>
        <w:top w:val="none" w:sz="0" w:space="0" w:color="auto"/>
        <w:left w:val="none" w:sz="0" w:space="0" w:color="auto"/>
        <w:bottom w:val="none" w:sz="0" w:space="0" w:color="auto"/>
        <w:right w:val="none" w:sz="0" w:space="0" w:color="auto"/>
      </w:divBdr>
    </w:div>
    <w:div w:id="158278712">
      <w:bodyDiv w:val="1"/>
      <w:marLeft w:val="0"/>
      <w:marRight w:val="0"/>
      <w:marTop w:val="0"/>
      <w:marBottom w:val="0"/>
      <w:divBdr>
        <w:top w:val="none" w:sz="0" w:space="0" w:color="auto"/>
        <w:left w:val="none" w:sz="0" w:space="0" w:color="auto"/>
        <w:bottom w:val="none" w:sz="0" w:space="0" w:color="auto"/>
        <w:right w:val="none" w:sz="0" w:space="0" w:color="auto"/>
      </w:divBdr>
      <w:divsChild>
        <w:div w:id="225534212">
          <w:marLeft w:val="0"/>
          <w:marRight w:val="0"/>
          <w:marTop w:val="0"/>
          <w:marBottom w:val="0"/>
          <w:divBdr>
            <w:top w:val="none" w:sz="0" w:space="0" w:color="auto"/>
            <w:left w:val="none" w:sz="0" w:space="0" w:color="auto"/>
            <w:bottom w:val="none" w:sz="0" w:space="0" w:color="auto"/>
            <w:right w:val="none" w:sz="0" w:space="0" w:color="auto"/>
          </w:divBdr>
        </w:div>
        <w:div w:id="247814775">
          <w:marLeft w:val="0"/>
          <w:marRight w:val="0"/>
          <w:marTop w:val="0"/>
          <w:marBottom w:val="0"/>
          <w:divBdr>
            <w:top w:val="none" w:sz="0" w:space="0" w:color="auto"/>
            <w:left w:val="none" w:sz="0" w:space="0" w:color="auto"/>
            <w:bottom w:val="none" w:sz="0" w:space="0" w:color="auto"/>
            <w:right w:val="none" w:sz="0" w:space="0" w:color="auto"/>
          </w:divBdr>
        </w:div>
        <w:div w:id="291056743">
          <w:marLeft w:val="0"/>
          <w:marRight w:val="0"/>
          <w:marTop w:val="0"/>
          <w:marBottom w:val="0"/>
          <w:divBdr>
            <w:top w:val="none" w:sz="0" w:space="0" w:color="auto"/>
            <w:left w:val="none" w:sz="0" w:space="0" w:color="auto"/>
            <w:bottom w:val="none" w:sz="0" w:space="0" w:color="auto"/>
            <w:right w:val="none" w:sz="0" w:space="0" w:color="auto"/>
          </w:divBdr>
        </w:div>
        <w:div w:id="318845876">
          <w:marLeft w:val="0"/>
          <w:marRight w:val="0"/>
          <w:marTop w:val="0"/>
          <w:marBottom w:val="0"/>
          <w:divBdr>
            <w:top w:val="none" w:sz="0" w:space="0" w:color="auto"/>
            <w:left w:val="none" w:sz="0" w:space="0" w:color="auto"/>
            <w:bottom w:val="none" w:sz="0" w:space="0" w:color="auto"/>
            <w:right w:val="none" w:sz="0" w:space="0" w:color="auto"/>
          </w:divBdr>
        </w:div>
        <w:div w:id="478231058">
          <w:marLeft w:val="0"/>
          <w:marRight w:val="0"/>
          <w:marTop w:val="0"/>
          <w:marBottom w:val="0"/>
          <w:divBdr>
            <w:top w:val="none" w:sz="0" w:space="0" w:color="auto"/>
            <w:left w:val="none" w:sz="0" w:space="0" w:color="auto"/>
            <w:bottom w:val="none" w:sz="0" w:space="0" w:color="auto"/>
            <w:right w:val="none" w:sz="0" w:space="0" w:color="auto"/>
          </w:divBdr>
        </w:div>
        <w:div w:id="640889619">
          <w:marLeft w:val="0"/>
          <w:marRight w:val="0"/>
          <w:marTop w:val="0"/>
          <w:marBottom w:val="0"/>
          <w:divBdr>
            <w:top w:val="none" w:sz="0" w:space="0" w:color="auto"/>
            <w:left w:val="none" w:sz="0" w:space="0" w:color="auto"/>
            <w:bottom w:val="none" w:sz="0" w:space="0" w:color="auto"/>
            <w:right w:val="none" w:sz="0" w:space="0" w:color="auto"/>
          </w:divBdr>
        </w:div>
        <w:div w:id="657728123">
          <w:marLeft w:val="0"/>
          <w:marRight w:val="0"/>
          <w:marTop w:val="0"/>
          <w:marBottom w:val="0"/>
          <w:divBdr>
            <w:top w:val="none" w:sz="0" w:space="0" w:color="auto"/>
            <w:left w:val="none" w:sz="0" w:space="0" w:color="auto"/>
            <w:bottom w:val="none" w:sz="0" w:space="0" w:color="auto"/>
            <w:right w:val="none" w:sz="0" w:space="0" w:color="auto"/>
          </w:divBdr>
        </w:div>
        <w:div w:id="717751627">
          <w:marLeft w:val="0"/>
          <w:marRight w:val="0"/>
          <w:marTop w:val="0"/>
          <w:marBottom w:val="0"/>
          <w:divBdr>
            <w:top w:val="none" w:sz="0" w:space="0" w:color="auto"/>
            <w:left w:val="none" w:sz="0" w:space="0" w:color="auto"/>
            <w:bottom w:val="none" w:sz="0" w:space="0" w:color="auto"/>
            <w:right w:val="none" w:sz="0" w:space="0" w:color="auto"/>
          </w:divBdr>
        </w:div>
        <w:div w:id="1092121575">
          <w:marLeft w:val="0"/>
          <w:marRight w:val="0"/>
          <w:marTop w:val="0"/>
          <w:marBottom w:val="0"/>
          <w:divBdr>
            <w:top w:val="none" w:sz="0" w:space="0" w:color="auto"/>
            <w:left w:val="none" w:sz="0" w:space="0" w:color="auto"/>
            <w:bottom w:val="none" w:sz="0" w:space="0" w:color="auto"/>
            <w:right w:val="none" w:sz="0" w:space="0" w:color="auto"/>
          </w:divBdr>
        </w:div>
        <w:div w:id="1133060020">
          <w:marLeft w:val="0"/>
          <w:marRight w:val="0"/>
          <w:marTop w:val="0"/>
          <w:marBottom w:val="0"/>
          <w:divBdr>
            <w:top w:val="none" w:sz="0" w:space="0" w:color="auto"/>
            <w:left w:val="none" w:sz="0" w:space="0" w:color="auto"/>
            <w:bottom w:val="none" w:sz="0" w:space="0" w:color="auto"/>
            <w:right w:val="none" w:sz="0" w:space="0" w:color="auto"/>
          </w:divBdr>
        </w:div>
        <w:div w:id="1270895005">
          <w:marLeft w:val="0"/>
          <w:marRight w:val="0"/>
          <w:marTop w:val="0"/>
          <w:marBottom w:val="0"/>
          <w:divBdr>
            <w:top w:val="none" w:sz="0" w:space="0" w:color="auto"/>
            <w:left w:val="none" w:sz="0" w:space="0" w:color="auto"/>
            <w:bottom w:val="none" w:sz="0" w:space="0" w:color="auto"/>
            <w:right w:val="none" w:sz="0" w:space="0" w:color="auto"/>
          </w:divBdr>
        </w:div>
        <w:div w:id="1385326546">
          <w:marLeft w:val="0"/>
          <w:marRight w:val="0"/>
          <w:marTop w:val="0"/>
          <w:marBottom w:val="0"/>
          <w:divBdr>
            <w:top w:val="none" w:sz="0" w:space="0" w:color="auto"/>
            <w:left w:val="none" w:sz="0" w:space="0" w:color="auto"/>
            <w:bottom w:val="none" w:sz="0" w:space="0" w:color="auto"/>
            <w:right w:val="none" w:sz="0" w:space="0" w:color="auto"/>
          </w:divBdr>
        </w:div>
        <w:div w:id="1473868551">
          <w:marLeft w:val="0"/>
          <w:marRight w:val="0"/>
          <w:marTop w:val="0"/>
          <w:marBottom w:val="0"/>
          <w:divBdr>
            <w:top w:val="none" w:sz="0" w:space="0" w:color="auto"/>
            <w:left w:val="none" w:sz="0" w:space="0" w:color="auto"/>
            <w:bottom w:val="none" w:sz="0" w:space="0" w:color="auto"/>
            <w:right w:val="none" w:sz="0" w:space="0" w:color="auto"/>
          </w:divBdr>
        </w:div>
        <w:div w:id="1658339567">
          <w:marLeft w:val="0"/>
          <w:marRight w:val="0"/>
          <w:marTop w:val="0"/>
          <w:marBottom w:val="0"/>
          <w:divBdr>
            <w:top w:val="none" w:sz="0" w:space="0" w:color="auto"/>
            <w:left w:val="none" w:sz="0" w:space="0" w:color="auto"/>
            <w:bottom w:val="none" w:sz="0" w:space="0" w:color="auto"/>
            <w:right w:val="none" w:sz="0" w:space="0" w:color="auto"/>
          </w:divBdr>
        </w:div>
        <w:div w:id="1761490606">
          <w:marLeft w:val="0"/>
          <w:marRight w:val="0"/>
          <w:marTop w:val="0"/>
          <w:marBottom w:val="0"/>
          <w:divBdr>
            <w:top w:val="none" w:sz="0" w:space="0" w:color="auto"/>
            <w:left w:val="none" w:sz="0" w:space="0" w:color="auto"/>
            <w:bottom w:val="none" w:sz="0" w:space="0" w:color="auto"/>
            <w:right w:val="none" w:sz="0" w:space="0" w:color="auto"/>
          </w:divBdr>
        </w:div>
        <w:div w:id="1781605774">
          <w:marLeft w:val="0"/>
          <w:marRight w:val="0"/>
          <w:marTop w:val="0"/>
          <w:marBottom w:val="0"/>
          <w:divBdr>
            <w:top w:val="none" w:sz="0" w:space="0" w:color="auto"/>
            <w:left w:val="none" w:sz="0" w:space="0" w:color="auto"/>
            <w:bottom w:val="none" w:sz="0" w:space="0" w:color="auto"/>
            <w:right w:val="none" w:sz="0" w:space="0" w:color="auto"/>
          </w:divBdr>
        </w:div>
        <w:div w:id="1891961304">
          <w:marLeft w:val="0"/>
          <w:marRight w:val="0"/>
          <w:marTop w:val="0"/>
          <w:marBottom w:val="0"/>
          <w:divBdr>
            <w:top w:val="none" w:sz="0" w:space="0" w:color="auto"/>
            <w:left w:val="none" w:sz="0" w:space="0" w:color="auto"/>
            <w:bottom w:val="none" w:sz="0" w:space="0" w:color="auto"/>
            <w:right w:val="none" w:sz="0" w:space="0" w:color="auto"/>
          </w:divBdr>
        </w:div>
      </w:divsChild>
    </w:div>
    <w:div w:id="175774744">
      <w:bodyDiv w:val="1"/>
      <w:marLeft w:val="0"/>
      <w:marRight w:val="0"/>
      <w:marTop w:val="0"/>
      <w:marBottom w:val="0"/>
      <w:divBdr>
        <w:top w:val="none" w:sz="0" w:space="0" w:color="auto"/>
        <w:left w:val="none" w:sz="0" w:space="0" w:color="auto"/>
        <w:bottom w:val="none" w:sz="0" w:space="0" w:color="auto"/>
        <w:right w:val="none" w:sz="0" w:space="0" w:color="auto"/>
      </w:divBdr>
    </w:div>
    <w:div w:id="195388210">
      <w:bodyDiv w:val="1"/>
      <w:marLeft w:val="0"/>
      <w:marRight w:val="0"/>
      <w:marTop w:val="0"/>
      <w:marBottom w:val="0"/>
      <w:divBdr>
        <w:top w:val="none" w:sz="0" w:space="0" w:color="auto"/>
        <w:left w:val="none" w:sz="0" w:space="0" w:color="auto"/>
        <w:bottom w:val="none" w:sz="0" w:space="0" w:color="auto"/>
        <w:right w:val="none" w:sz="0" w:space="0" w:color="auto"/>
      </w:divBdr>
      <w:divsChild>
        <w:div w:id="393160907">
          <w:marLeft w:val="0"/>
          <w:marRight w:val="0"/>
          <w:marTop w:val="0"/>
          <w:marBottom w:val="0"/>
          <w:divBdr>
            <w:top w:val="none" w:sz="0" w:space="0" w:color="auto"/>
            <w:left w:val="none" w:sz="0" w:space="0" w:color="auto"/>
            <w:bottom w:val="none" w:sz="0" w:space="0" w:color="auto"/>
            <w:right w:val="none" w:sz="0" w:space="0" w:color="auto"/>
          </w:divBdr>
          <w:divsChild>
            <w:div w:id="15647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9403">
      <w:bodyDiv w:val="1"/>
      <w:marLeft w:val="0"/>
      <w:marRight w:val="0"/>
      <w:marTop w:val="0"/>
      <w:marBottom w:val="0"/>
      <w:divBdr>
        <w:top w:val="none" w:sz="0" w:space="0" w:color="auto"/>
        <w:left w:val="none" w:sz="0" w:space="0" w:color="auto"/>
        <w:bottom w:val="none" w:sz="0" w:space="0" w:color="auto"/>
        <w:right w:val="none" w:sz="0" w:space="0" w:color="auto"/>
      </w:divBdr>
    </w:div>
    <w:div w:id="247277179">
      <w:bodyDiv w:val="1"/>
      <w:marLeft w:val="0"/>
      <w:marRight w:val="0"/>
      <w:marTop w:val="0"/>
      <w:marBottom w:val="0"/>
      <w:divBdr>
        <w:top w:val="none" w:sz="0" w:space="0" w:color="auto"/>
        <w:left w:val="none" w:sz="0" w:space="0" w:color="auto"/>
        <w:bottom w:val="none" w:sz="0" w:space="0" w:color="auto"/>
        <w:right w:val="none" w:sz="0" w:space="0" w:color="auto"/>
      </w:divBdr>
    </w:div>
    <w:div w:id="249702493">
      <w:bodyDiv w:val="1"/>
      <w:marLeft w:val="0"/>
      <w:marRight w:val="0"/>
      <w:marTop w:val="0"/>
      <w:marBottom w:val="0"/>
      <w:divBdr>
        <w:top w:val="none" w:sz="0" w:space="0" w:color="auto"/>
        <w:left w:val="none" w:sz="0" w:space="0" w:color="auto"/>
        <w:bottom w:val="none" w:sz="0" w:space="0" w:color="auto"/>
        <w:right w:val="none" w:sz="0" w:space="0" w:color="auto"/>
      </w:divBdr>
    </w:div>
    <w:div w:id="274676961">
      <w:bodyDiv w:val="1"/>
      <w:marLeft w:val="0"/>
      <w:marRight w:val="0"/>
      <w:marTop w:val="0"/>
      <w:marBottom w:val="0"/>
      <w:divBdr>
        <w:top w:val="none" w:sz="0" w:space="0" w:color="auto"/>
        <w:left w:val="none" w:sz="0" w:space="0" w:color="auto"/>
        <w:bottom w:val="none" w:sz="0" w:space="0" w:color="auto"/>
        <w:right w:val="none" w:sz="0" w:space="0" w:color="auto"/>
      </w:divBdr>
    </w:div>
    <w:div w:id="274677093">
      <w:bodyDiv w:val="1"/>
      <w:marLeft w:val="0"/>
      <w:marRight w:val="0"/>
      <w:marTop w:val="0"/>
      <w:marBottom w:val="0"/>
      <w:divBdr>
        <w:top w:val="none" w:sz="0" w:space="0" w:color="auto"/>
        <w:left w:val="none" w:sz="0" w:space="0" w:color="auto"/>
        <w:bottom w:val="none" w:sz="0" w:space="0" w:color="auto"/>
        <w:right w:val="none" w:sz="0" w:space="0" w:color="auto"/>
      </w:divBdr>
    </w:div>
    <w:div w:id="280647260">
      <w:bodyDiv w:val="1"/>
      <w:marLeft w:val="0"/>
      <w:marRight w:val="0"/>
      <w:marTop w:val="0"/>
      <w:marBottom w:val="0"/>
      <w:divBdr>
        <w:top w:val="none" w:sz="0" w:space="0" w:color="auto"/>
        <w:left w:val="none" w:sz="0" w:space="0" w:color="auto"/>
        <w:bottom w:val="none" w:sz="0" w:space="0" w:color="auto"/>
        <w:right w:val="none" w:sz="0" w:space="0" w:color="auto"/>
      </w:divBdr>
    </w:div>
    <w:div w:id="282688063">
      <w:bodyDiv w:val="1"/>
      <w:marLeft w:val="0"/>
      <w:marRight w:val="0"/>
      <w:marTop w:val="0"/>
      <w:marBottom w:val="0"/>
      <w:divBdr>
        <w:top w:val="none" w:sz="0" w:space="0" w:color="auto"/>
        <w:left w:val="none" w:sz="0" w:space="0" w:color="auto"/>
        <w:bottom w:val="none" w:sz="0" w:space="0" w:color="auto"/>
        <w:right w:val="none" w:sz="0" w:space="0" w:color="auto"/>
      </w:divBdr>
    </w:div>
    <w:div w:id="376854569">
      <w:bodyDiv w:val="1"/>
      <w:marLeft w:val="0"/>
      <w:marRight w:val="0"/>
      <w:marTop w:val="0"/>
      <w:marBottom w:val="0"/>
      <w:divBdr>
        <w:top w:val="none" w:sz="0" w:space="0" w:color="auto"/>
        <w:left w:val="none" w:sz="0" w:space="0" w:color="auto"/>
        <w:bottom w:val="none" w:sz="0" w:space="0" w:color="auto"/>
        <w:right w:val="none" w:sz="0" w:space="0" w:color="auto"/>
      </w:divBdr>
    </w:div>
    <w:div w:id="398599728">
      <w:bodyDiv w:val="1"/>
      <w:marLeft w:val="0"/>
      <w:marRight w:val="0"/>
      <w:marTop w:val="0"/>
      <w:marBottom w:val="0"/>
      <w:divBdr>
        <w:top w:val="none" w:sz="0" w:space="0" w:color="auto"/>
        <w:left w:val="none" w:sz="0" w:space="0" w:color="auto"/>
        <w:bottom w:val="none" w:sz="0" w:space="0" w:color="auto"/>
        <w:right w:val="none" w:sz="0" w:space="0" w:color="auto"/>
      </w:divBdr>
    </w:div>
    <w:div w:id="448865579">
      <w:bodyDiv w:val="1"/>
      <w:marLeft w:val="0"/>
      <w:marRight w:val="0"/>
      <w:marTop w:val="0"/>
      <w:marBottom w:val="0"/>
      <w:divBdr>
        <w:top w:val="none" w:sz="0" w:space="0" w:color="auto"/>
        <w:left w:val="none" w:sz="0" w:space="0" w:color="auto"/>
        <w:bottom w:val="none" w:sz="0" w:space="0" w:color="auto"/>
        <w:right w:val="none" w:sz="0" w:space="0" w:color="auto"/>
      </w:divBdr>
    </w:div>
    <w:div w:id="457575363">
      <w:bodyDiv w:val="1"/>
      <w:marLeft w:val="0"/>
      <w:marRight w:val="0"/>
      <w:marTop w:val="0"/>
      <w:marBottom w:val="0"/>
      <w:divBdr>
        <w:top w:val="none" w:sz="0" w:space="0" w:color="auto"/>
        <w:left w:val="none" w:sz="0" w:space="0" w:color="auto"/>
        <w:bottom w:val="none" w:sz="0" w:space="0" w:color="auto"/>
        <w:right w:val="none" w:sz="0" w:space="0" w:color="auto"/>
      </w:divBdr>
    </w:div>
    <w:div w:id="505825843">
      <w:bodyDiv w:val="1"/>
      <w:marLeft w:val="0"/>
      <w:marRight w:val="0"/>
      <w:marTop w:val="0"/>
      <w:marBottom w:val="0"/>
      <w:divBdr>
        <w:top w:val="none" w:sz="0" w:space="0" w:color="auto"/>
        <w:left w:val="none" w:sz="0" w:space="0" w:color="auto"/>
        <w:bottom w:val="none" w:sz="0" w:space="0" w:color="auto"/>
        <w:right w:val="none" w:sz="0" w:space="0" w:color="auto"/>
      </w:divBdr>
    </w:div>
    <w:div w:id="604574583">
      <w:bodyDiv w:val="1"/>
      <w:marLeft w:val="0"/>
      <w:marRight w:val="0"/>
      <w:marTop w:val="0"/>
      <w:marBottom w:val="0"/>
      <w:divBdr>
        <w:top w:val="none" w:sz="0" w:space="0" w:color="auto"/>
        <w:left w:val="none" w:sz="0" w:space="0" w:color="auto"/>
        <w:bottom w:val="none" w:sz="0" w:space="0" w:color="auto"/>
        <w:right w:val="none" w:sz="0" w:space="0" w:color="auto"/>
      </w:divBdr>
    </w:div>
    <w:div w:id="606087458">
      <w:bodyDiv w:val="1"/>
      <w:marLeft w:val="0"/>
      <w:marRight w:val="0"/>
      <w:marTop w:val="0"/>
      <w:marBottom w:val="0"/>
      <w:divBdr>
        <w:top w:val="none" w:sz="0" w:space="0" w:color="auto"/>
        <w:left w:val="none" w:sz="0" w:space="0" w:color="auto"/>
        <w:bottom w:val="none" w:sz="0" w:space="0" w:color="auto"/>
        <w:right w:val="none" w:sz="0" w:space="0" w:color="auto"/>
      </w:divBdr>
    </w:div>
    <w:div w:id="607010113">
      <w:bodyDiv w:val="1"/>
      <w:marLeft w:val="0"/>
      <w:marRight w:val="0"/>
      <w:marTop w:val="0"/>
      <w:marBottom w:val="0"/>
      <w:divBdr>
        <w:top w:val="none" w:sz="0" w:space="0" w:color="auto"/>
        <w:left w:val="none" w:sz="0" w:space="0" w:color="auto"/>
        <w:bottom w:val="none" w:sz="0" w:space="0" w:color="auto"/>
        <w:right w:val="none" w:sz="0" w:space="0" w:color="auto"/>
      </w:divBdr>
      <w:divsChild>
        <w:div w:id="1487893156">
          <w:marLeft w:val="0"/>
          <w:marRight w:val="0"/>
          <w:marTop w:val="0"/>
          <w:marBottom w:val="0"/>
          <w:divBdr>
            <w:top w:val="none" w:sz="0" w:space="0" w:color="auto"/>
            <w:left w:val="none" w:sz="0" w:space="0" w:color="auto"/>
            <w:bottom w:val="none" w:sz="0" w:space="0" w:color="auto"/>
            <w:right w:val="none" w:sz="0" w:space="0" w:color="auto"/>
          </w:divBdr>
        </w:div>
        <w:div w:id="1658143801">
          <w:marLeft w:val="0"/>
          <w:marRight w:val="0"/>
          <w:marTop w:val="0"/>
          <w:marBottom w:val="0"/>
          <w:divBdr>
            <w:top w:val="none" w:sz="0" w:space="0" w:color="auto"/>
            <w:left w:val="none" w:sz="0" w:space="0" w:color="auto"/>
            <w:bottom w:val="none" w:sz="0" w:space="0" w:color="auto"/>
            <w:right w:val="none" w:sz="0" w:space="0" w:color="auto"/>
          </w:divBdr>
        </w:div>
      </w:divsChild>
    </w:div>
    <w:div w:id="615798558">
      <w:bodyDiv w:val="1"/>
      <w:marLeft w:val="0"/>
      <w:marRight w:val="0"/>
      <w:marTop w:val="0"/>
      <w:marBottom w:val="0"/>
      <w:divBdr>
        <w:top w:val="none" w:sz="0" w:space="0" w:color="auto"/>
        <w:left w:val="none" w:sz="0" w:space="0" w:color="auto"/>
        <w:bottom w:val="none" w:sz="0" w:space="0" w:color="auto"/>
        <w:right w:val="none" w:sz="0" w:space="0" w:color="auto"/>
      </w:divBdr>
    </w:div>
    <w:div w:id="672688589">
      <w:bodyDiv w:val="1"/>
      <w:marLeft w:val="0"/>
      <w:marRight w:val="0"/>
      <w:marTop w:val="0"/>
      <w:marBottom w:val="0"/>
      <w:divBdr>
        <w:top w:val="none" w:sz="0" w:space="0" w:color="auto"/>
        <w:left w:val="none" w:sz="0" w:space="0" w:color="auto"/>
        <w:bottom w:val="none" w:sz="0" w:space="0" w:color="auto"/>
        <w:right w:val="none" w:sz="0" w:space="0" w:color="auto"/>
      </w:divBdr>
    </w:div>
    <w:div w:id="722094411">
      <w:bodyDiv w:val="1"/>
      <w:marLeft w:val="0"/>
      <w:marRight w:val="0"/>
      <w:marTop w:val="0"/>
      <w:marBottom w:val="0"/>
      <w:divBdr>
        <w:top w:val="none" w:sz="0" w:space="0" w:color="auto"/>
        <w:left w:val="none" w:sz="0" w:space="0" w:color="auto"/>
        <w:bottom w:val="none" w:sz="0" w:space="0" w:color="auto"/>
        <w:right w:val="none" w:sz="0" w:space="0" w:color="auto"/>
      </w:divBdr>
    </w:div>
    <w:div w:id="780688472">
      <w:bodyDiv w:val="1"/>
      <w:marLeft w:val="0"/>
      <w:marRight w:val="0"/>
      <w:marTop w:val="0"/>
      <w:marBottom w:val="0"/>
      <w:divBdr>
        <w:top w:val="none" w:sz="0" w:space="0" w:color="auto"/>
        <w:left w:val="none" w:sz="0" w:space="0" w:color="auto"/>
        <w:bottom w:val="none" w:sz="0" w:space="0" w:color="auto"/>
        <w:right w:val="none" w:sz="0" w:space="0" w:color="auto"/>
      </w:divBdr>
    </w:div>
    <w:div w:id="827214133">
      <w:bodyDiv w:val="1"/>
      <w:marLeft w:val="0"/>
      <w:marRight w:val="0"/>
      <w:marTop w:val="0"/>
      <w:marBottom w:val="0"/>
      <w:divBdr>
        <w:top w:val="none" w:sz="0" w:space="0" w:color="auto"/>
        <w:left w:val="none" w:sz="0" w:space="0" w:color="auto"/>
        <w:bottom w:val="none" w:sz="0" w:space="0" w:color="auto"/>
        <w:right w:val="none" w:sz="0" w:space="0" w:color="auto"/>
      </w:divBdr>
    </w:div>
    <w:div w:id="867304510">
      <w:bodyDiv w:val="1"/>
      <w:marLeft w:val="0"/>
      <w:marRight w:val="0"/>
      <w:marTop w:val="0"/>
      <w:marBottom w:val="0"/>
      <w:divBdr>
        <w:top w:val="none" w:sz="0" w:space="0" w:color="auto"/>
        <w:left w:val="none" w:sz="0" w:space="0" w:color="auto"/>
        <w:bottom w:val="none" w:sz="0" w:space="0" w:color="auto"/>
        <w:right w:val="none" w:sz="0" w:space="0" w:color="auto"/>
      </w:divBdr>
    </w:div>
    <w:div w:id="899445159">
      <w:bodyDiv w:val="1"/>
      <w:marLeft w:val="0"/>
      <w:marRight w:val="0"/>
      <w:marTop w:val="0"/>
      <w:marBottom w:val="0"/>
      <w:divBdr>
        <w:top w:val="none" w:sz="0" w:space="0" w:color="auto"/>
        <w:left w:val="none" w:sz="0" w:space="0" w:color="auto"/>
        <w:bottom w:val="none" w:sz="0" w:space="0" w:color="auto"/>
        <w:right w:val="none" w:sz="0" w:space="0" w:color="auto"/>
      </w:divBdr>
    </w:div>
    <w:div w:id="931813321">
      <w:bodyDiv w:val="1"/>
      <w:marLeft w:val="0"/>
      <w:marRight w:val="0"/>
      <w:marTop w:val="0"/>
      <w:marBottom w:val="0"/>
      <w:divBdr>
        <w:top w:val="none" w:sz="0" w:space="0" w:color="auto"/>
        <w:left w:val="none" w:sz="0" w:space="0" w:color="auto"/>
        <w:bottom w:val="none" w:sz="0" w:space="0" w:color="auto"/>
        <w:right w:val="none" w:sz="0" w:space="0" w:color="auto"/>
      </w:divBdr>
    </w:div>
    <w:div w:id="996036802">
      <w:bodyDiv w:val="1"/>
      <w:marLeft w:val="0"/>
      <w:marRight w:val="0"/>
      <w:marTop w:val="0"/>
      <w:marBottom w:val="0"/>
      <w:divBdr>
        <w:top w:val="none" w:sz="0" w:space="0" w:color="auto"/>
        <w:left w:val="none" w:sz="0" w:space="0" w:color="auto"/>
        <w:bottom w:val="none" w:sz="0" w:space="0" w:color="auto"/>
        <w:right w:val="none" w:sz="0" w:space="0" w:color="auto"/>
      </w:divBdr>
    </w:div>
    <w:div w:id="1042942782">
      <w:bodyDiv w:val="1"/>
      <w:marLeft w:val="0"/>
      <w:marRight w:val="0"/>
      <w:marTop w:val="0"/>
      <w:marBottom w:val="0"/>
      <w:divBdr>
        <w:top w:val="none" w:sz="0" w:space="0" w:color="auto"/>
        <w:left w:val="none" w:sz="0" w:space="0" w:color="auto"/>
        <w:bottom w:val="none" w:sz="0" w:space="0" w:color="auto"/>
        <w:right w:val="none" w:sz="0" w:space="0" w:color="auto"/>
      </w:divBdr>
    </w:div>
    <w:div w:id="1061907615">
      <w:bodyDiv w:val="1"/>
      <w:marLeft w:val="0"/>
      <w:marRight w:val="0"/>
      <w:marTop w:val="0"/>
      <w:marBottom w:val="0"/>
      <w:divBdr>
        <w:top w:val="none" w:sz="0" w:space="0" w:color="auto"/>
        <w:left w:val="none" w:sz="0" w:space="0" w:color="auto"/>
        <w:bottom w:val="none" w:sz="0" w:space="0" w:color="auto"/>
        <w:right w:val="none" w:sz="0" w:space="0" w:color="auto"/>
      </w:divBdr>
    </w:div>
    <w:div w:id="1068963641">
      <w:bodyDiv w:val="1"/>
      <w:marLeft w:val="0"/>
      <w:marRight w:val="0"/>
      <w:marTop w:val="0"/>
      <w:marBottom w:val="0"/>
      <w:divBdr>
        <w:top w:val="none" w:sz="0" w:space="0" w:color="auto"/>
        <w:left w:val="none" w:sz="0" w:space="0" w:color="auto"/>
        <w:bottom w:val="none" w:sz="0" w:space="0" w:color="auto"/>
        <w:right w:val="none" w:sz="0" w:space="0" w:color="auto"/>
      </w:divBdr>
    </w:div>
    <w:div w:id="1085802084">
      <w:bodyDiv w:val="1"/>
      <w:marLeft w:val="0"/>
      <w:marRight w:val="0"/>
      <w:marTop w:val="0"/>
      <w:marBottom w:val="0"/>
      <w:divBdr>
        <w:top w:val="none" w:sz="0" w:space="0" w:color="auto"/>
        <w:left w:val="none" w:sz="0" w:space="0" w:color="auto"/>
        <w:bottom w:val="none" w:sz="0" w:space="0" w:color="auto"/>
        <w:right w:val="none" w:sz="0" w:space="0" w:color="auto"/>
      </w:divBdr>
    </w:div>
    <w:div w:id="1088427861">
      <w:bodyDiv w:val="1"/>
      <w:marLeft w:val="0"/>
      <w:marRight w:val="0"/>
      <w:marTop w:val="0"/>
      <w:marBottom w:val="0"/>
      <w:divBdr>
        <w:top w:val="none" w:sz="0" w:space="0" w:color="auto"/>
        <w:left w:val="none" w:sz="0" w:space="0" w:color="auto"/>
        <w:bottom w:val="none" w:sz="0" w:space="0" w:color="auto"/>
        <w:right w:val="none" w:sz="0" w:space="0" w:color="auto"/>
      </w:divBdr>
    </w:div>
    <w:div w:id="1143892728">
      <w:bodyDiv w:val="1"/>
      <w:marLeft w:val="0"/>
      <w:marRight w:val="0"/>
      <w:marTop w:val="0"/>
      <w:marBottom w:val="0"/>
      <w:divBdr>
        <w:top w:val="none" w:sz="0" w:space="0" w:color="auto"/>
        <w:left w:val="none" w:sz="0" w:space="0" w:color="auto"/>
        <w:bottom w:val="none" w:sz="0" w:space="0" w:color="auto"/>
        <w:right w:val="none" w:sz="0" w:space="0" w:color="auto"/>
      </w:divBdr>
    </w:div>
    <w:div w:id="1145583752">
      <w:bodyDiv w:val="1"/>
      <w:marLeft w:val="0"/>
      <w:marRight w:val="0"/>
      <w:marTop w:val="0"/>
      <w:marBottom w:val="0"/>
      <w:divBdr>
        <w:top w:val="none" w:sz="0" w:space="0" w:color="auto"/>
        <w:left w:val="none" w:sz="0" w:space="0" w:color="auto"/>
        <w:bottom w:val="none" w:sz="0" w:space="0" w:color="auto"/>
        <w:right w:val="none" w:sz="0" w:space="0" w:color="auto"/>
      </w:divBdr>
    </w:div>
    <w:div w:id="1146626339">
      <w:bodyDiv w:val="1"/>
      <w:marLeft w:val="0"/>
      <w:marRight w:val="0"/>
      <w:marTop w:val="0"/>
      <w:marBottom w:val="0"/>
      <w:divBdr>
        <w:top w:val="none" w:sz="0" w:space="0" w:color="auto"/>
        <w:left w:val="none" w:sz="0" w:space="0" w:color="auto"/>
        <w:bottom w:val="none" w:sz="0" w:space="0" w:color="auto"/>
        <w:right w:val="none" w:sz="0" w:space="0" w:color="auto"/>
      </w:divBdr>
    </w:div>
    <w:div w:id="1166745496">
      <w:bodyDiv w:val="1"/>
      <w:marLeft w:val="0"/>
      <w:marRight w:val="0"/>
      <w:marTop w:val="0"/>
      <w:marBottom w:val="0"/>
      <w:divBdr>
        <w:top w:val="none" w:sz="0" w:space="0" w:color="auto"/>
        <w:left w:val="none" w:sz="0" w:space="0" w:color="auto"/>
        <w:bottom w:val="none" w:sz="0" w:space="0" w:color="auto"/>
        <w:right w:val="none" w:sz="0" w:space="0" w:color="auto"/>
      </w:divBdr>
    </w:div>
    <w:div w:id="1173184997">
      <w:bodyDiv w:val="1"/>
      <w:marLeft w:val="0"/>
      <w:marRight w:val="0"/>
      <w:marTop w:val="0"/>
      <w:marBottom w:val="0"/>
      <w:divBdr>
        <w:top w:val="none" w:sz="0" w:space="0" w:color="auto"/>
        <w:left w:val="none" w:sz="0" w:space="0" w:color="auto"/>
        <w:bottom w:val="none" w:sz="0" w:space="0" w:color="auto"/>
        <w:right w:val="none" w:sz="0" w:space="0" w:color="auto"/>
      </w:divBdr>
    </w:div>
    <w:div w:id="1266890405">
      <w:bodyDiv w:val="1"/>
      <w:marLeft w:val="0"/>
      <w:marRight w:val="0"/>
      <w:marTop w:val="0"/>
      <w:marBottom w:val="0"/>
      <w:divBdr>
        <w:top w:val="none" w:sz="0" w:space="0" w:color="auto"/>
        <w:left w:val="none" w:sz="0" w:space="0" w:color="auto"/>
        <w:bottom w:val="none" w:sz="0" w:space="0" w:color="auto"/>
        <w:right w:val="none" w:sz="0" w:space="0" w:color="auto"/>
      </w:divBdr>
    </w:div>
    <w:div w:id="1278100735">
      <w:bodyDiv w:val="1"/>
      <w:marLeft w:val="0"/>
      <w:marRight w:val="0"/>
      <w:marTop w:val="0"/>
      <w:marBottom w:val="0"/>
      <w:divBdr>
        <w:top w:val="none" w:sz="0" w:space="0" w:color="auto"/>
        <w:left w:val="none" w:sz="0" w:space="0" w:color="auto"/>
        <w:bottom w:val="none" w:sz="0" w:space="0" w:color="auto"/>
        <w:right w:val="none" w:sz="0" w:space="0" w:color="auto"/>
      </w:divBdr>
    </w:div>
    <w:div w:id="1305743508">
      <w:bodyDiv w:val="1"/>
      <w:marLeft w:val="0"/>
      <w:marRight w:val="0"/>
      <w:marTop w:val="0"/>
      <w:marBottom w:val="0"/>
      <w:divBdr>
        <w:top w:val="none" w:sz="0" w:space="0" w:color="auto"/>
        <w:left w:val="none" w:sz="0" w:space="0" w:color="auto"/>
        <w:bottom w:val="none" w:sz="0" w:space="0" w:color="auto"/>
        <w:right w:val="none" w:sz="0" w:space="0" w:color="auto"/>
      </w:divBdr>
    </w:div>
    <w:div w:id="1317760109">
      <w:bodyDiv w:val="1"/>
      <w:marLeft w:val="0"/>
      <w:marRight w:val="0"/>
      <w:marTop w:val="0"/>
      <w:marBottom w:val="0"/>
      <w:divBdr>
        <w:top w:val="none" w:sz="0" w:space="0" w:color="auto"/>
        <w:left w:val="none" w:sz="0" w:space="0" w:color="auto"/>
        <w:bottom w:val="none" w:sz="0" w:space="0" w:color="auto"/>
        <w:right w:val="none" w:sz="0" w:space="0" w:color="auto"/>
      </w:divBdr>
    </w:div>
    <w:div w:id="1334181971">
      <w:bodyDiv w:val="1"/>
      <w:marLeft w:val="0"/>
      <w:marRight w:val="0"/>
      <w:marTop w:val="0"/>
      <w:marBottom w:val="0"/>
      <w:divBdr>
        <w:top w:val="none" w:sz="0" w:space="0" w:color="auto"/>
        <w:left w:val="none" w:sz="0" w:space="0" w:color="auto"/>
        <w:bottom w:val="none" w:sz="0" w:space="0" w:color="auto"/>
        <w:right w:val="none" w:sz="0" w:space="0" w:color="auto"/>
      </w:divBdr>
      <w:divsChild>
        <w:div w:id="4135433">
          <w:marLeft w:val="0"/>
          <w:marRight w:val="0"/>
          <w:marTop w:val="0"/>
          <w:marBottom w:val="0"/>
          <w:divBdr>
            <w:top w:val="none" w:sz="0" w:space="0" w:color="auto"/>
            <w:left w:val="none" w:sz="0" w:space="0" w:color="auto"/>
            <w:bottom w:val="none" w:sz="0" w:space="0" w:color="auto"/>
            <w:right w:val="none" w:sz="0" w:space="0" w:color="auto"/>
          </w:divBdr>
        </w:div>
        <w:div w:id="80880214">
          <w:marLeft w:val="0"/>
          <w:marRight w:val="0"/>
          <w:marTop w:val="0"/>
          <w:marBottom w:val="0"/>
          <w:divBdr>
            <w:top w:val="none" w:sz="0" w:space="0" w:color="auto"/>
            <w:left w:val="none" w:sz="0" w:space="0" w:color="auto"/>
            <w:bottom w:val="none" w:sz="0" w:space="0" w:color="auto"/>
            <w:right w:val="none" w:sz="0" w:space="0" w:color="auto"/>
          </w:divBdr>
        </w:div>
        <w:div w:id="874856029">
          <w:marLeft w:val="0"/>
          <w:marRight w:val="0"/>
          <w:marTop w:val="0"/>
          <w:marBottom w:val="0"/>
          <w:divBdr>
            <w:top w:val="none" w:sz="0" w:space="0" w:color="auto"/>
            <w:left w:val="none" w:sz="0" w:space="0" w:color="auto"/>
            <w:bottom w:val="none" w:sz="0" w:space="0" w:color="auto"/>
            <w:right w:val="none" w:sz="0" w:space="0" w:color="auto"/>
          </w:divBdr>
        </w:div>
        <w:div w:id="1410956723">
          <w:marLeft w:val="0"/>
          <w:marRight w:val="0"/>
          <w:marTop w:val="0"/>
          <w:marBottom w:val="0"/>
          <w:divBdr>
            <w:top w:val="none" w:sz="0" w:space="0" w:color="auto"/>
            <w:left w:val="none" w:sz="0" w:space="0" w:color="auto"/>
            <w:bottom w:val="none" w:sz="0" w:space="0" w:color="auto"/>
            <w:right w:val="none" w:sz="0" w:space="0" w:color="auto"/>
          </w:divBdr>
        </w:div>
        <w:div w:id="1725790118">
          <w:marLeft w:val="0"/>
          <w:marRight w:val="0"/>
          <w:marTop w:val="0"/>
          <w:marBottom w:val="0"/>
          <w:divBdr>
            <w:top w:val="none" w:sz="0" w:space="0" w:color="auto"/>
            <w:left w:val="none" w:sz="0" w:space="0" w:color="auto"/>
            <w:bottom w:val="none" w:sz="0" w:space="0" w:color="auto"/>
            <w:right w:val="none" w:sz="0" w:space="0" w:color="auto"/>
          </w:divBdr>
        </w:div>
      </w:divsChild>
    </w:div>
    <w:div w:id="1420100288">
      <w:bodyDiv w:val="1"/>
      <w:marLeft w:val="0"/>
      <w:marRight w:val="0"/>
      <w:marTop w:val="0"/>
      <w:marBottom w:val="0"/>
      <w:divBdr>
        <w:top w:val="none" w:sz="0" w:space="0" w:color="auto"/>
        <w:left w:val="none" w:sz="0" w:space="0" w:color="auto"/>
        <w:bottom w:val="none" w:sz="0" w:space="0" w:color="auto"/>
        <w:right w:val="none" w:sz="0" w:space="0" w:color="auto"/>
      </w:divBdr>
    </w:div>
    <w:div w:id="1441531036">
      <w:bodyDiv w:val="1"/>
      <w:marLeft w:val="0"/>
      <w:marRight w:val="0"/>
      <w:marTop w:val="0"/>
      <w:marBottom w:val="0"/>
      <w:divBdr>
        <w:top w:val="none" w:sz="0" w:space="0" w:color="auto"/>
        <w:left w:val="none" w:sz="0" w:space="0" w:color="auto"/>
        <w:bottom w:val="none" w:sz="0" w:space="0" w:color="auto"/>
        <w:right w:val="none" w:sz="0" w:space="0" w:color="auto"/>
      </w:divBdr>
    </w:div>
    <w:div w:id="1520897344">
      <w:bodyDiv w:val="1"/>
      <w:marLeft w:val="0"/>
      <w:marRight w:val="0"/>
      <w:marTop w:val="0"/>
      <w:marBottom w:val="0"/>
      <w:divBdr>
        <w:top w:val="none" w:sz="0" w:space="0" w:color="auto"/>
        <w:left w:val="none" w:sz="0" w:space="0" w:color="auto"/>
        <w:bottom w:val="none" w:sz="0" w:space="0" w:color="auto"/>
        <w:right w:val="none" w:sz="0" w:space="0" w:color="auto"/>
      </w:divBdr>
    </w:div>
    <w:div w:id="1527906639">
      <w:bodyDiv w:val="1"/>
      <w:marLeft w:val="0"/>
      <w:marRight w:val="0"/>
      <w:marTop w:val="0"/>
      <w:marBottom w:val="0"/>
      <w:divBdr>
        <w:top w:val="none" w:sz="0" w:space="0" w:color="auto"/>
        <w:left w:val="none" w:sz="0" w:space="0" w:color="auto"/>
        <w:bottom w:val="none" w:sz="0" w:space="0" w:color="auto"/>
        <w:right w:val="none" w:sz="0" w:space="0" w:color="auto"/>
      </w:divBdr>
    </w:div>
    <w:div w:id="1615555957">
      <w:bodyDiv w:val="1"/>
      <w:marLeft w:val="0"/>
      <w:marRight w:val="0"/>
      <w:marTop w:val="0"/>
      <w:marBottom w:val="0"/>
      <w:divBdr>
        <w:top w:val="none" w:sz="0" w:space="0" w:color="auto"/>
        <w:left w:val="none" w:sz="0" w:space="0" w:color="auto"/>
        <w:bottom w:val="none" w:sz="0" w:space="0" w:color="auto"/>
        <w:right w:val="none" w:sz="0" w:space="0" w:color="auto"/>
      </w:divBdr>
    </w:div>
    <w:div w:id="1620604376">
      <w:bodyDiv w:val="1"/>
      <w:marLeft w:val="0"/>
      <w:marRight w:val="0"/>
      <w:marTop w:val="0"/>
      <w:marBottom w:val="0"/>
      <w:divBdr>
        <w:top w:val="none" w:sz="0" w:space="0" w:color="auto"/>
        <w:left w:val="none" w:sz="0" w:space="0" w:color="auto"/>
        <w:bottom w:val="none" w:sz="0" w:space="0" w:color="auto"/>
        <w:right w:val="none" w:sz="0" w:space="0" w:color="auto"/>
      </w:divBdr>
    </w:div>
    <w:div w:id="1625036720">
      <w:bodyDiv w:val="1"/>
      <w:marLeft w:val="0"/>
      <w:marRight w:val="0"/>
      <w:marTop w:val="0"/>
      <w:marBottom w:val="0"/>
      <w:divBdr>
        <w:top w:val="none" w:sz="0" w:space="0" w:color="auto"/>
        <w:left w:val="none" w:sz="0" w:space="0" w:color="auto"/>
        <w:bottom w:val="none" w:sz="0" w:space="0" w:color="auto"/>
        <w:right w:val="none" w:sz="0" w:space="0" w:color="auto"/>
      </w:divBdr>
    </w:div>
    <w:div w:id="1640572039">
      <w:bodyDiv w:val="1"/>
      <w:marLeft w:val="0"/>
      <w:marRight w:val="0"/>
      <w:marTop w:val="0"/>
      <w:marBottom w:val="0"/>
      <w:divBdr>
        <w:top w:val="none" w:sz="0" w:space="0" w:color="auto"/>
        <w:left w:val="none" w:sz="0" w:space="0" w:color="auto"/>
        <w:bottom w:val="none" w:sz="0" w:space="0" w:color="auto"/>
        <w:right w:val="none" w:sz="0" w:space="0" w:color="auto"/>
      </w:divBdr>
    </w:div>
    <w:div w:id="1642536557">
      <w:bodyDiv w:val="1"/>
      <w:marLeft w:val="0"/>
      <w:marRight w:val="0"/>
      <w:marTop w:val="0"/>
      <w:marBottom w:val="0"/>
      <w:divBdr>
        <w:top w:val="none" w:sz="0" w:space="0" w:color="auto"/>
        <w:left w:val="none" w:sz="0" w:space="0" w:color="auto"/>
        <w:bottom w:val="none" w:sz="0" w:space="0" w:color="auto"/>
        <w:right w:val="none" w:sz="0" w:space="0" w:color="auto"/>
      </w:divBdr>
    </w:div>
    <w:div w:id="1697846618">
      <w:bodyDiv w:val="1"/>
      <w:marLeft w:val="0"/>
      <w:marRight w:val="0"/>
      <w:marTop w:val="0"/>
      <w:marBottom w:val="0"/>
      <w:divBdr>
        <w:top w:val="none" w:sz="0" w:space="0" w:color="auto"/>
        <w:left w:val="none" w:sz="0" w:space="0" w:color="auto"/>
        <w:bottom w:val="none" w:sz="0" w:space="0" w:color="auto"/>
        <w:right w:val="none" w:sz="0" w:space="0" w:color="auto"/>
      </w:divBdr>
    </w:div>
    <w:div w:id="1719744712">
      <w:bodyDiv w:val="1"/>
      <w:marLeft w:val="0"/>
      <w:marRight w:val="0"/>
      <w:marTop w:val="0"/>
      <w:marBottom w:val="0"/>
      <w:divBdr>
        <w:top w:val="none" w:sz="0" w:space="0" w:color="auto"/>
        <w:left w:val="none" w:sz="0" w:space="0" w:color="auto"/>
        <w:bottom w:val="none" w:sz="0" w:space="0" w:color="auto"/>
        <w:right w:val="none" w:sz="0" w:space="0" w:color="auto"/>
      </w:divBdr>
    </w:div>
    <w:div w:id="1738939362">
      <w:bodyDiv w:val="1"/>
      <w:marLeft w:val="0"/>
      <w:marRight w:val="0"/>
      <w:marTop w:val="0"/>
      <w:marBottom w:val="0"/>
      <w:divBdr>
        <w:top w:val="none" w:sz="0" w:space="0" w:color="auto"/>
        <w:left w:val="none" w:sz="0" w:space="0" w:color="auto"/>
        <w:bottom w:val="none" w:sz="0" w:space="0" w:color="auto"/>
        <w:right w:val="none" w:sz="0" w:space="0" w:color="auto"/>
      </w:divBdr>
    </w:div>
    <w:div w:id="1773359989">
      <w:bodyDiv w:val="1"/>
      <w:marLeft w:val="0"/>
      <w:marRight w:val="0"/>
      <w:marTop w:val="0"/>
      <w:marBottom w:val="0"/>
      <w:divBdr>
        <w:top w:val="none" w:sz="0" w:space="0" w:color="auto"/>
        <w:left w:val="none" w:sz="0" w:space="0" w:color="auto"/>
        <w:bottom w:val="none" w:sz="0" w:space="0" w:color="auto"/>
        <w:right w:val="none" w:sz="0" w:space="0" w:color="auto"/>
      </w:divBdr>
    </w:div>
    <w:div w:id="1785727994">
      <w:bodyDiv w:val="1"/>
      <w:marLeft w:val="0"/>
      <w:marRight w:val="0"/>
      <w:marTop w:val="0"/>
      <w:marBottom w:val="0"/>
      <w:divBdr>
        <w:top w:val="none" w:sz="0" w:space="0" w:color="auto"/>
        <w:left w:val="none" w:sz="0" w:space="0" w:color="auto"/>
        <w:bottom w:val="none" w:sz="0" w:space="0" w:color="auto"/>
        <w:right w:val="none" w:sz="0" w:space="0" w:color="auto"/>
      </w:divBdr>
    </w:div>
    <w:div w:id="1988051217">
      <w:bodyDiv w:val="1"/>
      <w:marLeft w:val="0"/>
      <w:marRight w:val="0"/>
      <w:marTop w:val="0"/>
      <w:marBottom w:val="0"/>
      <w:divBdr>
        <w:top w:val="none" w:sz="0" w:space="0" w:color="auto"/>
        <w:left w:val="none" w:sz="0" w:space="0" w:color="auto"/>
        <w:bottom w:val="none" w:sz="0" w:space="0" w:color="auto"/>
        <w:right w:val="none" w:sz="0" w:space="0" w:color="auto"/>
      </w:divBdr>
    </w:div>
    <w:div w:id="2013364071">
      <w:bodyDiv w:val="1"/>
      <w:marLeft w:val="0"/>
      <w:marRight w:val="0"/>
      <w:marTop w:val="0"/>
      <w:marBottom w:val="0"/>
      <w:divBdr>
        <w:top w:val="none" w:sz="0" w:space="0" w:color="auto"/>
        <w:left w:val="none" w:sz="0" w:space="0" w:color="auto"/>
        <w:bottom w:val="none" w:sz="0" w:space="0" w:color="auto"/>
        <w:right w:val="none" w:sz="0" w:space="0" w:color="auto"/>
      </w:divBdr>
    </w:div>
    <w:div w:id="2046170387">
      <w:bodyDiv w:val="1"/>
      <w:marLeft w:val="0"/>
      <w:marRight w:val="0"/>
      <w:marTop w:val="0"/>
      <w:marBottom w:val="0"/>
      <w:divBdr>
        <w:top w:val="none" w:sz="0" w:space="0" w:color="auto"/>
        <w:left w:val="none" w:sz="0" w:space="0" w:color="auto"/>
        <w:bottom w:val="none" w:sz="0" w:space="0" w:color="auto"/>
        <w:right w:val="none" w:sz="0" w:space="0" w:color="auto"/>
      </w:divBdr>
    </w:div>
    <w:div w:id="2064333295">
      <w:bodyDiv w:val="1"/>
      <w:marLeft w:val="0"/>
      <w:marRight w:val="0"/>
      <w:marTop w:val="0"/>
      <w:marBottom w:val="0"/>
      <w:divBdr>
        <w:top w:val="none" w:sz="0" w:space="0" w:color="auto"/>
        <w:left w:val="none" w:sz="0" w:space="0" w:color="auto"/>
        <w:bottom w:val="none" w:sz="0" w:space="0" w:color="auto"/>
        <w:right w:val="none" w:sz="0" w:space="0" w:color="auto"/>
      </w:divBdr>
    </w:div>
    <w:div w:id="2109689086">
      <w:bodyDiv w:val="1"/>
      <w:marLeft w:val="0"/>
      <w:marRight w:val="0"/>
      <w:marTop w:val="0"/>
      <w:marBottom w:val="0"/>
      <w:divBdr>
        <w:top w:val="none" w:sz="0" w:space="0" w:color="auto"/>
        <w:left w:val="none" w:sz="0" w:space="0" w:color="auto"/>
        <w:bottom w:val="none" w:sz="0" w:space="0" w:color="auto"/>
        <w:right w:val="none" w:sz="0" w:space="0" w:color="auto"/>
      </w:divBdr>
    </w:div>
    <w:div w:id="214716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footer" Target="footer10.xml"/><Relationship Id="rId21" Type="http://schemas.openxmlformats.org/officeDocument/2006/relationships/footer" Target="footer5.xml"/><Relationship Id="rId34" Type="http://schemas.openxmlformats.org/officeDocument/2006/relationships/image" Target="media/image7.emf"/><Relationship Id="rId42" Type="http://schemas.openxmlformats.org/officeDocument/2006/relationships/image" Target="media/image11.emf"/><Relationship Id="rId47" Type="http://schemas.openxmlformats.org/officeDocument/2006/relationships/header" Target="header13.xml"/><Relationship Id="rId50" Type="http://schemas.openxmlformats.org/officeDocument/2006/relationships/header" Target="header15.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40.emf"/><Relationship Id="rId33" Type="http://schemas.openxmlformats.org/officeDocument/2006/relationships/footer" Target="footer8.xml"/><Relationship Id="rId38" Type="http://schemas.openxmlformats.org/officeDocument/2006/relationships/header" Target="header11.xml"/><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29" Type="http://schemas.openxmlformats.org/officeDocument/2006/relationships/header" Target="header8.xml"/><Relationship Id="rId41" Type="http://schemas.openxmlformats.org/officeDocument/2006/relationships/image" Target="media/image10.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0.emf"/><Relationship Id="rId32" Type="http://schemas.openxmlformats.org/officeDocument/2006/relationships/header" Target="header9.xml"/><Relationship Id="rId37" Type="http://schemas.openxmlformats.org/officeDocument/2006/relationships/image" Target="media/image8.emf"/><Relationship Id="rId40" Type="http://schemas.openxmlformats.org/officeDocument/2006/relationships/image" Target="media/image9.emf"/><Relationship Id="rId45" Type="http://schemas.openxmlformats.org/officeDocument/2006/relationships/header" Target="header12.xml"/><Relationship Id="rId53"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5.emf"/><Relationship Id="rId36" Type="http://schemas.openxmlformats.org/officeDocument/2006/relationships/footer" Target="footer9.xml"/><Relationship Id="rId49"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6.emf"/><Relationship Id="rId44" Type="http://schemas.openxmlformats.org/officeDocument/2006/relationships/image" Target="media/image13.emf"/><Relationship Id="rId52"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0.xml"/><Relationship Id="rId43" Type="http://schemas.openxmlformats.org/officeDocument/2006/relationships/image" Target="media/image12.emf"/><Relationship Id="rId48" Type="http://schemas.openxmlformats.org/officeDocument/2006/relationships/footer" Target="footer12.xml"/><Relationship Id="rId8" Type="http://schemas.openxmlformats.org/officeDocument/2006/relationships/image" Target="media/image1.wmf"/><Relationship Id="rId51" Type="http://schemas.openxmlformats.org/officeDocument/2006/relationships/footer" Target="footer13.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RMa03a</b:Tag>
    <b:SourceType>Report</b:SourceType>
    <b:Author>
      <b:Author>
        <b:NameList>
          <b:Person>
            <b:Last>Martinčič</b:Last>
            <b:First>R.</b:First>
          </b:Person>
          <b:Person>
            <b:Last>Sjöberg</b:Last>
            <b:First>M.</b:First>
          </b:Person>
          <b:Person>
            <b:Last>Kulig</b:Last>
            <b:First>M.</b:First>
          </b:Person>
        </b:NameList>
      </b:Author>
    </b:Author>
    <b:Title>NEK Periodic Safety Review - Environmental Impact</b:Title>
    <b:Year>2003</b:Year>
    <b:Publisher>ENCONET Consulting</b:Publisher>
    <b:StandardNumber>PSR-NEK-6.0 Rev. 1</b:StandardNumber>
    <b:RefOrder>3</b:RefOrder>
  </b:Source>
  <b:Source>
    <b:Tag>RMa03</b:Tag>
    <b:SourceType>Report</b:SourceType>
    <b:Guid>{E7C9B44B-5D21-4B21-BCF8-35B5E19A3C64}</b:Guid>
    <b:Author>
      <b:Author>
        <b:NameList>
          <b:Person>
            <b:Last>R.</b:Last>
            <b:First>Martinčič</b:First>
          </b:Person>
        </b:NameList>
      </b:Author>
    </b:Author>
    <b:Title>NEK Periodic Safety Review - Effluent Control and Environmental Imapct Monitoring</b:Title>
    <b:Year>2003</b:Year>
    <b:Publisher>ENCONET Consulting</b:Publisher>
    <b:StandardNumber>PSR-NEK-6.2 Rev.1</b:StandardNumber>
    <b:RefOrder>4</b:RefOrder>
  </b:Source>
  <b:Source>
    <b:Tag>PSR2p</b:Tag>
    <b:SourceType>Report</b:SourceType>
    <b:Guid>{76C59A22-C799-4AF2-9858-393F72B22F94}</b:Guid>
    <b:Title>The Second NEK Periodic Safety Review Program</b:Title>
    <b:Year>2010</b:Year>
    <b:StandardNumber>NEK ESD TR-09/09</b:StandardNumber>
    <b:Publisher>NEK</b:Publisher>
    <b:City>Krško</b:City>
    <b:RefOrder>2</b:RefOrder>
  </b:Source>
  <b:Source>
    <b:Tag>Int03</b:Tag>
    <b:SourceType>DocumentFromInternetSite</b:SourceType>
    <b:Guid>{DFA89238-4925-47BC-ABAB-055EBA145585}</b:Guid>
    <b:Author>
      <b:Author>
        <b:Corporate>International Atomic Energy Agency</b:Corporate>
      </b:Author>
    </b:Author>
    <b:Title>Periodic Safety Review of Nuclear Power Plants Safety Guide</b:Title>
    <b:Year>2003</b:Year>
    <b:StandardNumber>Series No. NS-G-2.10</b:StandardNumber>
    <b:InternetSiteTitle>Nuclear Safety &amp; Security - List of all valid Safety Standards</b:InternetSiteTitle>
    <b:Month>03</b:Month>
    <b:Day>09</b:Day>
    <b:YearAccessed>2011</b:YearAccessed>
    <b:MonthAccessed>08</b:MonthAccessed>
    <b:URL>http://www-pub.iaea.org/MTCD/publications/PDF/Pub1157_web.pdf</b:URL>
    <b:RefOrder>5</b:RefOrder>
  </b:Source>
  <b:Source>
    <b:Tag>Int09</b:Tag>
    <b:SourceType>DocumentFromInternetSite</b:SourceType>
    <b:Guid>{5F9C3FEA-3E61-4CBA-A9C7-2D3EEDF4928E}</b:Guid>
    <b:LCID>en-US</b:LCID>
    <b:Author>
      <b:Author>
        <b:Corporate>International Atomic Energy Agency</b:Corporate>
      </b:Author>
    </b:Author>
    <b:Title>Revision of the Safety Guide NS-G-2.10 Periodic Safety Review Of Nuclear Power</b:Title>
    <b:Year>2009</b:Year>
    <b:Month>02</b:Month>
    <b:Day>05</b:Day>
    <b:YearAccessed>2011</b:YearAccessed>
    <b:MonthAccessed>09</b:MonthAccessed>
    <b:URL>http://www-ns.iaea.org/downloads/standards/dpp/dpp426.pdf</b:URL>
    <b:StandardNumber>Draft DS 426</b:StandardNumber>
    <b:RefOrder>6</b:RefOrder>
  </b:Source>
  <b:Source>
    <b:Tag>Nuk113</b:Tag>
    <b:SourceType>Report</b:SourceType>
    <b:Guid>{E20647A0-3449-41B8-ADAB-EA58F4EBF968}</b:Guid>
    <b:Author>
      <b:Author>
        <b:Corporate>Nuklearna elektrarna Krško</b:Corporate>
      </b:Author>
    </b:Author>
    <b:Title>Radiological Effluent Technical Specifications (RETS)</b:Title>
    <b:Year>March 2011</b:Year>
    <b:StandardNumber>Rev. 5</b:StandardNumber>
    <b:RefOrder>68</b:RefOrder>
  </b:Source>
  <b:Source>
    <b:Tag>JV10</b:Tag>
    <b:SourceType>Misc</b:SourceType>
    <b:Guid>{33F23DD1-9F30-4AF2-AC3B-68C5D326E803}</b:Guid>
    <b:Title>Rules on the Monitoring of Radioactivity – JV10 (Official Gazette RS, No. 20/2007)</b:Title>
    <b:Year>2007</b:Year>
    <b:Publisher>Uradni list RS</b:Publisher>
    <b:RefOrder>9</b:RefOrder>
  </b:Source>
</b:Sources>
</file>

<file path=customXml/itemProps1.xml><?xml version="1.0" encoding="utf-8"?>
<ds:datastoreItem xmlns:ds="http://schemas.openxmlformats.org/officeDocument/2006/customXml" ds:itemID="{3B5638F9-DA30-418E-813B-BC8B4637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25825</Words>
  <Characters>156210</Characters>
  <Application>Microsoft Office Word</Application>
  <DocSecurity>4</DocSecurity>
  <Lines>1301</Lines>
  <Paragraphs>363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NEK PSA Applications at SNSA</vt:lpstr>
      <vt:lpstr>NEK PSA Applications at SNSA</vt:lpstr>
    </vt:vector>
  </TitlesOfParts>
  <Company>Hewlett-Packard Company</Company>
  <LinksUpToDate>false</LinksUpToDate>
  <CharactersWithSpaces>181672</CharactersWithSpaces>
  <SharedDoc>false</SharedDoc>
  <HLinks>
    <vt:vector size="1044" baseType="variant">
      <vt:variant>
        <vt:i4>1376311</vt:i4>
      </vt:variant>
      <vt:variant>
        <vt:i4>1046</vt:i4>
      </vt:variant>
      <vt:variant>
        <vt:i4>0</vt:i4>
      </vt:variant>
      <vt:variant>
        <vt:i4>5</vt:i4>
      </vt:variant>
      <vt:variant>
        <vt:lpwstr/>
      </vt:variant>
      <vt:variant>
        <vt:lpwstr>_Toc374715171</vt:lpwstr>
      </vt:variant>
      <vt:variant>
        <vt:i4>1376311</vt:i4>
      </vt:variant>
      <vt:variant>
        <vt:i4>1040</vt:i4>
      </vt:variant>
      <vt:variant>
        <vt:i4>0</vt:i4>
      </vt:variant>
      <vt:variant>
        <vt:i4>5</vt:i4>
      </vt:variant>
      <vt:variant>
        <vt:lpwstr/>
      </vt:variant>
      <vt:variant>
        <vt:lpwstr>_Toc374715170</vt:lpwstr>
      </vt:variant>
      <vt:variant>
        <vt:i4>1310775</vt:i4>
      </vt:variant>
      <vt:variant>
        <vt:i4>1034</vt:i4>
      </vt:variant>
      <vt:variant>
        <vt:i4>0</vt:i4>
      </vt:variant>
      <vt:variant>
        <vt:i4>5</vt:i4>
      </vt:variant>
      <vt:variant>
        <vt:lpwstr/>
      </vt:variant>
      <vt:variant>
        <vt:lpwstr>_Toc374715169</vt:lpwstr>
      </vt:variant>
      <vt:variant>
        <vt:i4>1310775</vt:i4>
      </vt:variant>
      <vt:variant>
        <vt:i4>1028</vt:i4>
      </vt:variant>
      <vt:variant>
        <vt:i4>0</vt:i4>
      </vt:variant>
      <vt:variant>
        <vt:i4>5</vt:i4>
      </vt:variant>
      <vt:variant>
        <vt:lpwstr/>
      </vt:variant>
      <vt:variant>
        <vt:lpwstr>_Toc374715168</vt:lpwstr>
      </vt:variant>
      <vt:variant>
        <vt:i4>1310775</vt:i4>
      </vt:variant>
      <vt:variant>
        <vt:i4>1022</vt:i4>
      </vt:variant>
      <vt:variant>
        <vt:i4>0</vt:i4>
      </vt:variant>
      <vt:variant>
        <vt:i4>5</vt:i4>
      </vt:variant>
      <vt:variant>
        <vt:lpwstr/>
      </vt:variant>
      <vt:variant>
        <vt:lpwstr>_Toc374715167</vt:lpwstr>
      </vt:variant>
      <vt:variant>
        <vt:i4>1310775</vt:i4>
      </vt:variant>
      <vt:variant>
        <vt:i4>1016</vt:i4>
      </vt:variant>
      <vt:variant>
        <vt:i4>0</vt:i4>
      </vt:variant>
      <vt:variant>
        <vt:i4>5</vt:i4>
      </vt:variant>
      <vt:variant>
        <vt:lpwstr/>
      </vt:variant>
      <vt:variant>
        <vt:lpwstr>_Toc374715166</vt:lpwstr>
      </vt:variant>
      <vt:variant>
        <vt:i4>1310775</vt:i4>
      </vt:variant>
      <vt:variant>
        <vt:i4>1010</vt:i4>
      </vt:variant>
      <vt:variant>
        <vt:i4>0</vt:i4>
      </vt:variant>
      <vt:variant>
        <vt:i4>5</vt:i4>
      </vt:variant>
      <vt:variant>
        <vt:lpwstr/>
      </vt:variant>
      <vt:variant>
        <vt:lpwstr>_Toc374715165</vt:lpwstr>
      </vt:variant>
      <vt:variant>
        <vt:i4>1310775</vt:i4>
      </vt:variant>
      <vt:variant>
        <vt:i4>1004</vt:i4>
      </vt:variant>
      <vt:variant>
        <vt:i4>0</vt:i4>
      </vt:variant>
      <vt:variant>
        <vt:i4>5</vt:i4>
      </vt:variant>
      <vt:variant>
        <vt:lpwstr/>
      </vt:variant>
      <vt:variant>
        <vt:lpwstr>_Toc374715164</vt:lpwstr>
      </vt:variant>
      <vt:variant>
        <vt:i4>1310775</vt:i4>
      </vt:variant>
      <vt:variant>
        <vt:i4>998</vt:i4>
      </vt:variant>
      <vt:variant>
        <vt:i4>0</vt:i4>
      </vt:variant>
      <vt:variant>
        <vt:i4>5</vt:i4>
      </vt:variant>
      <vt:variant>
        <vt:lpwstr/>
      </vt:variant>
      <vt:variant>
        <vt:lpwstr>_Toc374715163</vt:lpwstr>
      </vt:variant>
      <vt:variant>
        <vt:i4>1310775</vt:i4>
      </vt:variant>
      <vt:variant>
        <vt:i4>992</vt:i4>
      </vt:variant>
      <vt:variant>
        <vt:i4>0</vt:i4>
      </vt:variant>
      <vt:variant>
        <vt:i4>5</vt:i4>
      </vt:variant>
      <vt:variant>
        <vt:lpwstr/>
      </vt:variant>
      <vt:variant>
        <vt:lpwstr>_Toc374715162</vt:lpwstr>
      </vt:variant>
      <vt:variant>
        <vt:i4>1310775</vt:i4>
      </vt:variant>
      <vt:variant>
        <vt:i4>986</vt:i4>
      </vt:variant>
      <vt:variant>
        <vt:i4>0</vt:i4>
      </vt:variant>
      <vt:variant>
        <vt:i4>5</vt:i4>
      </vt:variant>
      <vt:variant>
        <vt:lpwstr/>
      </vt:variant>
      <vt:variant>
        <vt:lpwstr>_Toc374715161</vt:lpwstr>
      </vt:variant>
      <vt:variant>
        <vt:i4>1310775</vt:i4>
      </vt:variant>
      <vt:variant>
        <vt:i4>980</vt:i4>
      </vt:variant>
      <vt:variant>
        <vt:i4>0</vt:i4>
      </vt:variant>
      <vt:variant>
        <vt:i4>5</vt:i4>
      </vt:variant>
      <vt:variant>
        <vt:lpwstr/>
      </vt:variant>
      <vt:variant>
        <vt:lpwstr>_Toc374715160</vt:lpwstr>
      </vt:variant>
      <vt:variant>
        <vt:i4>1507383</vt:i4>
      </vt:variant>
      <vt:variant>
        <vt:i4>974</vt:i4>
      </vt:variant>
      <vt:variant>
        <vt:i4>0</vt:i4>
      </vt:variant>
      <vt:variant>
        <vt:i4>5</vt:i4>
      </vt:variant>
      <vt:variant>
        <vt:lpwstr/>
      </vt:variant>
      <vt:variant>
        <vt:lpwstr>_Toc374715159</vt:lpwstr>
      </vt:variant>
      <vt:variant>
        <vt:i4>1507383</vt:i4>
      </vt:variant>
      <vt:variant>
        <vt:i4>968</vt:i4>
      </vt:variant>
      <vt:variant>
        <vt:i4>0</vt:i4>
      </vt:variant>
      <vt:variant>
        <vt:i4>5</vt:i4>
      </vt:variant>
      <vt:variant>
        <vt:lpwstr/>
      </vt:variant>
      <vt:variant>
        <vt:lpwstr>_Toc374715158</vt:lpwstr>
      </vt:variant>
      <vt:variant>
        <vt:i4>1507383</vt:i4>
      </vt:variant>
      <vt:variant>
        <vt:i4>962</vt:i4>
      </vt:variant>
      <vt:variant>
        <vt:i4>0</vt:i4>
      </vt:variant>
      <vt:variant>
        <vt:i4>5</vt:i4>
      </vt:variant>
      <vt:variant>
        <vt:lpwstr/>
      </vt:variant>
      <vt:variant>
        <vt:lpwstr>_Toc374715157</vt:lpwstr>
      </vt:variant>
      <vt:variant>
        <vt:i4>1507383</vt:i4>
      </vt:variant>
      <vt:variant>
        <vt:i4>956</vt:i4>
      </vt:variant>
      <vt:variant>
        <vt:i4>0</vt:i4>
      </vt:variant>
      <vt:variant>
        <vt:i4>5</vt:i4>
      </vt:variant>
      <vt:variant>
        <vt:lpwstr/>
      </vt:variant>
      <vt:variant>
        <vt:lpwstr>_Toc374715156</vt:lpwstr>
      </vt:variant>
      <vt:variant>
        <vt:i4>1507383</vt:i4>
      </vt:variant>
      <vt:variant>
        <vt:i4>947</vt:i4>
      </vt:variant>
      <vt:variant>
        <vt:i4>0</vt:i4>
      </vt:variant>
      <vt:variant>
        <vt:i4>5</vt:i4>
      </vt:variant>
      <vt:variant>
        <vt:lpwstr/>
      </vt:variant>
      <vt:variant>
        <vt:lpwstr>_Toc374715155</vt:lpwstr>
      </vt:variant>
      <vt:variant>
        <vt:i4>1507383</vt:i4>
      </vt:variant>
      <vt:variant>
        <vt:i4>941</vt:i4>
      </vt:variant>
      <vt:variant>
        <vt:i4>0</vt:i4>
      </vt:variant>
      <vt:variant>
        <vt:i4>5</vt:i4>
      </vt:variant>
      <vt:variant>
        <vt:lpwstr/>
      </vt:variant>
      <vt:variant>
        <vt:lpwstr>_Toc374715154</vt:lpwstr>
      </vt:variant>
      <vt:variant>
        <vt:i4>1507383</vt:i4>
      </vt:variant>
      <vt:variant>
        <vt:i4>935</vt:i4>
      </vt:variant>
      <vt:variant>
        <vt:i4>0</vt:i4>
      </vt:variant>
      <vt:variant>
        <vt:i4>5</vt:i4>
      </vt:variant>
      <vt:variant>
        <vt:lpwstr/>
      </vt:variant>
      <vt:variant>
        <vt:lpwstr>_Toc374715153</vt:lpwstr>
      </vt:variant>
      <vt:variant>
        <vt:i4>1507383</vt:i4>
      </vt:variant>
      <vt:variant>
        <vt:i4>929</vt:i4>
      </vt:variant>
      <vt:variant>
        <vt:i4>0</vt:i4>
      </vt:variant>
      <vt:variant>
        <vt:i4>5</vt:i4>
      </vt:variant>
      <vt:variant>
        <vt:lpwstr/>
      </vt:variant>
      <vt:variant>
        <vt:lpwstr>_Toc374715152</vt:lpwstr>
      </vt:variant>
      <vt:variant>
        <vt:i4>1507383</vt:i4>
      </vt:variant>
      <vt:variant>
        <vt:i4>923</vt:i4>
      </vt:variant>
      <vt:variant>
        <vt:i4>0</vt:i4>
      </vt:variant>
      <vt:variant>
        <vt:i4>5</vt:i4>
      </vt:variant>
      <vt:variant>
        <vt:lpwstr/>
      </vt:variant>
      <vt:variant>
        <vt:lpwstr>_Toc374715151</vt:lpwstr>
      </vt:variant>
      <vt:variant>
        <vt:i4>1507383</vt:i4>
      </vt:variant>
      <vt:variant>
        <vt:i4>917</vt:i4>
      </vt:variant>
      <vt:variant>
        <vt:i4>0</vt:i4>
      </vt:variant>
      <vt:variant>
        <vt:i4>5</vt:i4>
      </vt:variant>
      <vt:variant>
        <vt:lpwstr/>
      </vt:variant>
      <vt:variant>
        <vt:lpwstr>_Toc374715150</vt:lpwstr>
      </vt:variant>
      <vt:variant>
        <vt:i4>1441847</vt:i4>
      </vt:variant>
      <vt:variant>
        <vt:i4>911</vt:i4>
      </vt:variant>
      <vt:variant>
        <vt:i4>0</vt:i4>
      </vt:variant>
      <vt:variant>
        <vt:i4>5</vt:i4>
      </vt:variant>
      <vt:variant>
        <vt:lpwstr/>
      </vt:variant>
      <vt:variant>
        <vt:lpwstr>_Toc374715149</vt:lpwstr>
      </vt:variant>
      <vt:variant>
        <vt:i4>1441847</vt:i4>
      </vt:variant>
      <vt:variant>
        <vt:i4>905</vt:i4>
      </vt:variant>
      <vt:variant>
        <vt:i4>0</vt:i4>
      </vt:variant>
      <vt:variant>
        <vt:i4>5</vt:i4>
      </vt:variant>
      <vt:variant>
        <vt:lpwstr/>
      </vt:variant>
      <vt:variant>
        <vt:lpwstr>_Toc374715148</vt:lpwstr>
      </vt:variant>
      <vt:variant>
        <vt:i4>1441847</vt:i4>
      </vt:variant>
      <vt:variant>
        <vt:i4>899</vt:i4>
      </vt:variant>
      <vt:variant>
        <vt:i4>0</vt:i4>
      </vt:variant>
      <vt:variant>
        <vt:i4>5</vt:i4>
      </vt:variant>
      <vt:variant>
        <vt:lpwstr/>
      </vt:variant>
      <vt:variant>
        <vt:lpwstr>_Toc374715147</vt:lpwstr>
      </vt:variant>
      <vt:variant>
        <vt:i4>1441847</vt:i4>
      </vt:variant>
      <vt:variant>
        <vt:i4>893</vt:i4>
      </vt:variant>
      <vt:variant>
        <vt:i4>0</vt:i4>
      </vt:variant>
      <vt:variant>
        <vt:i4>5</vt:i4>
      </vt:variant>
      <vt:variant>
        <vt:lpwstr/>
      </vt:variant>
      <vt:variant>
        <vt:lpwstr>_Toc374715146</vt:lpwstr>
      </vt:variant>
      <vt:variant>
        <vt:i4>1441847</vt:i4>
      </vt:variant>
      <vt:variant>
        <vt:i4>887</vt:i4>
      </vt:variant>
      <vt:variant>
        <vt:i4>0</vt:i4>
      </vt:variant>
      <vt:variant>
        <vt:i4>5</vt:i4>
      </vt:variant>
      <vt:variant>
        <vt:lpwstr/>
      </vt:variant>
      <vt:variant>
        <vt:lpwstr>_Toc374715145</vt:lpwstr>
      </vt:variant>
      <vt:variant>
        <vt:i4>1441847</vt:i4>
      </vt:variant>
      <vt:variant>
        <vt:i4>881</vt:i4>
      </vt:variant>
      <vt:variant>
        <vt:i4>0</vt:i4>
      </vt:variant>
      <vt:variant>
        <vt:i4>5</vt:i4>
      </vt:variant>
      <vt:variant>
        <vt:lpwstr/>
      </vt:variant>
      <vt:variant>
        <vt:lpwstr>_Toc374715144</vt:lpwstr>
      </vt:variant>
      <vt:variant>
        <vt:i4>1441847</vt:i4>
      </vt:variant>
      <vt:variant>
        <vt:i4>875</vt:i4>
      </vt:variant>
      <vt:variant>
        <vt:i4>0</vt:i4>
      </vt:variant>
      <vt:variant>
        <vt:i4>5</vt:i4>
      </vt:variant>
      <vt:variant>
        <vt:lpwstr/>
      </vt:variant>
      <vt:variant>
        <vt:lpwstr>_Toc374715143</vt:lpwstr>
      </vt:variant>
      <vt:variant>
        <vt:i4>1441847</vt:i4>
      </vt:variant>
      <vt:variant>
        <vt:i4>869</vt:i4>
      </vt:variant>
      <vt:variant>
        <vt:i4>0</vt:i4>
      </vt:variant>
      <vt:variant>
        <vt:i4>5</vt:i4>
      </vt:variant>
      <vt:variant>
        <vt:lpwstr/>
      </vt:variant>
      <vt:variant>
        <vt:lpwstr>_Toc374715142</vt:lpwstr>
      </vt:variant>
      <vt:variant>
        <vt:i4>1441847</vt:i4>
      </vt:variant>
      <vt:variant>
        <vt:i4>863</vt:i4>
      </vt:variant>
      <vt:variant>
        <vt:i4>0</vt:i4>
      </vt:variant>
      <vt:variant>
        <vt:i4>5</vt:i4>
      </vt:variant>
      <vt:variant>
        <vt:lpwstr/>
      </vt:variant>
      <vt:variant>
        <vt:lpwstr>_Toc374715141</vt:lpwstr>
      </vt:variant>
      <vt:variant>
        <vt:i4>1441847</vt:i4>
      </vt:variant>
      <vt:variant>
        <vt:i4>857</vt:i4>
      </vt:variant>
      <vt:variant>
        <vt:i4>0</vt:i4>
      </vt:variant>
      <vt:variant>
        <vt:i4>5</vt:i4>
      </vt:variant>
      <vt:variant>
        <vt:lpwstr/>
      </vt:variant>
      <vt:variant>
        <vt:lpwstr>_Toc374715140</vt:lpwstr>
      </vt:variant>
      <vt:variant>
        <vt:i4>1114167</vt:i4>
      </vt:variant>
      <vt:variant>
        <vt:i4>851</vt:i4>
      </vt:variant>
      <vt:variant>
        <vt:i4>0</vt:i4>
      </vt:variant>
      <vt:variant>
        <vt:i4>5</vt:i4>
      </vt:variant>
      <vt:variant>
        <vt:lpwstr/>
      </vt:variant>
      <vt:variant>
        <vt:lpwstr>_Toc374715139</vt:lpwstr>
      </vt:variant>
      <vt:variant>
        <vt:i4>1114167</vt:i4>
      </vt:variant>
      <vt:variant>
        <vt:i4>845</vt:i4>
      </vt:variant>
      <vt:variant>
        <vt:i4>0</vt:i4>
      </vt:variant>
      <vt:variant>
        <vt:i4>5</vt:i4>
      </vt:variant>
      <vt:variant>
        <vt:lpwstr/>
      </vt:variant>
      <vt:variant>
        <vt:lpwstr>_Toc374715138</vt:lpwstr>
      </vt:variant>
      <vt:variant>
        <vt:i4>1114167</vt:i4>
      </vt:variant>
      <vt:variant>
        <vt:i4>839</vt:i4>
      </vt:variant>
      <vt:variant>
        <vt:i4>0</vt:i4>
      </vt:variant>
      <vt:variant>
        <vt:i4>5</vt:i4>
      </vt:variant>
      <vt:variant>
        <vt:lpwstr/>
      </vt:variant>
      <vt:variant>
        <vt:lpwstr>_Toc374715137</vt:lpwstr>
      </vt:variant>
      <vt:variant>
        <vt:i4>1114167</vt:i4>
      </vt:variant>
      <vt:variant>
        <vt:i4>833</vt:i4>
      </vt:variant>
      <vt:variant>
        <vt:i4>0</vt:i4>
      </vt:variant>
      <vt:variant>
        <vt:i4>5</vt:i4>
      </vt:variant>
      <vt:variant>
        <vt:lpwstr/>
      </vt:variant>
      <vt:variant>
        <vt:lpwstr>_Toc374715136</vt:lpwstr>
      </vt:variant>
      <vt:variant>
        <vt:i4>1114167</vt:i4>
      </vt:variant>
      <vt:variant>
        <vt:i4>827</vt:i4>
      </vt:variant>
      <vt:variant>
        <vt:i4>0</vt:i4>
      </vt:variant>
      <vt:variant>
        <vt:i4>5</vt:i4>
      </vt:variant>
      <vt:variant>
        <vt:lpwstr/>
      </vt:variant>
      <vt:variant>
        <vt:lpwstr>_Toc374715135</vt:lpwstr>
      </vt:variant>
      <vt:variant>
        <vt:i4>1114167</vt:i4>
      </vt:variant>
      <vt:variant>
        <vt:i4>821</vt:i4>
      </vt:variant>
      <vt:variant>
        <vt:i4>0</vt:i4>
      </vt:variant>
      <vt:variant>
        <vt:i4>5</vt:i4>
      </vt:variant>
      <vt:variant>
        <vt:lpwstr/>
      </vt:variant>
      <vt:variant>
        <vt:lpwstr>_Toc374715134</vt:lpwstr>
      </vt:variant>
      <vt:variant>
        <vt:i4>1114167</vt:i4>
      </vt:variant>
      <vt:variant>
        <vt:i4>815</vt:i4>
      </vt:variant>
      <vt:variant>
        <vt:i4>0</vt:i4>
      </vt:variant>
      <vt:variant>
        <vt:i4>5</vt:i4>
      </vt:variant>
      <vt:variant>
        <vt:lpwstr/>
      </vt:variant>
      <vt:variant>
        <vt:lpwstr>_Toc374715133</vt:lpwstr>
      </vt:variant>
      <vt:variant>
        <vt:i4>1114167</vt:i4>
      </vt:variant>
      <vt:variant>
        <vt:i4>809</vt:i4>
      </vt:variant>
      <vt:variant>
        <vt:i4>0</vt:i4>
      </vt:variant>
      <vt:variant>
        <vt:i4>5</vt:i4>
      </vt:variant>
      <vt:variant>
        <vt:lpwstr/>
      </vt:variant>
      <vt:variant>
        <vt:lpwstr>_Toc374715132</vt:lpwstr>
      </vt:variant>
      <vt:variant>
        <vt:i4>1114167</vt:i4>
      </vt:variant>
      <vt:variant>
        <vt:i4>803</vt:i4>
      </vt:variant>
      <vt:variant>
        <vt:i4>0</vt:i4>
      </vt:variant>
      <vt:variant>
        <vt:i4>5</vt:i4>
      </vt:variant>
      <vt:variant>
        <vt:lpwstr/>
      </vt:variant>
      <vt:variant>
        <vt:lpwstr>_Toc374715131</vt:lpwstr>
      </vt:variant>
      <vt:variant>
        <vt:i4>1114167</vt:i4>
      </vt:variant>
      <vt:variant>
        <vt:i4>797</vt:i4>
      </vt:variant>
      <vt:variant>
        <vt:i4>0</vt:i4>
      </vt:variant>
      <vt:variant>
        <vt:i4>5</vt:i4>
      </vt:variant>
      <vt:variant>
        <vt:lpwstr/>
      </vt:variant>
      <vt:variant>
        <vt:lpwstr>_Toc374715130</vt:lpwstr>
      </vt:variant>
      <vt:variant>
        <vt:i4>1048631</vt:i4>
      </vt:variant>
      <vt:variant>
        <vt:i4>791</vt:i4>
      </vt:variant>
      <vt:variant>
        <vt:i4>0</vt:i4>
      </vt:variant>
      <vt:variant>
        <vt:i4>5</vt:i4>
      </vt:variant>
      <vt:variant>
        <vt:lpwstr/>
      </vt:variant>
      <vt:variant>
        <vt:lpwstr>_Toc374715129</vt:lpwstr>
      </vt:variant>
      <vt:variant>
        <vt:i4>1048631</vt:i4>
      </vt:variant>
      <vt:variant>
        <vt:i4>785</vt:i4>
      </vt:variant>
      <vt:variant>
        <vt:i4>0</vt:i4>
      </vt:variant>
      <vt:variant>
        <vt:i4>5</vt:i4>
      </vt:variant>
      <vt:variant>
        <vt:lpwstr/>
      </vt:variant>
      <vt:variant>
        <vt:lpwstr>_Toc374715128</vt:lpwstr>
      </vt:variant>
      <vt:variant>
        <vt:i4>1048631</vt:i4>
      </vt:variant>
      <vt:variant>
        <vt:i4>779</vt:i4>
      </vt:variant>
      <vt:variant>
        <vt:i4>0</vt:i4>
      </vt:variant>
      <vt:variant>
        <vt:i4>5</vt:i4>
      </vt:variant>
      <vt:variant>
        <vt:lpwstr/>
      </vt:variant>
      <vt:variant>
        <vt:lpwstr>_Toc374715127</vt:lpwstr>
      </vt:variant>
      <vt:variant>
        <vt:i4>1048631</vt:i4>
      </vt:variant>
      <vt:variant>
        <vt:i4>773</vt:i4>
      </vt:variant>
      <vt:variant>
        <vt:i4>0</vt:i4>
      </vt:variant>
      <vt:variant>
        <vt:i4>5</vt:i4>
      </vt:variant>
      <vt:variant>
        <vt:lpwstr/>
      </vt:variant>
      <vt:variant>
        <vt:lpwstr>_Toc374715126</vt:lpwstr>
      </vt:variant>
      <vt:variant>
        <vt:i4>1048631</vt:i4>
      </vt:variant>
      <vt:variant>
        <vt:i4>767</vt:i4>
      </vt:variant>
      <vt:variant>
        <vt:i4>0</vt:i4>
      </vt:variant>
      <vt:variant>
        <vt:i4>5</vt:i4>
      </vt:variant>
      <vt:variant>
        <vt:lpwstr/>
      </vt:variant>
      <vt:variant>
        <vt:lpwstr>_Toc374715125</vt:lpwstr>
      </vt:variant>
      <vt:variant>
        <vt:i4>1048631</vt:i4>
      </vt:variant>
      <vt:variant>
        <vt:i4>761</vt:i4>
      </vt:variant>
      <vt:variant>
        <vt:i4>0</vt:i4>
      </vt:variant>
      <vt:variant>
        <vt:i4>5</vt:i4>
      </vt:variant>
      <vt:variant>
        <vt:lpwstr/>
      </vt:variant>
      <vt:variant>
        <vt:lpwstr>_Toc374715124</vt:lpwstr>
      </vt:variant>
      <vt:variant>
        <vt:i4>1048631</vt:i4>
      </vt:variant>
      <vt:variant>
        <vt:i4>755</vt:i4>
      </vt:variant>
      <vt:variant>
        <vt:i4>0</vt:i4>
      </vt:variant>
      <vt:variant>
        <vt:i4>5</vt:i4>
      </vt:variant>
      <vt:variant>
        <vt:lpwstr/>
      </vt:variant>
      <vt:variant>
        <vt:lpwstr>_Toc374715123</vt:lpwstr>
      </vt:variant>
      <vt:variant>
        <vt:i4>1048631</vt:i4>
      </vt:variant>
      <vt:variant>
        <vt:i4>749</vt:i4>
      </vt:variant>
      <vt:variant>
        <vt:i4>0</vt:i4>
      </vt:variant>
      <vt:variant>
        <vt:i4>5</vt:i4>
      </vt:variant>
      <vt:variant>
        <vt:lpwstr/>
      </vt:variant>
      <vt:variant>
        <vt:lpwstr>_Toc374715122</vt:lpwstr>
      </vt:variant>
      <vt:variant>
        <vt:i4>1048631</vt:i4>
      </vt:variant>
      <vt:variant>
        <vt:i4>743</vt:i4>
      </vt:variant>
      <vt:variant>
        <vt:i4>0</vt:i4>
      </vt:variant>
      <vt:variant>
        <vt:i4>5</vt:i4>
      </vt:variant>
      <vt:variant>
        <vt:lpwstr/>
      </vt:variant>
      <vt:variant>
        <vt:lpwstr>_Toc374715121</vt:lpwstr>
      </vt:variant>
      <vt:variant>
        <vt:i4>1048631</vt:i4>
      </vt:variant>
      <vt:variant>
        <vt:i4>737</vt:i4>
      </vt:variant>
      <vt:variant>
        <vt:i4>0</vt:i4>
      </vt:variant>
      <vt:variant>
        <vt:i4>5</vt:i4>
      </vt:variant>
      <vt:variant>
        <vt:lpwstr/>
      </vt:variant>
      <vt:variant>
        <vt:lpwstr>_Toc374715120</vt:lpwstr>
      </vt:variant>
      <vt:variant>
        <vt:i4>1245239</vt:i4>
      </vt:variant>
      <vt:variant>
        <vt:i4>731</vt:i4>
      </vt:variant>
      <vt:variant>
        <vt:i4>0</vt:i4>
      </vt:variant>
      <vt:variant>
        <vt:i4>5</vt:i4>
      </vt:variant>
      <vt:variant>
        <vt:lpwstr/>
      </vt:variant>
      <vt:variant>
        <vt:lpwstr>_Toc374715119</vt:lpwstr>
      </vt:variant>
      <vt:variant>
        <vt:i4>1245239</vt:i4>
      </vt:variant>
      <vt:variant>
        <vt:i4>725</vt:i4>
      </vt:variant>
      <vt:variant>
        <vt:i4>0</vt:i4>
      </vt:variant>
      <vt:variant>
        <vt:i4>5</vt:i4>
      </vt:variant>
      <vt:variant>
        <vt:lpwstr/>
      </vt:variant>
      <vt:variant>
        <vt:lpwstr>_Toc374715118</vt:lpwstr>
      </vt:variant>
      <vt:variant>
        <vt:i4>1245239</vt:i4>
      </vt:variant>
      <vt:variant>
        <vt:i4>719</vt:i4>
      </vt:variant>
      <vt:variant>
        <vt:i4>0</vt:i4>
      </vt:variant>
      <vt:variant>
        <vt:i4>5</vt:i4>
      </vt:variant>
      <vt:variant>
        <vt:lpwstr/>
      </vt:variant>
      <vt:variant>
        <vt:lpwstr>_Toc374715117</vt:lpwstr>
      </vt:variant>
      <vt:variant>
        <vt:i4>1245239</vt:i4>
      </vt:variant>
      <vt:variant>
        <vt:i4>713</vt:i4>
      </vt:variant>
      <vt:variant>
        <vt:i4>0</vt:i4>
      </vt:variant>
      <vt:variant>
        <vt:i4>5</vt:i4>
      </vt:variant>
      <vt:variant>
        <vt:lpwstr/>
      </vt:variant>
      <vt:variant>
        <vt:lpwstr>_Toc374715116</vt:lpwstr>
      </vt:variant>
      <vt:variant>
        <vt:i4>1245239</vt:i4>
      </vt:variant>
      <vt:variant>
        <vt:i4>707</vt:i4>
      </vt:variant>
      <vt:variant>
        <vt:i4>0</vt:i4>
      </vt:variant>
      <vt:variant>
        <vt:i4>5</vt:i4>
      </vt:variant>
      <vt:variant>
        <vt:lpwstr/>
      </vt:variant>
      <vt:variant>
        <vt:lpwstr>_Toc374715115</vt:lpwstr>
      </vt:variant>
      <vt:variant>
        <vt:i4>1245239</vt:i4>
      </vt:variant>
      <vt:variant>
        <vt:i4>701</vt:i4>
      </vt:variant>
      <vt:variant>
        <vt:i4>0</vt:i4>
      </vt:variant>
      <vt:variant>
        <vt:i4>5</vt:i4>
      </vt:variant>
      <vt:variant>
        <vt:lpwstr/>
      </vt:variant>
      <vt:variant>
        <vt:lpwstr>_Toc374715114</vt:lpwstr>
      </vt:variant>
      <vt:variant>
        <vt:i4>1245239</vt:i4>
      </vt:variant>
      <vt:variant>
        <vt:i4>695</vt:i4>
      </vt:variant>
      <vt:variant>
        <vt:i4>0</vt:i4>
      </vt:variant>
      <vt:variant>
        <vt:i4>5</vt:i4>
      </vt:variant>
      <vt:variant>
        <vt:lpwstr/>
      </vt:variant>
      <vt:variant>
        <vt:lpwstr>_Toc374715113</vt:lpwstr>
      </vt:variant>
      <vt:variant>
        <vt:i4>1245239</vt:i4>
      </vt:variant>
      <vt:variant>
        <vt:i4>689</vt:i4>
      </vt:variant>
      <vt:variant>
        <vt:i4>0</vt:i4>
      </vt:variant>
      <vt:variant>
        <vt:i4>5</vt:i4>
      </vt:variant>
      <vt:variant>
        <vt:lpwstr/>
      </vt:variant>
      <vt:variant>
        <vt:lpwstr>_Toc374715112</vt:lpwstr>
      </vt:variant>
      <vt:variant>
        <vt:i4>1245239</vt:i4>
      </vt:variant>
      <vt:variant>
        <vt:i4>683</vt:i4>
      </vt:variant>
      <vt:variant>
        <vt:i4>0</vt:i4>
      </vt:variant>
      <vt:variant>
        <vt:i4>5</vt:i4>
      </vt:variant>
      <vt:variant>
        <vt:lpwstr/>
      </vt:variant>
      <vt:variant>
        <vt:lpwstr>_Toc374715111</vt:lpwstr>
      </vt:variant>
      <vt:variant>
        <vt:i4>1245239</vt:i4>
      </vt:variant>
      <vt:variant>
        <vt:i4>677</vt:i4>
      </vt:variant>
      <vt:variant>
        <vt:i4>0</vt:i4>
      </vt:variant>
      <vt:variant>
        <vt:i4>5</vt:i4>
      </vt:variant>
      <vt:variant>
        <vt:lpwstr/>
      </vt:variant>
      <vt:variant>
        <vt:lpwstr>_Toc374715110</vt:lpwstr>
      </vt:variant>
      <vt:variant>
        <vt:i4>1179703</vt:i4>
      </vt:variant>
      <vt:variant>
        <vt:i4>668</vt:i4>
      </vt:variant>
      <vt:variant>
        <vt:i4>0</vt:i4>
      </vt:variant>
      <vt:variant>
        <vt:i4>5</vt:i4>
      </vt:variant>
      <vt:variant>
        <vt:lpwstr/>
      </vt:variant>
      <vt:variant>
        <vt:lpwstr>_Toc374715109</vt:lpwstr>
      </vt:variant>
      <vt:variant>
        <vt:i4>1179703</vt:i4>
      </vt:variant>
      <vt:variant>
        <vt:i4>662</vt:i4>
      </vt:variant>
      <vt:variant>
        <vt:i4>0</vt:i4>
      </vt:variant>
      <vt:variant>
        <vt:i4>5</vt:i4>
      </vt:variant>
      <vt:variant>
        <vt:lpwstr/>
      </vt:variant>
      <vt:variant>
        <vt:lpwstr>_Toc374715108</vt:lpwstr>
      </vt:variant>
      <vt:variant>
        <vt:i4>1179703</vt:i4>
      </vt:variant>
      <vt:variant>
        <vt:i4>656</vt:i4>
      </vt:variant>
      <vt:variant>
        <vt:i4>0</vt:i4>
      </vt:variant>
      <vt:variant>
        <vt:i4>5</vt:i4>
      </vt:variant>
      <vt:variant>
        <vt:lpwstr/>
      </vt:variant>
      <vt:variant>
        <vt:lpwstr>_Toc374715107</vt:lpwstr>
      </vt:variant>
      <vt:variant>
        <vt:i4>1179703</vt:i4>
      </vt:variant>
      <vt:variant>
        <vt:i4>650</vt:i4>
      </vt:variant>
      <vt:variant>
        <vt:i4>0</vt:i4>
      </vt:variant>
      <vt:variant>
        <vt:i4>5</vt:i4>
      </vt:variant>
      <vt:variant>
        <vt:lpwstr/>
      </vt:variant>
      <vt:variant>
        <vt:lpwstr>_Toc374715106</vt:lpwstr>
      </vt:variant>
      <vt:variant>
        <vt:i4>1179703</vt:i4>
      </vt:variant>
      <vt:variant>
        <vt:i4>644</vt:i4>
      </vt:variant>
      <vt:variant>
        <vt:i4>0</vt:i4>
      </vt:variant>
      <vt:variant>
        <vt:i4>5</vt:i4>
      </vt:variant>
      <vt:variant>
        <vt:lpwstr/>
      </vt:variant>
      <vt:variant>
        <vt:lpwstr>_Toc374715105</vt:lpwstr>
      </vt:variant>
      <vt:variant>
        <vt:i4>1179703</vt:i4>
      </vt:variant>
      <vt:variant>
        <vt:i4>638</vt:i4>
      </vt:variant>
      <vt:variant>
        <vt:i4>0</vt:i4>
      </vt:variant>
      <vt:variant>
        <vt:i4>5</vt:i4>
      </vt:variant>
      <vt:variant>
        <vt:lpwstr/>
      </vt:variant>
      <vt:variant>
        <vt:lpwstr>_Toc374715104</vt:lpwstr>
      </vt:variant>
      <vt:variant>
        <vt:i4>1179703</vt:i4>
      </vt:variant>
      <vt:variant>
        <vt:i4>632</vt:i4>
      </vt:variant>
      <vt:variant>
        <vt:i4>0</vt:i4>
      </vt:variant>
      <vt:variant>
        <vt:i4>5</vt:i4>
      </vt:variant>
      <vt:variant>
        <vt:lpwstr/>
      </vt:variant>
      <vt:variant>
        <vt:lpwstr>_Toc374715103</vt:lpwstr>
      </vt:variant>
      <vt:variant>
        <vt:i4>1179703</vt:i4>
      </vt:variant>
      <vt:variant>
        <vt:i4>626</vt:i4>
      </vt:variant>
      <vt:variant>
        <vt:i4>0</vt:i4>
      </vt:variant>
      <vt:variant>
        <vt:i4>5</vt:i4>
      </vt:variant>
      <vt:variant>
        <vt:lpwstr/>
      </vt:variant>
      <vt:variant>
        <vt:lpwstr>_Toc374715102</vt:lpwstr>
      </vt:variant>
      <vt:variant>
        <vt:i4>1179703</vt:i4>
      </vt:variant>
      <vt:variant>
        <vt:i4>620</vt:i4>
      </vt:variant>
      <vt:variant>
        <vt:i4>0</vt:i4>
      </vt:variant>
      <vt:variant>
        <vt:i4>5</vt:i4>
      </vt:variant>
      <vt:variant>
        <vt:lpwstr/>
      </vt:variant>
      <vt:variant>
        <vt:lpwstr>_Toc374715101</vt:lpwstr>
      </vt:variant>
      <vt:variant>
        <vt:i4>1179703</vt:i4>
      </vt:variant>
      <vt:variant>
        <vt:i4>614</vt:i4>
      </vt:variant>
      <vt:variant>
        <vt:i4>0</vt:i4>
      </vt:variant>
      <vt:variant>
        <vt:i4>5</vt:i4>
      </vt:variant>
      <vt:variant>
        <vt:lpwstr/>
      </vt:variant>
      <vt:variant>
        <vt:lpwstr>_Toc374715100</vt:lpwstr>
      </vt:variant>
      <vt:variant>
        <vt:i4>1769526</vt:i4>
      </vt:variant>
      <vt:variant>
        <vt:i4>608</vt:i4>
      </vt:variant>
      <vt:variant>
        <vt:i4>0</vt:i4>
      </vt:variant>
      <vt:variant>
        <vt:i4>5</vt:i4>
      </vt:variant>
      <vt:variant>
        <vt:lpwstr/>
      </vt:variant>
      <vt:variant>
        <vt:lpwstr>_Toc374715099</vt:lpwstr>
      </vt:variant>
      <vt:variant>
        <vt:i4>1769526</vt:i4>
      </vt:variant>
      <vt:variant>
        <vt:i4>602</vt:i4>
      </vt:variant>
      <vt:variant>
        <vt:i4>0</vt:i4>
      </vt:variant>
      <vt:variant>
        <vt:i4>5</vt:i4>
      </vt:variant>
      <vt:variant>
        <vt:lpwstr/>
      </vt:variant>
      <vt:variant>
        <vt:lpwstr>_Toc374715098</vt:lpwstr>
      </vt:variant>
      <vt:variant>
        <vt:i4>1769526</vt:i4>
      </vt:variant>
      <vt:variant>
        <vt:i4>596</vt:i4>
      </vt:variant>
      <vt:variant>
        <vt:i4>0</vt:i4>
      </vt:variant>
      <vt:variant>
        <vt:i4>5</vt:i4>
      </vt:variant>
      <vt:variant>
        <vt:lpwstr/>
      </vt:variant>
      <vt:variant>
        <vt:lpwstr>_Toc374715097</vt:lpwstr>
      </vt:variant>
      <vt:variant>
        <vt:i4>1769526</vt:i4>
      </vt:variant>
      <vt:variant>
        <vt:i4>590</vt:i4>
      </vt:variant>
      <vt:variant>
        <vt:i4>0</vt:i4>
      </vt:variant>
      <vt:variant>
        <vt:i4>5</vt:i4>
      </vt:variant>
      <vt:variant>
        <vt:lpwstr/>
      </vt:variant>
      <vt:variant>
        <vt:lpwstr>_Toc374715096</vt:lpwstr>
      </vt:variant>
      <vt:variant>
        <vt:i4>1769526</vt:i4>
      </vt:variant>
      <vt:variant>
        <vt:i4>584</vt:i4>
      </vt:variant>
      <vt:variant>
        <vt:i4>0</vt:i4>
      </vt:variant>
      <vt:variant>
        <vt:i4>5</vt:i4>
      </vt:variant>
      <vt:variant>
        <vt:lpwstr/>
      </vt:variant>
      <vt:variant>
        <vt:lpwstr>_Toc374715095</vt:lpwstr>
      </vt:variant>
      <vt:variant>
        <vt:i4>1769526</vt:i4>
      </vt:variant>
      <vt:variant>
        <vt:i4>578</vt:i4>
      </vt:variant>
      <vt:variant>
        <vt:i4>0</vt:i4>
      </vt:variant>
      <vt:variant>
        <vt:i4>5</vt:i4>
      </vt:variant>
      <vt:variant>
        <vt:lpwstr/>
      </vt:variant>
      <vt:variant>
        <vt:lpwstr>_Toc374715094</vt:lpwstr>
      </vt:variant>
      <vt:variant>
        <vt:i4>1769526</vt:i4>
      </vt:variant>
      <vt:variant>
        <vt:i4>572</vt:i4>
      </vt:variant>
      <vt:variant>
        <vt:i4>0</vt:i4>
      </vt:variant>
      <vt:variant>
        <vt:i4>5</vt:i4>
      </vt:variant>
      <vt:variant>
        <vt:lpwstr/>
      </vt:variant>
      <vt:variant>
        <vt:lpwstr>_Toc374715093</vt:lpwstr>
      </vt:variant>
      <vt:variant>
        <vt:i4>1769526</vt:i4>
      </vt:variant>
      <vt:variant>
        <vt:i4>566</vt:i4>
      </vt:variant>
      <vt:variant>
        <vt:i4>0</vt:i4>
      </vt:variant>
      <vt:variant>
        <vt:i4>5</vt:i4>
      </vt:variant>
      <vt:variant>
        <vt:lpwstr/>
      </vt:variant>
      <vt:variant>
        <vt:lpwstr>_Toc374715092</vt:lpwstr>
      </vt:variant>
      <vt:variant>
        <vt:i4>1769526</vt:i4>
      </vt:variant>
      <vt:variant>
        <vt:i4>560</vt:i4>
      </vt:variant>
      <vt:variant>
        <vt:i4>0</vt:i4>
      </vt:variant>
      <vt:variant>
        <vt:i4>5</vt:i4>
      </vt:variant>
      <vt:variant>
        <vt:lpwstr/>
      </vt:variant>
      <vt:variant>
        <vt:lpwstr>_Toc374715091</vt:lpwstr>
      </vt:variant>
      <vt:variant>
        <vt:i4>1769526</vt:i4>
      </vt:variant>
      <vt:variant>
        <vt:i4>554</vt:i4>
      </vt:variant>
      <vt:variant>
        <vt:i4>0</vt:i4>
      </vt:variant>
      <vt:variant>
        <vt:i4>5</vt:i4>
      </vt:variant>
      <vt:variant>
        <vt:lpwstr/>
      </vt:variant>
      <vt:variant>
        <vt:lpwstr>_Toc374715090</vt:lpwstr>
      </vt:variant>
      <vt:variant>
        <vt:i4>1703990</vt:i4>
      </vt:variant>
      <vt:variant>
        <vt:i4>548</vt:i4>
      </vt:variant>
      <vt:variant>
        <vt:i4>0</vt:i4>
      </vt:variant>
      <vt:variant>
        <vt:i4>5</vt:i4>
      </vt:variant>
      <vt:variant>
        <vt:lpwstr/>
      </vt:variant>
      <vt:variant>
        <vt:lpwstr>_Toc374715089</vt:lpwstr>
      </vt:variant>
      <vt:variant>
        <vt:i4>1703990</vt:i4>
      </vt:variant>
      <vt:variant>
        <vt:i4>542</vt:i4>
      </vt:variant>
      <vt:variant>
        <vt:i4>0</vt:i4>
      </vt:variant>
      <vt:variant>
        <vt:i4>5</vt:i4>
      </vt:variant>
      <vt:variant>
        <vt:lpwstr/>
      </vt:variant>
      <vt:variant>
        <vt:lpwstr>_Toc374715088</vt:lpwstr>
      </vt:variant>
      <vt:variant>
        <vt:i4>1703990</vt:i4>
      </vt:variant>
      <vt:variant>
        <vt:i4>536</vt:i4>
      </vt:variant>
      <vt:variant>
        <vt:i4>0</vt:i4>
      </vt:variant>
      <vt:variant>
        <vt:i4>5</vt:i4>
      </vt:variant>
      <vt:variant>
        <vt:lpwstr/>
      </vt:variant>
      <vt:variant>
        <vt:lpwstr>_Toc374715087</vt:lpwstr>
      </vt:variant>
      <vt:variant>
        <vt:i4>1703990</vt:i4>
      </vt:variant>
      <vt:variant>
        <vt:i4>530</vt:i4>
      </vt:variant>
      <vt:variant>
        <vt:i4>0</vt:i4>
      </vt:variant>
      <vt:variant>
        <vt:i4>5</vt:i4>
      </vt:variant>
      <vt:variant>
        <vt:lpwstr/>
      </vt:variant>
      <vt:variant>
        <vt:lpwstr>_Toc374715086</vt:lpwstr>
      </vt:variant>
      <vt:variant>
        <vt:i4>1703990</vt:i4>
      </vt:variant>
      <vt:variant>
        <vt:i4>524</vt:i4>
      </vt:variant>
      <vt:variant>
        <vt:i4>0</vt:i4>
      </vt:variant>
      <vt:variant>
        <vt:i4>5</vt:i4>
      </vt:variant>
      <vt:variant>
        <vt:lpwstr/>
      </vt:variant>
      <vt:variant>
        <vt:lpwstr>_Toc374715085</vt:lpwstr>
      </vt:variant>
      <vt:variant>
        <vt:i4>1703990</vt:i4>
      </vt:variant>
      <vt:variant>
        <vt:i4>518</vt:i4>
      </vt:variant>
      <vt:variant>
        <vt:i4>0</vt:i4>
      </vt:variant>
      <vt:variant>
        <vt:i4>5</vt:i4>
      </vt:variant>
      <vt:variant>
        <vt:lpwstr/>
      </vt:variant>
      <vt:variant>
        <vt:lpwstr>_Toc374715084</vt:lpwstr>
      </vt:variant>
      <vt:variant>
        <vt:i4>1703990</vt:i4>
      </vt:variant>
      <vt:variant>
        <vt:i4>512</vt:i4>
      </vt:variant>
      <vt:variant>
        <vt:i4>0</vt:i4>
      </vt:variant>
      <vt:variant>
        <vt:i4>5</vt:i4>
      </vt:variant>
      <vt:variant>
        <vt:lpwstr/>
      </vt:variant>
      <vt:variant>
        <vt:lpwstr>_Toc374715083</vt:lpwstr>
      </vt:variant>
      <vt:variant>
        <vt:i4>1703990</vt:i4>
      </vt:variant>
      <vt:variant>
        <vt:i4>506</vt:i4>
      </vt:variant>
      <vt:variant>
        <vt:i4>0</vt:i4>
      </vt:variant>
      <vt:variant>
        <vt:i4>5</vt:i4>
      </vt:variant>
      <vt:variant>
        <vt:lpwstr/>
      </vt:variant>
      <vt:variant>
        <vt:lpwstr>_Toc374715082</vt:lpwstr>
      </vt:variant>
      <vt:variant>
        <vt:i4>1703990</vt:i4>
      </vt:variant>
      <vt:variant>
        <vt:i4>500</vt:i4>
      </vt:variant>
      <vt:variant>
        <vt:i4>0</vt:i4>
      </vt:variant>
      <vt:variant>
        <vt:i4>5</vt:i4>
      </vt:variant>
      <vt:variant>
        <vt:lpwstr/>
      </vt:variant>
      <vt:variant>
        <vt:lpwstr>_Toc374715081</vt:lpwstr>
      </vt:variant>
      <vt:variant>
        <vt:i4>1703990</vt:i4>
      </vt:variant>
      <vt:variant>
        <vt:i4>494</vt:i4>
      </vt:variant>
      <vt:variant>
        <vt:i4>0</vt:i4>
      </vt:variant>
      <vt:variant>
        <vt:i4>5</vt:i4>
      </vt:variant>
      <vt:variant>
        <vt:lpwstr/>
      </vt:variant>
      <vt:variant>
        <vt:lpwstr>_Toc374715080</vt:lpwstr>
      </vt:variant>
      <vt:variant>
        <vt:i4>1376310</vt:i4>
      </vt:variant>
      <vt:variant>
        <vt:i4>488</vt:i4>
      </vt:variant>
      <vt:variant>
        <vt:i4>0</vt:i4>
      </vt:variant>
      <vt:variant>
        <vt:i4>5</vt:i4>
      </vt:variant>
      <vt:variant>
        <vt:lpwstr/>
      </vt:variant>
      <vt:variant>
        <vt:lpwstr>_Toc374715079</vt:lpwstr>
      </vt:variant>
      <vt:variant>
        <vt:i4>1376310</vt:i4>
      </vt:variant>
      <vt:variant>
        <vt:i4>482</vt:i4>
      </vt:variant>
      <vt:variant>
        <vt:i4>0</vt:i4>
      </vt:variant>
      <vt:variant>
        <vt:i4>5</vt:i4>
      </vt:variant>
      <vt:variant>
        <vt:lpwstr/>
      </vt:variant>
      <vt:variant>
        <vt:lpwstr>_Toc374715078</vt:lpwstr>
      </vt:variant>
      <vt:variant>
        <vt:i4>1376310</vt:i4>
      </vt:variant>
      <vt:variant>
        <vt:i4>476</vt:i4>
      </vt:variant>
      <vt:variant>
        <vt:i4>0</vt:i4>
      </vt:variant>
      <vt:variant>
        <vt:i4>5</vt:i4>
      </vt:variant>
      <vt:variant>
        <vt:lpwstr/>
      </vt:variant>
      <vt:variant>
        <vt:lpwstr>_Toc374715077</vt:lpwstr>
      </vt:variant>
      <vt:variant>
        <vt:i4>1376310</vt:i4>
      </vt:variant>
      <vt:variant>
        <vt:i4>470</vt:i4>
      </vt:variant>
      <vt:variant>
        <vt:i4>0</vt:i4>
      </vt:variant>
      <vt:variant>
        <vt:i4>5</vt:i4>
      </vt:variant>
      <vt:variant>
        <vt:lpwstr/>
      </vt:variant>
      <vt:variant>
        <vt:lpwstr>_Toc374715076</vt:lpwstr>
      </vt:variant>
      <vt:variant>
        <vt:i4>1376310</vt:i4>
      </vt:variant>
      <vt:variant>
        <vt:i4>464</vt:i4>
      </vt:variant>
      <vt:variant>
        <vt:i4>0</vt:i4>
      </vt:variant>
      <vt:variant>
        <vt:i4>5</vt:i4>
      </vt:variant>
      <vt:variant>
        <vt:lpwstr/>
      </vt:variant>
      <vt:variant>
        <vt:lpwstr>_Toc374715075</vt:lpwstr>
      </vt:variant>
      <vt:variant>
        <vt:i4>1376310</vt:i4>
      </vt:variant>
      <vt:variant>
        <vt:i4>458</vt:i4>
      </vt:variant>
      <vt:variant>
        <vt:i4>0</vt:i4>
      </vt:variant>
      <vt:variant>
        <vt:i4>5</vt:i4>
      </vt:variant>
      <vt:variant>
        <vt:lpwstr/>
      </vt:variant>
      <vt:variant>
        <vt:lpwstr>_Toc374715074</vt:lpwstr>
      </vt:variant>
      <vt:variant>
        <vt:i4>1376310</vt:i4>
      </vt:variant>
      <vt:variant>
        <vt:i4>452</vt:i4>
      </vt:variant>
      <vt:variant>
        <vt:i4>0</vt:i4>
      </vt:variant>
      <vt:variant>
        <vt:i4>5</vt:i4>
      </vt:variant>
      <vt:variant>
        <vt:lpwstr/>
      </vt:variant>
      <vt:variant>
        <vt:lpwstr>_Toc374715073</vt:lpwstr>
      </vt:variant>
      <vt:variant>
        <vt:i4>1376310</vt:i4>
      </vt:variant>
      <vt:variant>
        <vt:i4>446</vt:i4>
      </vt:variant>
      <vt:variant>
        <vt:i4>0</vt:i4>
      </vt:variant>
      <vt:variant>
        <vt:i4>5</vt:i4>
      </vt:variant>
      <vt:variant>
        <vt:lpwstr/>
      </vt:variant>
      <vt:variant>
        <vt:lpwstr>_Toc374715072</vt:lpwstr>
      </vt:variant>
      <vt:variant>
        <vt:i4>1376310</vt:i4>
      </vt:variant>
      <vt:variant>
        <vt:i4>440</vt:i4>
      </vt:variant>
      <vt:variant>
        <vt:i4>0</vt:i4>
      </vt:variant>
      <vt:variant>
        <vt:i4>5</vt:i4>
      </vt:variant>
      <vt:variant>
        <vt:lpwstr/>
      </vt:variant>
      <vt:variant>
        <vt:lpwstr>_Toc374715071</vt:lpwstr>
      </vt:variant>
      <vt:variant>
        <vt:i4>1376310</vt:i4>
      </vt:variant>
      <vt:variant>
        <vt:i4>434</vt:i4>
      </vt:variant>
      <vt:variant>
        <vt:i4>0</vt:i4>
      </vt:variant>
      <vt:variant>
        <vt:i4>5</vt:i4>
      </vt:variant>
      <vt:variant>
        <vt:lpwstr/>
      </vt:variant>
      <vt:variant>
        <vt:lpwstr>_Toc374715070</vt:lpwstr>
      </vt:variant>
      <vt:variant>
        <vt:i4>1310774</vt:i4>
      </vt:variant>
      <vt:variant>
        <vt:i4>428</vt:i4>
      </vt:variant>
      <vt:variant>
        <vt:i4>0</vt:i4>
      </vt:variant>
      <vt:variant>
        <vt:i4>5</vt:i4>
      </vt:variant>
      <vt:variant>
        <vt:lpwstr/>
      </vt:variant>
      <vt:variant>
        <vt:lpwstr>_Toc374715069</vt:lpwstr>
      </vt:variant>
      <vt:variant>
        <vt:i4>1310774</vt:i4>
      </vt:variant>
      <vt:variant>
        <vt:i4>422</vt:i4>
      </vt:variant>
      <vt:variant>
        <vt:i4>0</vt:i4>
      </vt:variant>
      <vt:variant>
        <vt:i4>5</vt:i4>
      </vt:variant>
      <vt:variant>
        <vt:lpwstr/>
      </vt:variant>
      <vt:variant>
        <vt:lpwstr>_Toc374715068</vt:lpwstr>
      </vt:variant>
      <vt:variant>
        <vt:i4>1310774</vt:i4>
      </vt:variant>
      <vt:variant>
        <vt:i4>416</vt:i4>
      </vt:variant>
      <vt:variant>
        <vt:i4>0</vt:i4>
      </vt:variant>
      <vt:variant>
        <vt:i4>5</vt:i4>
      </vt:variant>
      <vt:variant>
        <vt:lpwstr/>
      </vt:variant>
      <vt:variant>
        <vt:lpwstr>_Toc374715067</vt:lpwstr>
      </vt:variant>
      <vt:variant>
        <vt:i4>1310774</vt:i4>
      </vt:variant>
      <vt:variant>
        <vt:i4>410</vt:i4>
      </vt:variant>
      <vt:variant>
        <vt:i4>0</vt:i4>
      </vt:variant>
      <vt:variant>
        <vt:i4>5</vt:i4>
      </vt:variant>
      <vt:variant>
        <vt:lpwstr/>
      </vt:variant>
      <vt:variant>
        <vt:lpwstr>_Toc374715066</vt:lpwstr>
      </vt:variant>
      <vt:variant>
        <vt:i4>1310774</vt:i4>
      </vt:variant>
      <vt:variant>
        <vt:i4>404</vt:i4>
      </vt:variant>
      <vt:variant>
        <vt:i4>0</vt:i4>
      </vt:variant>
      <vt:variant>
        <vt:i4>5</vt:i4>
      </vt:variant>
      <vt:variant>
        <vt:lpwstr/>
      </vt:variant>
      <vt:variant>
        <vt:lpwstr>_Toc374715065</vt:lpwstr>
      </vt:variant>
      <vt:variant>
        <vt:i4>1310774</vt:i4>
      </vt:variant>
      <vt:variant>
        <vt:i4>398</vt:i4>
      </vt:variant>
      <vt:variant>
        <vt:i4>0</vt:i4>
      </vt:variant>
      <vt:variant>
        <vt:i4>5</vt:i4>
      </vt:variant>
      <vt:variant>
        <vt:lpwstr/>
      </vt:variant>
      <vt:variant>
        <vt:lpwstr>_Toc374715064</vt:lpwstr>
      </vt:variant>
      <vt:variant>
        <vt:i4>1310774</vt:i4>
      </vt:variant>
      <vt:variant>
        <vt:i4>392</vt:i4>
      </vt:variant>
      <vt:variant>
        <vt:i4>0</vt:i4>
      </vt:variant>
      <vt:variant>
        <vt:i4>5</vt:i4>
      </vt:variant>
      <vt:variant>
        <vt:lpwstr/>
      </vt:variant>
      <vt:variant>
        <vt:lpwstr>_Toc374715063</vt:lpwstr>
      </vt:variant>
      <vt:variant>
        <vt:i4>1310774</vt:i4>
      </vt:variant>
      <vt:variant>
        <vt:i4>386</vt:i4>
      </vt:variant>
      <vt:variant>
        <vt:i4>0</vt:i4>
      </vt:variant>
      <vt:variant>
        <vt:i4>5</vt:i4>
      </vt:variant>
      <vt:variant>
        <vt:lpwstr/>
      </vt:variant>
      <vt:variant>
        <vt:lpwstr>_Toc374715062</vt:lpwstr>
      </vt:variant>
      <vt:variant>
        <vt:i4>1310774</vt:i4>
      </vt:variant>
      <vt:variant>
        <vt:i4>380</vt:i4>
      </vt:variant>
      <vt:variant>
        <vt:i4>0</vt:i4>
      </vt:variant>
      <vt:variant>
        <vt:i4>5</vt:i4>
      </vt:variant>
      <vt:variant>
        <vt:lpwstr/>
      </vt:variant>
      <vt:variant>
        <vt:lpwstr>_Toc374715061</vt:lpwstr>
      </vt:variant>
      <vt:variant>
        <vt:i4>1310774</vt:i4>
      </vt:variant>
      <vt:variant>
        <vt:i4>374</vt:i4>
      </vt:variant>
      <vt:variant>
        <vt:i4>0</vt:i4>
      </vt:variant>
      <vt:variant>
        <vt:i4>5</vt:i4>
      </vt:variant>
      <vt:variant>
        <vt:lpwstr/>
      </vt:variant>
      <vt:variant>
        <vt:lpwstr>_Toc374715060</vt:lpwstr>
      </vt:variant>
      <vt:variant>
        <vt:i4>1507382</vt:i4>
      </vt:variant>
      <vt:variant>
        <vt:i4>368</vt:i4>
      </vt:variant>
      <vt:variant>
        <vt:i4>0</vt:i4>
      </vt:variant>
      <vt:variant>
        <vt:i4>5</vt:i4>
      </vt:variant>
      <vt:variant>
        <vt:lpwstr/>
      </vt:variant>
      <vt:variant>
        <vt:lpwstr>_Toc374715059</vt:lpwstr>
      </vt:variant>
      <vt:variant>
        <vt:i4>1507382</vt:i4>
      </vt:variant>
      <vt:variant>
        <vt:i4>362</vt:i4>
      </vt:variant>
      <vt:variant>
        <vt:i4>0</vt:i4>
      </vt:variant>
      <vt:variant>
        <vt:i4>5</vt:i4>
      </vt:variant>
      <vt:variant>
        <vt:lpwstr/>
      </vt:variant>
      <vt:variant>
        <vt:lpwstr>_Toc374715058</vt:lpwstr>
      </vt:variant>
      <vt:variant>
        <vt:i4>1507382</vt:i4>
      </vt:variant>
      <vt:variant>
        <vt:i4>356</vt:i4>
      </vt:variant>
      <vt:variant>
        <vt:i4>0</vt:i4>
      </vt:variant>
      <vt:variant>
        <vt:i4>5</vt:i4>
      </vt:variant>
      <vt:variant>
        <vt:lpwstr/>
      </vt:variant>
      <vt:variant>
        <vt:lpwstr>_Toc374715057</vt:lpwstr>
      </vt:variant>
      <vt:variant>
        <vt:i4>1507382</vt:i4>
      </vt:variant>
      <vt:variant>
        <vt:i4>350</vt:i4>
      </vt:variant>
      <vt:variant>
        <vt:i4>0</vt:i4>
      </vt:variant>
      <vt:variant>
        <vt:i4>5</vt:i4>
      </vt:variant>
      <vt:variant>
        <vt:lpwstr/>
      </vt:variant>
      <vt:variant>
        <vt:lpwstr>_Toc374715056</vt:lpwstr>
      </vt:variant>
      <vt:variant>
        <vt:i4>1507382</vt:i4>
      </vt:variant>
      <vt:variant>
        <vt:i4>344</vt:i4>
      </vt:variant>
      <vt:variant>
        <vt:i4>0</vt:i4>
      </vt:variant>
      <vt:variant>
        <vt:i4>5</vt:i4>
      </vt:variant>
      <vt:variant>
        <vt:lpwstr/>
      </vt:variant>
      <vt:variant>
        <vt:lpwstr>_Toc374715055</vt:lpwstr>
      </vt:variant>
      <vt:variant>
        <vt:i4>1507382</vt:i4>
      </vt:variant>
      <vt:variant>
        <vt:i4>338</vt:i4>
      </vt:variant>
      <vt:variant>
        <vt:i4>0</vt:i4>
      </vt:variant>
      <vt:variant>
        <vt:i4>5</vt:i4>
      </vt:variant>
      <vt:variant>
        <vt:lpwstr/>
      </vt:variant>
      <vt:variant>
        <vt:lpwstr>_Toc374715054</vt:lpwstr>
      </vt:variant>
      <vt:variant>
        <vt:i4>1507382</vt:i4>
      </vt:variant>
      <vt:variant>
        <vt:i4>332</vt:i4>
      </vt:variant>
      <vt:variant>
        <vt:i4>0</vt:i4>
      </vt:variant>
      <vt:variant>
        <vt:i4>5</vt:i4>
      </vt:variant>
      <vt:variant>
        <vt:lpwstr/>
      </vt:variant>
      <vt:variant>
        <vt:lpwstr>_Toc374715053</vt:lpwstr>
      </vt:variant>
      <vt:variant>
        <vt:i4>1507382</vt:i4>
      </vt:variant>
      <vt:variant>
        <vt:i4>326</vt:i4>
      </vt:variant>
      <vt:variant>
        <vt:i4>0</vt:i4>
      </vt:variant>
      <vt:variant>
        <vt:i4>5</vt:i4>
      </vt:variant>
      <vt:variant>
        <vt:lpwstr/>
      </vt:variant>
      <vt:variant>
        <vt:lpwstr>_Toc374715052</vt:lpwstr>
      </vt:variant>
      <vt:variant>
        <vt:i4>1507382</vt:i4>
      </vt:variant>
      <vt:variant>
        <vt:i4>320</vt:i4>
      </vt:variant>
      <vt:variant>
        <vt:i4>0</vt:i4>
      </vt:variant>
      <vt:variant>
        <vt:i4>5</vt:i4>
      </vt:variant>
      <vt:variant>
        <vt:lpwstr/>
      </vt:variant>
      <vt:variant>
        <vt:lpwstr>_Toc374715051</vt:lpwstr>
      </vt:variant>
      <vt:variant>
        <vt:i4>1507382</vt:i4>
      </vt:variant>
      <vt:variant>
        <vt:i4>314</vt:i4>
      </vt:variant>
      <vt:variant>
        <vt:i4>0</vt:i4>
      </vt:variant>
      <vt:variant>
        <vt:i4>5</vt:i4>
      </vt:variant>
      <vt:variant>
        <vt:lpwstr/>
      </vt:variant>
      <vt:variant>
        <vt:lpwstr>_Toc374715050</vt:lpwstr>
      </vt:variant>
      <vt:variant>
        <vt:i4>1441846</vt:i4>
      </vt:variant>
      <vt:variant>
        <vt:i4>308</vt:i4>
      </vt:variant>
      <vt:variant>
        <vt:i4>0</vt:i4>
      </vt:variant>
      <vt:variant>
        <vt:i4>5</vt:i4>
      </vt:variant>
      <vt:variant>
        <vt:lpwstr/>
      </vt:variant>
      <vt:variant>
        <vt:lpwstr>_Toc374715049</vt:lpwstr>
      </vt:variant>
      <vt:variant>
        <vt:i4>1441846</vt:i4>
      </vt:variant>
      <vt:variant>
        <vt:i4>302</vt:i4>
      </vt:variant>
      <vt:variant>
        <vt:i4>0</vt:i4>
      </vt:variant>
      <vt:variant>
        <vt:i4>5</vt:i4>
      </vt:variant>
      <vt:variant>
        <vt:lpwstr/>
      </vt:variant>
      <vt:variant>
        <vt:lpwstr>_Toc374715048</vt:lpwstr>
      </vt:variant>
      <vt:variant>
        <vt:i4>1441846</vt:i4>
      </vt:variant>
      <vt:variant>
        <vt:i4>296</vt:i4>
      </vt:variant>
      <vt:variant>
        <vt:i4>0</vt:i4>
      </vt:variant>
      <vt:variant>
        <vt:i4>5</vt:i4>
      </vt:variant>
      <vt:variant>
        <vt:lpwstr/>
      </vt:variant>
      <vt:variant>
        <vt:lpwstr>_Toc374715047</vt:lpwstr>
      </vt:variant>
      <vt:variant>
        <vt:i4>1441846</vt:i4>
      </vt:variant>
      <vt:variant>
        <vt:i4>290</vt:i4>
      </vt:variant>
      <vt:variant>
        <vt:i4>0</vt:i4>
      </vt:variant>
      <vt:variant>
        <vt:i4>5</vt:i4>
      </vt:variant>
      <vt:variant>
        <vt:lpwstr/>
      </vt:variant>
      <vt:variant>
        <vt:lpwstr>_Toc374715046</vt:lpwstr>
      </vt:variant>
      <vt:variant>
        <vt:i4>1441846</vt:i4>
      </vt:variant>
      <vt:variant>
        <vt:i4>284</vt:i4>
      </vt:variant>
      <vt:variant>
        <vt:i4>0</vt:i4>
      </vt:variant>
      <vt:variant>
        <vt:i4>5</vt:i4>
      </vt:variant>
      <vt:variant>
        <vt:lpwstr/>
      </vt:variant>
      <vt:variant>
        <vt:lpwstr>_Toc374715045</vt:lpwstr>
      </vt:variant>
      <vt:variant>
        <vt:i4>1441846</vt:i4>
      </vt:variant>
      <vt:variant>
        <vt:i4>278</vt:i4>
      </vt:variant>
      <vt:variant>
        <vt:i4>0</vt:i4>
      </vt:variant>
      <vt:variant>
        <vt:i4>5</vt:i4>
      </vt:variant>
      <vt:variant>
        <vt:lpwstr/>
      </vt:variant>
      <vt:variant>
        <vt:lpwstr>_Toc374715044</vt:lpwstr>
      </vt:variant>
      <vt:variant>
        <vt:i4>1441846</vt:i4>
      </vt:variant>
      <vt:variant>
        <vt:i4>272</vt:i4>
      </vt:variant>
      <vt:variant>
        <vt:i4>0</vt:i4>
      </vt:variant>
      <vt:variant>
        <vt:i4>5</vt:i4>
      </vt:variant>
      <vt:variant>
        <vt:lpwstr/>
      </vt:variant>
      <vt:variant>
        <vt:lpwstr>_Toc374715043</vt:lpwstr>
      </vt:variant>
      <vt:variant>
        <vt:i4>1441846</vt:i4>
      </vt:variant>
      <vt:variant>
        <vt:i4>266</vt:i4>
      </vt:variant>
      <vt:variant>
        <vt:i4>0</vt:i4>
      </vt:variant>
      <vt:variant>
        <vt:i4>5</vt:i4>
      </vt:variant>
      <vt:variant>
        <vt:lpwstr/>
      </vt:variant>
      <vt:variant>
        <vt:lpwstr>_Toc374715042</vt:lpwstr>
      </vt:variant>
      <vt:variant>
        <vt:i4>1441846</vt:i4>
      </vt:variant>
      <vt:variant>
        <vt:i4>260</vt:i4>
      </vt:variant>
      <vt:variant>
        <vt:i4>0</vt:i4>
      </vt:variant>
      <vt:variant>
        <vt:i4>5</vt:i4>
      </vt:variant>
      <vt:variant>
        <vt:lpwstr/>
      </vt:variant>
      <vt:variant>
        <vt:lpwstr>_Toc374715041</vt:lpwstr>
      </vt:variant>
      <vt:variant>
        <vt:i4>1441846</vt:i4>
      </vt:variant>
      <vt:variant>
        <vt:i4>254</vt:i4>
      </vt:variant>
      <vt:variant>
        <vt:i4>0</vt:i4>
      </vt:variant>
      <vt:variant>
        <vt:i4>5</vt:i4>
      </vt:variant>
      <vt:variant>
        <vt:lpwstr/>
      </vt:variant>
      <vt:variant>
        <vt:lpwstr>_Toc374715040</vt:lpwstr>
      </vt:variant>
      <vt:variant>
        <vt:i4>1114166</vt:i4>
      </vt:variant>
      <vt:variant>
        <vt:i4>248</vt:i4>
      </vt:variant>
      <vt:variant>
        <vt:i4>0</vt:i4>
      </vt:variant>
      <vt:variant>
        <vt:i4>5</vt:i4>
      </vt:variant>
      <vt:variant>
        <vt:lpwstr/>
      </vt:variant>
      <vt:variant>
        <vt:lpwstr>_Toc374715039</vt:lpwstr>
      </vt:variant>
      <vt:variant>
        <vt:i4>1114166</vt:i4>
      </vt:variant>
      <vt:variant>
        <vt:i4>242</vt:i4>
      </vt:variant>
      <vt:variant>
        <vt:i4>0</vt:i4>
      </vt:variant>
      <vt:variant>
        <vt:i4>5</vt:i4>
      </vt:variant>
      <vt:variant>
        <vt:lpwstr/>
      </vt:variant>
      <vt:variant>
        <vt:lpwstr>_Toc374715038</vt:lpwstr>
      </vt:variant>
      <vt:variant>
        <vt:i4>1114166</vt:i4>
      </vt:variant>
      <vt:variant>
        <vt:i4>236</vt:i4>
      </vt:variant>
      <vt:variant>
        <vt:i4>0</vt:i4>
      </vt:variant>
      <vt:variant>
        <vt:i4>5</vt:i4>
      </vt:variant>
      <vt:variant>
        <vt:lpwstr/>
      </vt:variant>
      <vt:variant>
        <vt:lpwstr>_Toc374715037</vt:lpwstr>
      </vt:variant>
      <vt:variant>
        <vt:i4>1114166</vt:i4>
      </vt:variant>
      <vt:variant>
        <vt:i4>230</vt:i4>
      </vt:variant>
      <vt:variant>
        <vt:i4>0</vt:i4>
      </vt:variant>
      <vt:variant>
        <vt:i4>5</vt:i4>
      </vt:variant>
      <vt:variant>
        <vt:lpwstr/>
      </vt:variant>
      <vt:variant>
        <vt:lpwstr>_Toc374715036</vt:lpwstr>
      </vt:variant>
      <vt:variant>
        <vt:i4>1114166</vt:i4>
      </vt:variant>
      <vt:variant>
        <vt:i4>224</vt:i4>
      </vt:variant>
      <vt:variant>
        <vt:i4>0</vt:i4>
      </vt:variant>
      <vt:variant>
        <vt:i4>5</vt:i4>
      </vt:variant>
      <vt:variant>
        <vt:lpwstr/>
      </vt:variant>
      <vt:variant>
        <vt:lpwstr>_Toc374715035</vt:lpwstr>
      </vt:variant>
      <vt:variant>
        <vt:i4>1114166</vt:i4>
      </vt:variant>
      <vt:variant>
        <vt:i4>218</vt:i4>
      </vt:variant>
      <vt:variant>
        <vt:i4>0</vt:i4>
      </vt:variant>
      <vt:variant>
        <vt:i4>5</vt:i4>
      </vt:variant>
      <vt:variant>
        <vt:lpwstr/>
      </vt:variant>
      <vt:variant>
        <vt:lpwstr>_Toc374715034</vt:lpwstr>
      </vt:variant>
      <vt:variant>
        <vt:i4>1114166</vt:i4>
      </vt:variant>
      <vt:variant>
        <vt:i4>212</vt:i4>
      </vt:variant>
      <vt:variant>
        <vt:i4>0</vt:i4>
      </vt:variant>
      <vt:variant>
        <vt:i4>5</vt:i4>
      </vt:variant>
      <vt:variant>
        <vt:lpwstr/>
      </vt:variant>
      <vt:variant>
        <vt:lpwstr>_Toc374715033</vt:lpwstr>
      </vt:variant>
      <vt:variant>
        <vt:i4>1114166</vt:i4>
      </vt:variant>
      <vt:variant>
        <vt:i4>206</vt:i4>
      </vt:variant>
      <vt:variant>
        <vt:i4>0</vt:i4>
      </vt:variant>
      <vt:variant>
        <vt:i4>5</vt:i4>
      </vt:variant>
      <vt:variant>
        <vt:lpwstr/>
      </vt:variant>
      <vt:variant>
        <vt:lpwstr>_Toc374715032</vt:lpwstr>
      </vt:variant>
      <vt:variant>
        <vt:i4>1114166</vt:i4>
      </vt:variant>
      <vt:variant>
        <vt:i4>200</vt:i4>
      </vt:variant>
      <vt:variant>
        <vt:i4>0</vt:i4>
      </vt:variant>
      <vt:variant>
        <vt:i4>5</vt:i4>
      </vt:variant>
      <vt:variant>
        <vt:lpwstr/>
      </vt:variant>
      <vt:variant>
        <vt:lpwstr>_Toc374715031</vt:lpwstr>
      </vt:variant>
      <vt:variant>
        <vt:i4>1114166</vt:i4>
      </vt:variant>
      <vt:variant>
        <vt:i4>194</vt:i4>
      </vt:variant>
      <vt:variant>
        <vt:i4>0</vt:i4>
      </vt:variant>
      <vt:variant>
        <vt:i4>5</vt:i4>
      </vt:variant>
      <vt:variant>
        <vt:lpwstr/>
      </vt:variant>
      <vt:variant>
        <vt:lpwstr>_Toc374715030</vt:lpwstr>
      </vt:variant>
      <vt:variant>
        <vt:i4>1048630</vt:i4>
      </vt:variant>
      <vt:variant>
        <vt:i4>188</vt:i4>
      </vt:variant>
      <vt:variant>
        <vt:i4>0</vt:i4>
      </vt:variant>
      <vt:variant>
        <vt:i4>5</vt:i4>
      </vt:variant>
      <vt:variant>
        <vt:lpwstr/>
      </vt:variant>
      <vt:variant>
        <vt:lpwstr>_Toc374715029</vt:lpwstr>
      </vt:variant>
      <vt:variant>
        <vt:i4>1048630</vt:i4>
      </vt:variant>
      <vt:variant>
        <vt:i4>182</vt:i4>
      </vt:variant>
      <vt:variant>
        <vt:i4>0</vt:i4>
      </vt:variant>
      <vt:variant>
        <vt:i4>5</vt:i4>
      </vt:variant>
      <vt:variant>
        <vt:lpwstr/>
      </vt:variant>
      <vt:variant>
        <vt:lpwstr>_Toc374715028</vt:lpwstr>
      </vt:variant>
      <vt:variant>
        <vt:i4>1048630</vt:i4>
      </vt:variant>
      <vt:variant>
        <vt:i4>176</vt:i4>
      </vt:variant>
      <vt:variant>
        <vt:i4>0</vt:i4>
      </vt:variant>
      <vt:variant>
        <vt:i4>5</vt:i4>
      </vt:variant>
      <vt:variant>
        <vt:lpwstr/>
      </vt:variant>
      <vt:variant>
        <vt:lpwstr>_Toc374715027</vt:lpwstr>
      </vt:variant>
      <vt:variant>
        <vt:i4>1048630</vt:i4>
      </vt:variant>
      <vt:variant>
        <vt:i4>170</vt:i4>
      </vt:variant>
      <vt:variant>
        <vt:i4>0</vt:i4>
      </vt:variant>
      <vt:variant>
        <vt:i4>5</vt:i4>
      </vt:variant>
      <vt:variant>
        <vt:lpwstr/>
      </vt:variant>
      <vt:variant>
        <vt:lpwstr>_Toc374715026</vt:lpwstr>
      </vt:variant>
      <vt:variant>
        <vt:i4>1048630</vt:i4>
      </vt:variant>
      <vt:variant>
        <vt:i4>164</vt:i4>
      </vt:variant>
      <vt:variant>
        <vt:i4>0</vt:i4>
      </vt:variant>
      <vt:variant>
        <vt:i4>5</vt:i4>
      </vt:variant>
      <vt:variant>
        <vt:lpwstr/>
      </vt:variant>
      <vt:variant>
        <vt:lpwstr>_Toc374715025</vt:lpwstr>
      </vt:variant>
      <vt:variant>
        <vt:i4>1048630</vt:i4>
      </vt:variant>
      <vt:variant>
        <vt:i4>158</vt:i4>
      </vt:variant>
      <vt:variant>
        <vt:i4>0</vt:i4>
      </vt:variant>
      <vt:variant>
        <vt:i4>5</vt:i4>
      </vt:variant>
      <vt:variant>
        <vt:lpwstr/>
      </vt:variant>
      <vt:variant>
        <vt:lpwstr>_Toc374715024</vt:lpwstr>
      </vt:variant>
      <vt:variant>
        <vt:i4>1048630</vt:i4>
      </vt:variant>
      <vt:variant>
        <vt:i4>152</vt:i4>
      </vt:variant>
      <vt:variant>
        <vt:i4>0</vt:i4>
      </vt:variant>
      <vt:variant>
        <vt:i4>5</vt:i4>
      </vt:variant>
      <vt:variant>
        <vt:lpwstr/>
      </vt:variant>
      <vt:variant>
        <vt:lpwstr>_Toc374715023</vt:lpwstr>
      </vt:variant>
      <vt:variant>
        <vt:i4>1048630</vt:i4>
      </vt:variant>
      <vt:variant>
        <vt:i4>146</vt:i4>
      </vt:variant>
      <vt:variant>
        <vt:i4>0</vt:i4>
      </vt:variant>
      <vt:variant>
        <vt:i4>5</vt:i4>
      </vt:variant>
      <vt:variant>
        <vt:lpwstr/>
      </vt:variant>
      <vt:variant>
        <vt:lpwstr>_Toc374715022</vt:lpwstr>
      </vt:variant>
      <vt:variant>
        <vt:i4>1048630</vt:i4>
      </vt:variant>
      <vt:variant>
        <vt:i4>140</vt:i4>
      </vt:variant>
      <vt:variant>
        <vt:i4>0</vt:i4>
      </vt:variant>
      <vt:variant>
        <vt:i4>5</vt:i4>
      </vt:variant>
      <vt:variant>
        <vt:lpwstr/>
      </vt:variant>
      <vt:variant>
        <vt:lpwstr>_Toc374715021</vt:lpwstr>
      </vt:variant>
      <vt:variant>
        <vt:i4>1048630</vt:i4>
      </vt:variant>
      <vt:variant>
        <vt:i4>134</vt:i4>
      </vt:variant>
      <vt:variant>
        <vt:i4>0</vt:i4>
      </vt:variant>
      <vt:variant>
        <vt:i4>5</vt:i4>
      </vt:variant>
      <vt:variant>
        <vt:lpwstr/>
      </vt:variant>
      <vt:variant>
        <vt:lpwstr>_Toc374715020</vt:lpwstr>
      </vt:variant>
      <vt:variant>
        <vt:i4>1245238</vt:i4>
      </vt:variant>
      <vt:variant>
        <vt:i4>128</vt:i4>
      </vt:variant>
      <vt:variant>
        <vt:i4>0</vt:i4>
      </vt:variant>
      <vt:variant>
        <vt:i4>5</vt:i4>
      </vt:variant>
      <vt:variant>
        <vt:lpwstr/>
      </vt:variant>
      <vt:variant>
        <vt:lpwstr>_Toc374715019</vt:lpwstr>
      </vt:variant>
      <vt:variant>
        <vt:i4>1245238</vt:i4>
      </vt:variant>
      <vt:variant>
        <vt:i4>122</vt:i4>
      </vt:variant>
      <vt:variant>
        <vt:i4>0</vt:i4>
      </vt:variant>
      <vt:variant>
        <vt:i4>5</vt:i4>
      </vt:variant>
      <vt:variant>
        <vt:lpwstr/>
      </vt:variant>
      <vt:variant>
        <vt:lpwstr>_Toc374715018</vt:lpwstr>
      </vt:variant>
      <vt:variant>
        <vt:i4>1245238</vt:i4>
      </vt:variant>
      <vt:variant>
        <vt:i4>116</vt:i4>
      </vt:variant>
      <vt:variant>
        <vt:i4>0</vt:i4>
      </vt:variant>
      <vt:variant>
        <vt:i4>5</vt:i4>
      </vt:variant>
      <vt:variant>
        <vt:lpwstr/>
      </vt:variant>
      <vt:variant>
        <vt:lpwstr>_Toc374715017</vt:lpwstr>
      </vt:variant>
      <vt:variant>
        <vt:i4>1245238</vt:i4>
      </vt:variant>
      <vt:variant>
        <vt:i4>110</vt:i4>
      </vt:variant>
      <vt:variant>
        <vt:i4>0</vt:i4>
      </vt:variant>
      <vt:variant>
        <vt:i4>5</vt:i4>
      </vt:variant>
      <vt:variant>
        <vt:lpwstr/>
      </vt:variant>
      <vt:variant>
        <vt:lpwstr>_Toc374715016</vt:lpwstr>
      </vt:variant>
      <vt:variant>
        <vt:i4>1245238</vt:i4>
      </vt:variant>
      <vt:variant>
        <vt:i4>104</vt:i4>
      </vt:variant>
      <vt:variant>
        <vt:i4>0</vt:i4>
      </vt:variant>
      <vt:variant>
        <vt:i4>5</vt:i4>
      </vt:variant>
      <vt:variant>
        <vt:lpwstr/>
      </vt:variant>
      <vt:variant>
        <vt:lpwstr>_Toc374715015</vt:lpwstr>
      </vt:variant>
      <vt:variant>
        <vt:i4>1245238</vt:i4>
      </vt:variant>
      <vt:variant>
        <vt:i4>98</vt:i4>
      </vt:variant>
      <vt:variant>
        <vt:i4>0</vt:i4>
      </vt:variant>
      <vt:variant>
        <vt:i4>5</vt:i4>
      </vt:variant>
      <vt:variant>
        <vt:lpwstr/>
      </vt:variant>
      <vt:variant>
        <vt:lpwstr>_Toc374715014</vt:lpwstr>
      </vt:variant>
      <vt:variant>
        <vt:i4>1245238</vt:i4>
      </vt:variant>
      <vt:variant>
        <vt:i4>92</vt:i4>
      </vt:variant>
      <vt:variant>
        <vt:i4>0</vt:i4>
      </vt:variant>
      <vt:variant>
        <vt:i4>5</vt:i4>
      </vt:variant>
      <vt:variant>
        <vt:lpwstr/>
      </vt:variant>
      <vt:variant>
        <vt:lpwstr>_Toc374715013</vt:lpwstr>
      </vt:variant>
      <vt:variant>
        <vt:i4>1245238</vt:i4>
      </vt:variant>
      <vt:variant>
        <vt:i4>86</vt:i4>
      </vt:variant>
      <vt:variant>
        <vt:i4>0</vt:i4>
      </vt:variant>
      <vt:variant>
        <vt:i4>5</vt:i4>
      </vt:variant>
      <vt:variant>
        <vt:lpwstr/>
      </vt:variant>
      <vt:variant>
        <vt:lpwstr>_Toc374715012</vt:lpwstr>
      </vt:variant>
      <vt:variant>
        <vt:i4>1245238</vt:i4>
      </vt:variant>
      <vt:variant>
        <vt:i4>80</vt:i4>
      </vt:variant>
      <vt:variant>
        <vt:i4>0</vt:i4>
      </vt:variant>
      <vt:variant>
        <vt:i4>5</vt:i4>
      </vt:variant>
      <vt:variant>
        <vt:lpwstr/>
      </vt:variant>
      <vt:variant>
        <vt:lpwstr>_Toc374715011</vt:lpwstr>
      </vt:variant>
      <vt:variant>
        <vt:i4>1245238</vt:i4>
      </vt:variant>
      <vt:variant>
        <vt:i4>74</vt:i4>
      </vt:variant>
      <vt:variant>
        <vt:i4>0</vt:i4>
      </vt:variant>
      <vt:variant>
        <vt:i4>5</vt:i4>
      </vt:variant>
      <vt:variant>
        <vt:lpwstr/>
      </vt:variant>
      <vt:variant>
        <vt:lpwstr>_Toc374715010</vt:lpwstr>
      </vt:variant>
      <vt:variant>
        <vt:i4>1179702</vt:i4>
      </vt:variant>
      <vt:variant>
        <vt:i4>68</vt:i4>
      </vt:variant>
      <vt:variant>
        <vt:i4>0</vt:i4>
      </vt:variant>
      <vt:variant>
        <vt:i4>5</vt:i4>
      </vt:variant>
      <vt:variant>
        <vt:lpwstr/>
      </vt:variant>
      <vt:variant>
        <vt:lpwstr>_Toc374715009</vt:lpwstr>
      </vt:variant>
      <vt:variant>
        <vt:i4>1179702</vt:i4>
      </vt:variant>
      <vt:variant>
        <vt:i4>62</vt:i4>
      </vt:variant>
      <vt:variant>
        <vt:i4>0</vt:i4>
      </vt:variant>
      <vt:variant>
        <vt:i4>5</vt:i4>
      </vt:variant>
      <vt:variant>
        <vt:lpwstr/>
      </vt:variant>
      <vt:variant>
        <vt:lpwstr>_Toc374715008</vt:lpwstr>
      </vt:variant>
      <vt:variant>
        <vt:i4>1179702</vt:i4>
      </vt:variant>
      <vt:variant>
        <vt:i4>56</vt:i4>
      </vt:variant>
      <vt:variant>
        <vt:i4>0</vt:i4>
      </vt:variant>
      <vt:variant>
        <vt:i4>5</vt:i4>
      </vt:variant>
      <vt:variant>
        <vt:lpwstr/>
      </vt:variant>
      <vt:variant>
        <vt:lpwstr>_Toc374715007</vt:lpwstr>
      </vt:variant>
      <vt:variant>
        <vt:i4>1179702</vt:i4>
      </vt:variant>
      <vt:variant>
        <vt:i4>50</vt:i4>
      </vt:variant>
      <vt:variant>
        <vt:i4>0</vt:i4>
      </vt:variant>
      <vt:variant>
        <vt:i4>5</vt:i4>
      </vt:variant>
      <vt:variant>
        <vt:lpwstr/>
      </vt:variant>
      <vt:variant>
        <vt:lpwstr>_Toc374715006</vt:lpwstr>
      </vt:variant>
      <vt:variant>
        <vt:i4>1179702</vt:i4>
      </vt:variant>
      <vt:variant>
        <vt:i4>44</vt:i4>
      </vt:variant>
      <vt:variant>
        <vt:i4>0</vt:i4>
      </vt:variant>
      <vt:variant>
        <vt:i4>5</vt:i4>
      </vt:variant>
      <vt:variant>
        <vt:lpwstr/>
      </vt:variant>
      <vt:variant>
        <vt:lpwstr>_Toc374715005</vt:lpwstr>
      </vt:variant>
      <vt:variant>
        <vt:i4>1179702</vt:i4>
      </vt:variant>
      <vt:variant>
        <vt:i4>38</vt:i4>
      </vt:variant>
      <vt:variant>
        <vt:i4>0</vt:i4>
      </vt:variant>
      <vt:variant>
        <vt:i4>5</vt:i4>
      </vt:variant>
      <vt:variant>
        <vt:lpwstr/>
      </vt:variant>
      <vt:variant>
        <vt:lpwstr>_Toc374715004</vt:lpwstr>
      </vt:variant>
      <vt:variant>
        <vt:i4>1179702</vt:i4>
      </vt:variant>
      <vt:variant>
        <vt:i4>32</vt:i4>
      </vt:variant>
      <vt:variant>
        <vt:i4>0</vt:i4>
      </vt:variant>
      <vt:variant>
        <vt:i4>5</vt:i4>
      </vt:variant>
      <vt:variant>
        <vt:lpwstr/>
      </vt:variant>
      <vt:variant>
        <vt:lpwstr>_Toc374715003</vt:lpwstr>
      </vt:variant>
      <vt:variant>
        <vt:i4>1179702</vt:i4>
      </vt:variant>
      <vt:variant>
        <vt:i4>26</vt:i4>
      </vt:variant>
      <vt:variant>
        <vt:i4>0</vt:i4>
      </vt:variant>
      <vt:variant>
        <vt:i4>5</vt:i4>
      </vt:variant>
      <vt:variant>
        <vt:lpwstr/>
      </vt:variant>
      <vt:variant>
        <vt:lpwstr>_Toc374715002</vt:lpwstr>
      </vt:variant>
      <vt:variant>
        <vt:i4>1179702</vt:i4>
      </vt:variant>
      <vt:variant>
        <vt:i4>20</vt:i4>
      </vt:variant>
      <vt:variant>
        <vt:i4>0</vt:i4>
      </vt:variant>
      <vt:variant>
        <vt:i4>5</vt:i4>
      </vt:variant>
      <vt:variant>
        <vt:lpwstr/>
      </vt:variant>
      <vt:variant>
        <vt:lpwstr>_Toc374715001</vt:lpwstr>
      </vt:variant>
      <vt:variant>
        <vt:i4>1179702</vt:i4>
      </vt:variant>
      <vt:variant>
        <vt:i4>14</vt:i4>
      </vt:variant>
      <vt:variant>
        <vt:i4>0</vt:i4>
      </vt:variant>
      <vt:variant>
        <vt:i4>5</vt:i4>
      </vt:variant>
      <vt:variant>
        <vt:lpwstr/>
      </vt:variant>
      <vt:variant>
        <vt:lpwstr>_Toc374715000</vt:lpwstr>
      </vt:variant>
      <vt:variant>
        <vt:i4>1703999</vt:i4>
      </vt:variant>
      <vt:variant>
        <vt:i4>8</vt:i4>
      </vt:variant>
      <vt:variant>
        <vt:i4>0</vt:i4>
      </vt:variant>
      <vt:variant>
        <vt:i4>5</vt:i4>
      </vt:variant>
      <vt:variant>
        <vt:lpwstr/>
      </vt:variant>
      <vt:variant>
        <vt:lpwstr>_Toc374714999</vt:lpwstr>
      </vt:variant>
      <vt:variant>
        <vt:i4>1703999</vt:i4>
      </vt:variant>
      <vt:variant>
        <vt:i4>2</vt:i4>
      </vt:variant>
      <vt:variant>
        <vt:i4>0</vt:i4>
      </vt:variant>
      <vt:variant>
        <vt:i4>5</vt:i4>
      </vt:variant>
      <vt:variant>
        <vt:lpwstr/>
      </vt:variant>
      <vt:variant>
        <vt:lpwstr>_Toc374714998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NEK PSA Applications at SNSA</dc:title>
  <dc:creator>Enconet Consulting</dc:creator>
  <cp:lastModifiedBy>Metka Tomažič</cp:lastModifiedBy>
  <cp:revision>2</cp:revision>
  <cp:lastPrinted>2024-04-10T09:05:00Z</cp:lastPrinted>
  <dcterms:created xsi:type="dcterms:W3CDTF">2024-04-19T08:48:00Z</dcterms:created>
  <dcterms:modified xsi:type="dcterms:W3CDTF">2024-04-19T08:48:00Z</dcterms:modified>
</cp:coreProperties>
</file>