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515F" w14:textId="6CF24422" w:rsidR="00472D3B" w:rsidRPr="0059536C" w:rsidRDefault="00472D3B" w:rsidP="00472D3B">
      <w:pPr>
        <w:rPr>
          <w:rFonts w:cs="Arial"/>
          <w:sz w:val="22"/>
          <w:szCs w:val="22"/>
          <w:highlight w:val="yellow"/>
        </w:rPr>
      </w:pPr>
      <w:r w:rsidRPr="0059536C">
        <w:rPr>
          <w:rFonts w:cs="Arial"/>
          <w:sz w:val="22"/>
          <w:szCs w:val="22"/>
        </w:rPr>
        <w:t xml:space="preserve">Številka: </w:t>
      </w:r>
      <w:r w:rsidRPr="0059536C">
        <w:rPr>
          <w:rFonts w:cs="Arial"/>
          <w:sz w:val="22"/>
          <w:szCs w:val="22"/>
        </w:rPr>
        <w:tab/>
      </w:r>
      <w:r w:rsidR="00F56D90">
        <w:rPr>
          <w:rFonts w:cs="Arial"/>
          <w:sz w:val="22"/>
          <w:szCs w:val="22"/>
        </w:rPr>
        <w:t>007-3/2023</w:t>
      </w:r>
      <w:r w:rsidR="009F582B">
        <w:rPr>
          <w:rFonts w:cs="Arial"/>
          <w:sz w:val="22"/>
          <w:szCs w:val="22"/>
        </w:rPr>
        <w:t>/15</w:t>
      </w:r>
    </w:p>
    <w:p w14:paraId="629A817A" w14:textId="230AA4FA" w:rsidR="00472D3B" w:rsidRPr="0059536C" w:rsidRDefault="00472D3B" w:rsidP="00472D3B">
      <w:pPr>
        <w:rPr>
          <w:rFonts w:cs="Arial"/>
          <w:sz w:val="22"/>
          <w:szCs w:val="22"/>
        </w:rPr>
      </w:pPr>
      <w:r w:rsidRPr="0059536C">
        <w:rPr>
          <w:rFonts w:cs="Arial"/>
          <w:sz w:val="22"/>
          <w:szCs w:val="22"/>
        </w:rPr>
        <w:t xml:space="preserve">Datum: </w:t>
      </w:r>
      <w:r w:rsidRPr="0059536C">
        <w:rPr>
          <w:rFonts w:cs="Arial"/>
          <w:sz w:val="22"/>
          <w:szCs w:val="22"/>
        </w:rPr>
        <w:tab/>
      </w:r>
      <w:r w:rsidR="00C45CE7">
        <w:rPr>
          <w:rFonts w:cs="Arial"/>
          <w:sz w:val="22"/>
          <w:szCs w:val="22"/>
        </w:rPr>
        <w:t>2</w:t>
      </w:r>
      <w:r w:rsidR="00E91F40">
        <w:rPr>
          <w:rFonts w:cs="Arial"/>
          <w:sz w:val="22"/>
          <w:szCs w:val="22"/>
        </w:rPr>
        <w:t>6</w:t>
      </w:r>
      <w:r w:rsidR="00C45CE7">
        <w:rPr>
          <w:rFonts w:cs="Arial"/>
          <w:sz w:val="22"/>
          <w:szCs w:val="22"/>
        </w:rPr>
        <w:t>.</w:t>
      </w:r>
      <w:r w:rsidR="00E91F40">
        <w:rPr>
          <w:rFonts w:cs="Arial"/>
          <w:sz w:val="22"/>
          <w:szCs w:val="22"/>
        </w:rPr>
        <w:t xml:space="preserve"> 5</w:t>
      </w:r>
      <w:r w:rsidR="00C45CE7">
        <w:rPr>
          <w:rFonts w:cs="Arial"/>
          <w:sz w:val="22"/>
          <w:szCs w:val="22"/>
        </w:rPr>
        <w:t>.</w:t>
      </w:r>
      <w:r w:rsidR="00E91F40">
        <w:rPr>
          <w:rFonts w:cs="Arial"/>
          <w:sz w:val="22"/>
          <w:szCs w:val="22"/>
        </w:rPr>
        <w:t xml:space="preserve"> </w:t>
      </w:r>
      <w:r w:rsidR="00C45CE7">
        <w:rPr>
          <w:rFonts w:cs="Arial"/>
          <w:sz w:val="22"/>
          <w:szCs w:val="22"/>
        </w:rPr>
        <w:t>2023</w:t>
      </w:r>
    </w:p>
    <w:p w14:paraId="5C660899" w14:textId="77777777" w:rsidR="00472D3B" w:rsidRPr="0059536C" w:rsidRDefault="00472D3B" w:rsidP="00472D3B">
      <w:pPr>
        <w:jc w:val="center"/>
        <w:rPr>
          <w:rFonts w:cs="Arial"/>
          <w:sz w:val="48"/>
          <w:szCs w:val="48"/>
        </w:rPr>
      </w:pPr>
    </w:p>
    <w:p w14:paraId="5164C945" w14:textId="77777777" w:rsidR="00472D3B" w:rsidRPr="0059536C" w:rsidRDefault="00472D3B" w:rsidP="00472D3B">
      <w:pPr>
        <w:jc w:val="center"/>
        <w:rPr>
          <w:rFonts w:cs="Arial"/>
          <w:sz w:val="48"/>
          <w:szCs w:val="48"/>
        </w:rPr>
      </w:pPr>
    </w:p>
    <w:p w14:paraId="228A474A" w14:textId="77777777" w:rsidR="00472D3B" w:rsidRPr="0059536C" w:rsidRDefault="00472D3B" w:rsidP="00472D3B">
      <w:pPr>
        <w:jc w:val="center"/>
        <w:rPr>
          <w:rFonts w:cs="Arial"/>
          <w:sz w:val="48"/>
          <w:szCs w:val="48"/>
        </w:rPr>
      </w:pPr>
    </w:p>
    <w:p w14:paraId="2DDDB8F3" w14:textId="77777777" w:rsidR="00472D3B" w:rsidRPr="0059536C" w:rsidRDefault="00472D3B" w:rsidP="00472D3B">
      <w:pPr>
        <w:jc w:val="center"/>
        <w:rPr>
          <w:rFonts w:cs="Arial"/>
          <w:sz w:val="48"/>
          <w:szCs w:val="48"/>
        </w:rPr>
      </w:pPr>
    </w:p>
    <w:p w14:paraId="2E0D1EAA" w14:textId="77777777" w:rsidR="00472D3B" w:rsidRPr="0059536C" w:rsidRDefault="00472D3B" w:rsidP="00472D3B">
      <w:pPr>
        <w:jc w:val="center"/>
        <w:rPr>
          <w:rFonts w:cs="Arial"/>
          <w:sz w:val="48"/>
          <w:szCs w:val="48"/>
        </w:rPr>
      </w:pPr>
    </w:p>
    <w:p w14:paraId="485E382C" w14:textId="77777777" w:rsidR="00472D3B" w:rsidRPr="0059536C" w:rsidRDefault="00472D3B" w:rsidP="00472D3B">
      <w:pPr>
        <w:spacing w:before="120" w:after="120" w:line="360" w:lineRule="auto"/>
        <w:jc w:val="center"/>
        <w:rPr>
          <w:rFonts w:cs="Arial"/>
          <w:sz w:val="48"/>
          <w:szCs w:val="48"/>
        </w:rPr>
      </w:pPr>
      <w:r w:rsidRPr="0059536C">
        <w:rPr>
          <w:rFonts w:cs="Arial"/>
          <w:sz w:val="48"/>
          <w:szCs w:val="48"/>
        </w:rPr>
        <w:t>JAVNA OBRAVNAVA</w:t>
      </w:r>
    </w:p>
    <w:p w14:paraId="1974190B" w14:textId="77777777" w:rsidR="00C45CE7" w:rsidRDefault="00472D3B" w:rsidP="00472D3B">
      <w:pPr>
        <w:pStyle w:val="Vrstapredpisa"/>
        <w:rPr>
          <w:rFonts w:cs="Arial"/>
          <w:b w:val="0"/>
          <w:sz w:val="36"/>
          <w:szCs w:val="36"/>
        </w:rPr>
      </w:pPr>
      <w:r w:rsidRPr="0059536C">
        <w:rPr>
          <w:rFonts w:cs="Arial"/>
          <w:b w:val="0"/>
          <w:color w:val="auto"/>
          <w:spacing w:val="0"/>
          <w:sz w:val="36"/>
          <w:szCs w:val="36"/>
        </w:rPr>
        <w:t>Predlog</w:t>
      </w:r>
      <w:r w:rsidRPr="0059536C">
        <w:rPr>
          <w:rFonts w:cs="Arial"/>
          <w:b w:val="0"/>
          <w:sz w:val="36"/>
          <w:szCs w:val="36"/>
        </w:rPr>
        <w:t xml:space="preserve"> </w:t>
      </w:r>
    </w:p>
    <w:p w14:paraId="7F42DF14" w14:textId="7B48370A" w:rsidR="00472D3B" w:rsidRPr="0059536C" w:rsidRDefault="00E91F40" w:rsidP="00472D3B">
      <w:pPr>
        <w:pStyle w:val="Vrstapredpisa"/>
        <w:rPr>
          <w:rFonts w:cs="Arial"/>
          <w:b w:val="0"/>
          <w:sz w:val="36"/>
          <w:szCs w:val="36"/>
        </w:rPr>
      </w:pPr>
      <w:r w:rsidRPr="00E91F40">
        <w:rPr>
          <w:rFonts w:cs="Arial"/>
          <w:b w:val="0"/>
          <w:sz w:val="36"/>
          <w:szCs w:val="36"/>
        </w:rPr>
        <w:t xml:space="preserve">Pravilnika o pooblaščenih izvedencih za sevalno in jedrsko varnost </w:t>
      </w:r>
    </w:p>
    <w:p w14:paraId="4374EFBC" w14:textId="77777777" w:rsidR="00472D3B" w:rsidRPr="0059536C" w:rsidRDefault="00472D3B" w:rsidP="00472D3B">
      <w:pPr>
        <w:rPr>
          <w:rFonts w:cs="Arial"/>
          <w:sz w:val="40"/>
          <w:szCs w:val="40"/>
        </w:rPr>
      </w:pPr>
    </w:p>
    <w:p w14:paraId="781DE7AB" w14:textId="77777777" w:rsidR="00472D3B" w:rsidRPr="0059536C" w:rsidRDefault="00472D3B" w:rsidP="00472D3B">
      <w:pPr>
        <w:spacing w:before="100" w:beforeAutospacing="1" w:after="100" w:afterAutospacing="1"/>
        <w:rPr>
          <w:rFonts w:cs="Arial"/>
          <w:sz w:val="40"/>
          <w:szCs w:val="40"/>
        </w:rPr>
      </w:pPr>
    </w:p>
    <w:p w14:paraId="2E4D8C4D" w14:textId="2A0D4EFF" w:rsidR="00472D3B" w:rsidRPr="0059536C" w:rsidRDefault="00472D3B" w:rsidP="00472D3B">
      <w:pPr>
        <w:jc w:val="both"/>
        <w:rPr>
          <w:rFonts w:cs="Arial"/>
        </w:rPr>
      </w:pPr>
      <w:r w:rsidRPr="0059536C">
        <w:rPr>
          <w:rFonts w:cs="Arial"/>
        </w:rPr>
        <w:t xml:space="preserve">V tem dokumentu so zbrane vse pripombe, mnenja in predlogi, ki so jih v času javne razprave zainteresirane pravne in fizične osebe posredovale na </w:t>
      </w:r>
      <w:r w:rsidR="00E91F40">
        <w:rPr>
          <w:rFonts w:cs="Arial"/>
        </w:rPr>
        <w:t>(</w:t>
      </w:r>
      <w:r w:rsidRPr="0059536C">
        <w:rPr>
          <w:rFonts w:cs="Arial"/>
        </w:rPr>
        <w:t>M</w:t>
      </w:r>
      <w:r w:rsidR="00C45CE7">
        <w:rPr>
          <w:rFonts w:cs="Arial"/>
        </w:rPr>
        <w:t>NVP</w:t>
      </w:r>
      <w:r w:rsidRPr="0059536C">
        <w:rPr>
          <w:rFonts w:cs="Arial"/>
        </w:rPr>
        <w:t xml:space="preserve"> ali</w:t>
      </w:r>
      <w:r w:rsidR="00E91F40">
        <w:rPr>
          <w:rFonts w:cs="Arial"/>
        </w:rPr>
        <w:t>)</w:t>
      </w:r>
      <w:r w:rsidRPr="0059536C">
        <w:rPr>
          <w:rFonts w:cs="Arial"/>
        </w:rPr>
        <w:t xml:space="preserve"> URSJV. </w:t>
      </w:r>
    </w:p>
    <w:p w14:paraId="700C1F24" w14:textId="77777777" w:rsidR="00472D3B" w:rsidRPr="0059536C" w:rsidRDefault="00472D3B" w:rsidP="00472D3B">
      <w:pPr>
        <w:jc w:val="both"/>
        <w:rPr>
          <w:rFonts w:cs="Arial"/>
        </w:rPr>
      </w:pPr>
    </w:p>
    <w:p w14:paraId="36D2DF02" w14:textId="77777777" w:rsidR="00472D3B" w:rsidRPr="0059536C" w:rsidRDefault="00472D3B" w:rsidP="00472D3B">
      <w:pPr>
        <w:spacing w:after="200" w:line="276" w:lineRule="auto"/>
      </w:pPr>
    </w:p>
    <w:p w14:paraId="7F5E75C3" w14:textId="77777777" w:rsidR="00472D3B" w:rsidRPr="0059536C" w:rsidRDefault="00472D3B" w:rsidP="00472D3B">
      <w:pPr>
        <w:spacing w:line="276" w:lineRule="auto"/>
      </w:pPr>
    </w:p>
    <w:p w14:paraId="65D8AEF3" w14:textId="77777777" w:rsidR="00472D3B" w:rsidRPr="0059536C" w:rsidRDefault="00472D3B" w:rsidP="00472D3B">
      <w:pPr>
        <w:spacing w:line="276" w:lineRule="auto"/>
        <w:sectPr w:rsidR="00472D3B" w:rsidRPr="0059536C" w:rsidSect="0055215D">
          <w:footerReference w:type="default" r:id="rId8"/>
          <w:headerReference w:type="first" r:id="rId9"/>
          <w:footerReference w:type="first" r:id="rId10"/>
          <w:pgSz w:w="11907" w:h="16840" w:code="9"/>
          <w:pgMar w:top="4309" w:right="1797" w:bottom="1418" w:left="1440" w:header="567" w:footer="709" w:gutter="0"/>
          <w:cols w:space="708"/>
          <w:titlePg/>
          <w:docGrid w:linePitch="326"/>
        </w:sectPr>
      </w:pPr>
    </w:p>
    <w:tbl>
      <w:tblPr>
        <w:tblStyle w:val="Tabelamrea"/>
        <w:tblW w:w="16438" w:type="dxa"/>
        <w:jc w:val="center"/>
        <w:tblLayout w:type="fixed"/>
        <w:tblCellMar>
          <w:top w:w="113" w:type="dxa"/>
          <w:bottom w:w="113" w:type="dxa"/>
        </w:tblCellMar>
        <w:tblLook w:val="04A0" w:firstRow="1" w:lastRow="0" w:firstColumn="1" w:lastColumn="0" w:noHBand="0" w:noVBand="1"/>
      </w:tblPr>
      <w:tblGrid>
        <w:gridCol w:w="562"/>
        <w:gridCol w:w="1560"/>
        <w:gridCol w:w="6378"/>
        <w:gridCol w:w="7938"/>
      </w:tblGrid>
      <w:tr w:rsidR="004314BA" w:rsidRPr="0059536C" w14:paraId="0F2A6E99" w14:textId="77777777" w:rsidTr="00402ECA">
        <w:trPr>
          <w:cantSplit/>
          <w:trHeight w:val="1153"/>
          <w:jc w:val="center"/>
        </w:trPr>
        <w:tc>
          <w:tcPr>
            <w:tcW w:w="562" w:type="dxa"/>
            <w:shd w:val="clear" w:color="auto" w:fill="9CC2E5" w:themeFill="accent5" w:themeFillTint="99"/>
          </w:tcPr>
          <w:p w14:paraId="14296A2C" w14:textId="34E9E0B6" w:rsidR="004314BA" w:rsidRPr="0059536C" w:rsidRDefault="004314BA" w:rsidP="00C774CE">
            <w:pPr>
              <w:jc w:val="center"/>
              <w:rPr>
                <w:rFonts w:cs="Arial"/>
              </w:rPr>
            </w:pPr>
          </w:p>
        </w:tc>
        <w:tc>
          <w:tcPr>
            <w:tcW w:w="1560" w:type="dxa"/>
            <w:shd w:val="clear" w:color="auto" w:fill="9CC2E5" w:themeFill="accent5" w:themeFillTint="99"/>
            <w:vAlign w:val="center"/>
          </w:tcPr>
          <w:p w14:paraId="4EBADA80" w14:textId="43992917" w:rsidR="004314BA" w:rsidRPr="0059536C" w:rsidRDefault="004314BA" w:rsidP="00C774CE">
            <w:pPr>
              <w:jc w:val="center"/>
              <w:rPr>
                <w:rFonts w:cs="Arial"/>
              </w:rPr>
            </w:pPr>
            <w:r w:rsidRPr="0059536C">
              <w:rPr>
                <w:rFonts w:cs="Arial"/>
              </w:rPr>
              <w:t>Poglavje / člen</w:t>
            </w:r>
          </w:p>
        </w:tc>
        <w:tc>
          <w:tcPr>
            <w:tcW w:w="6378" w:type="dxa"/>
            <w:shd w:val="clear" w:color="auto" w:fill="9CC2E5" w:themeFill="accent5" w:themeFillTint="99"/>
            <w:vAlign w:val="center"/>
          </w:tcPr>
          <w:p w14:paraId="15B2E562" w14:textId="77777777" w:rsidR="004314BA" w:rsidRDefault="004314BA" w:rsidP="00F133F4">
            <w:pPr>
              <w:jc w:val="both"/>
              <w:rPr>
                <w:rFonts w:cs="Arial"/>
              </w:rPr>
            </w:pPr>
          </w:p>
          <w:p w14:paraId="65CA2B0C" w14:textId="2D259431" w:rsidR="004314BA" w:rsidRPr="0059536C" w:rsidRDefault="004314BA" w:rsidP="00F133F4">
            <w:pPr>
              <w:jc w:val="both"/>
              <w:rPr>
                <w:rFonts w:cs="Arial"/>
              </w:rPr>
            </w:pPr>
            <w:r w:rsidRPr="0059536C">
              <w:rPr>
                <w:rFonts w:cs="Arial"/>
              </w:rPr>
              <w:t xml:space="preserve">Komentar / Predlog dopolnitve / novega besedila </w:t>
            </w:r>
          </w:p>
          <w:p w14:paraId="715D4247" w14:textId="77777777" w:rsidR="004314BA" w:rsidRPr="0059536C" w:rsidRDefault="004314BA" w:rsidP="00F133F4">
            <w:pPr>
              <w:jc w:val="both"/>
              <w:rPr>
                <w:rFonts w:cs="Arial"/>
              </w:rPr>
            </w:pPr>
          </w:p>
        </w:tc>
        <w:tc>
          <w:tcPr>
            <w:tcW w:w="7938" w:type="dxa"/>
            <w:shd w:val="clear" w:color="auto" w:fill="9CC2E5" w:themeFill="accent5" w:themeFillTint="99"/>
            <w:vAlign w:val="center"/>
          </w:tcPr>
          <w:p w14:paraId="21C49F92" w14:textId="29FB269B" w:rsidR="004314BA" w:rsidRPr="0059536C" w:rsidRDefault="004314BA" w:rsidP="00C774CE">
            <w:pPr>
              <w:jc w:val="center"/>
              <w:rPr>
                <w:rFonts w:cs="Arial"/>
              </w:rPr>
            </w:pPr>
            <w:r w:rsidRPr="0059536C">
              <w:rPr>
                <w:rFonts w:cs="Arial"/>
              </w:rPr>
              <w:t>Odgovor pripravljavca predpisa</w:t>
            </w:r>
          </w:p>
        </w:tc>
      </w:tr>
      <w:tr w:rsidR="004314BA" w:rsidRPr="00F133F4" w14:paraId="7DB55D02" w14:textId="77777777" w:rsidTr="00402ECA">
        <w:trPr>
          <w:jc w:val="center"/>
        </w:trPr>
        <w:tc>
          <w:tcPr>
            <w:tcW w:w="562" w:type="dxa"/>
          </w:tcPr>
          <w:p w14:paraId="6069DC0B" w14:textId="404E42F0" w:rsidR="004314BA" w:rsidRPr="0059536C" w:rsidRDefault="004314BA" w:rsidP="009E7177">
            <w:pPr>
              <w:rPr>
                <w:rFonts w:cs="Arial"/>
              </w:rPr>
            </w:pPr>
            <w:bookmarkStart w:id="0" w:name="_Hlk136246872"/>
            <w:r>
              <w:rPr>
                <w:rFonts w:cs="Arial"/>
              </w:rPr>
              <w:t>1.</w:t>
            </w:r>
          </w:p>
        </w:tc>
        <w:tc>
          <w:tcPr>
            <w:tcW w:w="1560" w:type="dxa"/>
          </w:tcPr>
          <w:p w14:paraId="15C357AF" w14:textId="509160C9" w:rsidR="004314BA" w:rsidRPr="0059536C" w:rsidRDefault="004314BA" w:rsidP="009E7177">
            <w:pPr>
              <w:rPr>
                <w:rFonts w:cs="Arial"/>
              </w:rPr>
            </w:pPr>
            <w:r>
              <w:rPr>
                <w:rFonts w:cs="Arial"/>
              </w:rPr>
              <w:t>2. člen; 2. odstavek</w:t>
            </w:r>
          </w:p>
        </w:tc>
        <w:tc>
          <w:tcPr>
            <w:tcW w:w="6378" w:type="dxa"/>
          </w:tcPr>
          <w:p w14:paraId="110AFF15" w14:textId="1E364929" w:rsidR="004314BA" w:rsidRPr="004E34FD" w:rsidRDefault="004314BA" w:rsidP="004E34FD">
            <w:pPr>
              <w:jc w:val="both"/>
              <w:rPr>
                <w:rFonts w:cs="Arial"/>
              </w:rPr>
            </w:pPr>
            <w:r w:rsidRPr="004E34FD">
              <w:rPr>
                <w:rFonts w:cs="Arial"/>
              </w:rPr>
              <w:t xml:space="preserve">"Izvedenci za sevalno in jedrsko varnost", ki nimajo znanj in referenc iz sevalne varnosti, se zdijo glede na naziv izvedenca, pa tudi glede na veljavne definicije jedrske varnosti (ZVISJV, IAEA SF, Direktiva 2009/71 Euratom, vse tri spodaj), kot nekakšen oksimoron oz. bistroumni nesmisel. </w:t>
            </w:r>
          </w:p>
          <w:p w14:paraId="6DE87150" w14:textId="77777777" w:rsidR="004314BA" w:rsidRPr="004E34FD" w:rsidRDefault="004314BA" w:rsidP="004E34FD">
            <w:pPr>
              <w:jc w:val="both"/>
              <w:rPr>
                <w:rFonts w:cs="Arial"/>
              </w:rPr>
            </w:pPr>
          </w:p>
          <w:p w14:paraId="094FFC1B" w14:textId="443411CC" w:rsidR="004314BA" w:rsidRPr="004E34FD" w:rsidRDefault="004314BA" w:rsidP="004E34FD">
            <w:pPr>
              <w:jc w:val="both"/>
              <w:rPr>
                <w:rFonts w:cs="Arial"/>
              </w:rPr>
            </w:pPr>
            <w:r w:rsidRPr="004E34FD">
              <w:rPr>
                <w:rFonts w:cs="Arial"/>
              </w:rPr>
              <w:t>Predlagamo, da ta pogoj umaknete, saj med drugim lahko daje videz, da je mogoče za »izvedenca za sevalno in jedrsko varnost« pooblastiti oseb, ki očitno nimajo znanj in referenc s področja Varstva pred sevanji in sevalne varnosti (lahko jih pooblastite za vsa ostala podpodročja iz Priloge 1).</w:t>
            </w:r>
          </w:p>
          <w:p w14:paraId="5C875CF7" w14:textId="77777777" w:rsidR="004314BA" w:rsidRPr="004E34FD" w:rsidRDefault="004314BA" w:rsidP="004E34FD">
            <w:pPr>
              <w:jc w:val="both"/>
              <w:rPr>
                <w:rFonts w:cs="Arial"/>
              </w:rPr>
            </w:pPr>
          </w:p>
          <w:p w14:paraId="500662AB" w14:textId="77777777" w:rsidR="004314BA" w:rsidRPr="004E34FD" w:rsidRDefault="004314BA" w:rsidP="004E34FD">
            <w:pPr>
              <w:jc w:val="both"/>
              <w:rPr>
                <w:rFonts w:cs="Arial"/>
              </w:rPr>
            </w:pPr>
            <w:r w:rsidRPr="004E34FD">
              <w:rPr>
                <w:rFonts w:cs="Arial"/>
              </w:rPr>
              <w:t>Hkrati tudi lahko daje videz, da URSJV ni povsem suverena pri odločitvah iz svojih izvirnih pristojnosti.</w:t>
            </w:r>
          </w:p>
          <w:p w14:paraId="20042C64" w14:textId="77777777" w:rsidR="004314BA" w:rsidRPr="004E34FD" w:rsidRDefault="004314BA" w:rsidP="004E34FD">
            <w:pPr>
              <w:jc w:val="both"/>
              <w:rPr>
                <w:rFonts w:cs="Arial"/>
              </w:rPr>
            </w:pPr>
          </w:p>
          <w:p w14:paraId="5B27ABE1" w14:textId="77777777" w:rsidR="004314BA" w:rsidRPr="004E34FD" w:rsidRDefault="004314BA" w:rsidP="004E34FD">
            <w:pPr>
              <w:jc w:val="both"/>
              <w:rPr>
                <w:rFonts w:cs="Arial"/>
              </w:rPr>
            </w:pPr>
            <w:r w:rsidRPr="004E34FD">
              <w:rPr>
                <w:rFonts w:cs="Arial"/>
              </w:rPr>
              <w:t>ZVISJV: člen 3 alineja 27. Jedrska varnost so tehnični in organizacijski ukrepi, s katerimi se doseže varno</w:t>
            </w:r>
          </w:p>
          <w:p w14:paraId="1BF9AF62" w14:textId="77777777" w:rsidR="004314BA" w:rsidRPr="004E34FD" w:rsidRDefault="004314BA" w:rsidP="004E34FD">
            <w:pPr>
              <w:jc w:val="both"/>
              <w:rPr>
                <w:rFonts w:cs="Arial"/>
              </w:rPr>
            </w:pPr>
            <w:r w:rsidRPr="004E34FD">
              <w:rPr>
                <w:rFonts w:cs="Arial"/>
              </w:rPr>
              <w:t>obratovanje jedrskega objekta, preprečujejo izredni dogodki ali ublažijo posledice teh</w:t>
            </w:r>
          </w:p>
          <w:p w14:paraId="54C9F181" w14:textId="77777777" w:rsidR="004314BA" w:rsidRPr="004E34FD" w:rsidRDefault="004314BA" w:rsidP="004E34FD">
            <w:pPr>
              <w:jc w:val="both"/>
              <w:rPr>
                <w:rFonts w:cs="Arial"/>
              </w:rPr>
            </w:pPr>
            <w:r w:rsidRPr="004E34FD">
              <w:rPr>
                <w:rFonts w:cs="Arial"/>
              </w:rPr>
              <w:t>dogodkov ter prispeva k varstvu izpostavljenih delavcev, prebivalstva in okolja pred</w:t>
            </w:r>
          </w:p>
          <w:p w14:paraId="6242D6D3" w14:textId="77777777" w:rsidR="004314BA" w:rsidRPr="004E34FD" w:rsidRDefault="004314BA" w:rsidP="004E34FD">
            <w:pPr>
              <w:jc w:val="both"/>
              <w:rPr>
                <w:rFonts w:cs="Arial"/>
              </w:rPr>
            </w:pPr>
            <w:r w:rsidRPr="004E34FD">
              <w:rPr>
                <w:rFonts w:cs="Arial"/>
              </w:rPr>
              <w:t>ionizirajočimi sevanji.</w:t>
            </w:r>
          </w:p>
          <w:p w14:paraId="39384B3F" w14:textId="77777777" w:rsidR="004314BA" w:rsidRPr="004E34FD" w:rsidRDefault="004314BA" w:rsidP="004E34FD">
            <w:pPr>
              <w:jc w:val="both"/>
              <w:rPr>
                <w:rFonts w:cs="Arial"/>
              </w:rPr>
            </w:pPr>
          </w:p>
          <w:p w14:paraId="3FAB8D9F" w14:textId="77777777" w:rsidR="004314BA" w:rsidRPr="004E34FD" w:rsidRDefault="004314BA" w:rsidP="004E34FD">
            <w:pPr>
              <w:jc w:val="both"/>
              <w:rPr>
                <w:rFonts w:cs="Arial"/>
              </w:rPr>
            </w:pPr>
            <w:r w:rsidRPr="004E34FD">
              <w:rPr>
                <w:rFonts w:cs="Arial"/>
              </w:rPr>
              <w:t>IAEA Safety Fundamentals (2006): “3.1. For the purposes of this publication, ‘safety’ means the protection of people and the</w:t>
            </w:r>
          </w:p>
          <w:p w14:paraId="3364EF85" w14:textId="77777777" w:rsidR="004314BA" w:rsidRPr="004E34FD" w:rsidRDefault="004314BA" w:rsidP="004E34FD">
            <w:pPr>
              <w:jc w:val="both"/>
              <w:rPr>
                <w:rFonts w:cs="Arial"/>
              </w:rPr>
            </w:pPr>
            <w:r w:rsidRPr="004E34FD">
              <w:rPr>
                <w:rFonts w:cs="Arial"/>
              </w:rPr>
              <w:t>environment against radiation risks, and the safety of facilities and activities that give rise to</w:t>
            </w:r>
          </w:p>
          <w:p w14:paraId="4245843A" w14:textId="77777777" w:rsidR="004314BA" w:rsidRPr="004E34FD" w:rsidRDefault="004314BA" w:rsidP="004E34FD">
            <w:pPr>
              <w:jc w:val="both"/>
              <w:rPr>
                <w:rFonts w:cs="Arial"/>
              </w:rPr>
            </w:pPr>
            <w:r w:rsidRPr="004E34FD">
              <w:rPr>
                <w:rFonts w:cs="Arial"/>
              </w:rPr>
              <w:t>radiation risks. ‘Safety’ as used here and in the IAEA safety standards includes the safety of</w:t>
            </w:r>
          </w:p>
          <w:p w14:paraId="7FEE86C6" w14:textId="77777777" w:rsidR="004314BA" w:rsidRPr="004E34FD" w:rsidRDefault="004314BA" w:rsidP="004E34FD">
            <w:pPr>
              <w:jc w:val="both"/>
              <w:rPr>
                <w:rFonts w:cs="Arial"/>
              </w:rPr>
            </w:pPr>
            <w:r w:rsidRPr="004E34FD">
              <w:rPr>
                <w:rFonts w:cs="Arial"/>
              </w:rPr>
              <w:t>nuclear installations, radiation safety, the safety of radioactive waste management and safety in</w:t>
            </w:r>
          </w:p>
          <w:p w14:paraId="7CB554BC" w14:textId="77777777" w:rsidR="004314BA" w:rsidRPr="004E34FD" w:rsidRDefault="004314BA" w:rsidP="004E34FD">
            <w:pPr>
              <w:jc w:val="both"/>
              <w:rPr>
                <w:rFonts w:cs="Arial"/>
              </w:rPr>
            </w:pPr>
            <w:r w:rsidRPr="004E34FD">
              <w:rPr>
                <w:rFonts w:cs="Arial"/>
              </w:rPr>
              <w:t>the transport of radioactive material; it does not include non</w:t>
            </w:r>
            <w:r w:rsidRPr="004E34FD">
              <w:rPr>
                <w:rFonts w:ascii="Cambria Math" w:hAnsi="Cambria Math" w:cs="Cambria Math"/>
              </w:rPr>
              <w:t>‐</w:t>
            </w:r>
            <w:r w:rsidRPr="004E34FD">
              <w:rPr>
                <w:rFonts w:cs="Arial"/>
              </w:rPr>
              <w:t>radiation</w:t>
            </w:r>
            <w:r w:rsidRPr="004E34FD">
              <w:rPr>
                <w:rFonts w:ascii="Cambria Math" w:hAnsi="Cambria Math" w:cs="Cambria Math"/>
              </w:rPr>
              <w:t>‐</w:t>
            </w:r>
            <w:r w:rsidRPr="004E34FD">
              <w:rPr>
                <w:rFonts w:cs="Arial"/>
              </w:rPr>
              <w:t>related aspects of safety.</w:t>
            </w:r>
          </w:p>
          <w:p w14:paraId="5380A569" w14:textId="77777777" w:rsidR="004314BA" w:rsidRPr="004E34FD" w:rsidRDefault="004314BA" w:rsidP="004E34FD">
            <w:pPr>
              <w:jc w:val="both"/>
              <w:rPr>
                <w:rFonts w:cs="Arial"/>
              </w:rPr>
            </w:pPr>
          </w:p>
          <w:p w14:paraId="2F9E3830" w14:textId="673D51B8" w:rsidR="004314BA" w:rsidRPr="0059536C" w:rsidRDefault="004314BA" w:rsidP="009E7177">
            <w:pPr>
              <w:jc w:val="both"/>
              <w:rPr>
                <w:rFonts w:cs="Arial"/>
              </w:rPr>
            </w:pPr>
            <w:r w:rsidRPr="004E34FD">
              <w:rPr>
                <w:rFonts w:cs="Arial"/>
              </w:rPr>
              <w:t>Directive 2009/71/Euratom (art 3, par 2): 2. ‘nuclear safety’ means the achievement of proper operating conditions, prevention of accidents and mitigation of accident consequences, resulting in protection of workers and the general public from dangers arising from ionizing radiations from nuclear installations;</w:t>
            </w:r>
          </w:p>
        </w:tc>
        <w:tc>
          <w:tcPr>
            <w:tcW w:w="7938" w:type="dxa"/>
          </w:tcPr>
          <w:p w14:paraId="7BF19385" w14:textId="127FFA73" w:rsidR="004314BA" w:rsidRPr="00306156" w:rsidRDefault="004314BA" w:rsidP="006347A7">
            <w:pPr>
              <w:jc w:val="both"/>
              <w:rPr>
                <w:rFonts w:cs="Arial"/>
                <w:iCs/>
              </w:rPr>
            </w:pPr>
            <w:r w:rsidRPr="006347A7">
              <w:rPr>
                <w:rFonts w:cs="Arial"/>
                <w:iCs/>
              </w:rPr>
              <w:t>Vsak se ima možnost pooblastiti, prav pa je, da če obstaja specialno pooblastilo določenega področja, da se vežemo nanj</w:t>
            </w:r>
            <w:r>
              <w:rPr>
                <w:rFonts w:cs="Arial"/>
                <w:iCs/>
              </w:rPr>
              <w:t xml:space="preserve">. Sploh pa v tem primeru, saj URSJV sodeluje pri pooblastitvi izvedencev </w:t>
            </w:r>
            <w:r w:rsidRPr="006347A7">
              <w:rPr>
                <w:rFonts w:cs="Arial"/>
                <w:iCs/>
              </w:rPr>
              <w:t>varstva pred sevanji</w:t>
            </w:r>
            <w:r>
              <w:rPr>
                <w:rFonts w:cs="Arial"/>
                <w:iCs/>
              </w:rPr>
              <w:t>. Če je URSJV že enkrat presodila o kompetentnosti in primernosti določenega izvedenca, potem ni razlogov, da se pri drugem postopku ne veže na že opravljeno presojo.</w:t>
            </w:r>
          </w:p>
        </w:tc>
      </w:tr>
      <w:bookmarkEnd w:id="0"/>
      <w:tr w:rsidR="004314BA" w:rsidRPr="00F133F4" w14:paraId="0D2F80E2" w14:textId="77777777" w:rsidTr="00402ECA">
        <w:trPr>
          <w:trHeight w:val="624"/>
          <w:jc w:val="center"/>
        </w:trPr>
        <w:tc>
          <w:tcPr>
            <w:tcW w:w="562" w:type="dxa"/>
            <w:vMerge w:val="restart"/>
          </w:tcPr>
          <w:p w14:paraId="31BE1422" w14:textId="231D6888" w:rsidR="004314BA" w:rsidRPr="00DA01B2" w:rsidRDefault="004314BA" w:rsidP="006D69F5">
            <w:pPr>
              <w:rPr>
                <w:rFonts w:cs="Arial"/>
              </w:rPr>
            </w:pPr>
            <w:r>
              <w:rPr>
                <w:rFonts w:cs="Arial"/>
              </w:rPr>
              <w:t>2.</w:t>
            </w:r>
          </w:p>
        </w:tc>
        <w:tc>
          <w:tcPr>
            <w:tcW w:w="1560" w:type="dxa"/>
          </w:tcPr>
          <w:p w14:paraId="663F6D3C" w14:textId="1B7C3908" w:rsidR="004314BA" w:rsidRPr="00DA01B2" w:rsidRDefault="004314BA" w:rsidP="006D69F5">
            <w:pPr>
              <w:rPr>
                <w:rFonts w:cs="Arial"/>
              </w:rPr>
            </w:pPr>
            <w:r w:rsidRPr="003308D8">
              <w:t xml:space="preserve">2. člen; 2. </w:t>
            </w:r>
            <w:r>
              <w:t>odstavek</w:t>
            </w:r>
          </w:p>
        </w:tc>
        <w:tc>
          <w:tcPr>
            <w:tcW w:w="6378" w:type="dxa"/>
          </w:tcPr>
          <w:p w14:paraId="5389A0E6" w14:textId="22EDFD98" w:rsidR="004314BA" w:rsidRDefault="004314BA" w:rsidP="006D69F5">
            <w:pPr>
              <w:pStyle w:val="Pripombabesedilo"/>
              <w:tabs>
                <w:tab w:val="left" w:pos="1179"/>
              </w:tabs>
            </w:pPr>
            <w:r w:rsidRPr="006D69F5">
              <w:t>Priporočamo dosledno uporabo izrazja iz ZVISJV in tega pravilnika</w:t>
            </w:r>
            <w:r>
              <w:t>.</w:t>
            </w:r>
          </w:p>
          <w:p w14:paraId="6B94D815" w14:textId="0FB6D577" w:rsidR="004314BA" w:rsidRDefault="004314BA" w:rsidP="006D69F5">
            <w:pPr>
              <w:pStyle w:val="Pripombabesedilo"/>
              <w:tabs>
                <w:tab w:val="left" w:pos="1179"/>
              </w:tabs>
            </w:pPr>
            <w:r>
              <w:t>Predlog:</w:t>
            </w:r>
          </w:p>
          <w:p w14:paraId="153F9BF5" w14:textId="33DE0A3F" w:rsidR="004314BA" w:rsidRPr="00DA01B2" w:rsidRDefault="004314BA" w:rsidP="006D69F5">
            <w:pPr>
              <w:pStyle w:val="Pripombabesedilo"/>
              <w:tabs>
                <w:tab w:val="left" w:pos="1179"/>
              </w:tabs>
            </w:pPr>
            <w:r w:rsidRPr="006D69F5">
              <w:t>(2)</w:t>
            </w:r>
            <w:r>
              <w:t xml:space="preserve"> </w:t>
            </w:r>
            <w:r w:rsidRPr="006D69F5">
              <w:t>Pogoj   za pridobitev pooblastila »Varstvo pred sevanji in sevalna varnost«   iz priloge 1 tega pravilnika je veljavno pooblastilo za pooblaščenega izvedenca varstva pred sevanji, pridobljeno v skladu s pravilnikom, ki ureja pooblaščanje izvedencev varstva pred sevanji.</w:t>
            </w:r>
          </w:p>
        </w:tc>
        <w:tc>
          <w:tcPr>
            <w:tcW w:w="7938" w:type="dxa"/>
          </w:tcPr>
          <w:p w14:paraId="1770D822" w14:textId="7106BED2" w:rsidR="004314BA" w:rsidRDefault="004314BA" w:rsidP="006D69F5">
            <w:pPr>
              <w:pStyle w:val="Pripombabesedilo"/>
            </w:pPr>
            <w:r>
              <w:t>Se upošteva. Uporabili smo enak izraz kot v prilogi</w:t>
            </w:r>
            <w:r w:rsidR="00F56D90">
              <w:t>.</w:t>
            </w:r>
          </w:p>
          <w:p w14:paraId="1DE8F5EF" w14:textId="2E17379A" w:rsidR="004314BA" w:rsidRPr="0059536C" w:rsidRDefault="004314BA" w:rsidP="006D69F5">
            <w:pPr>
              <w:jc w:val="both"/>
              <w:rPr>
                <w:rFonts w:cs="Arial"/>
              </w:rPr>
            </w:pPr>
          </w:p>
        </w:tc>
      </w:tr>
      <w:tr w:rsidR="004314BA" w:rsidRPr="00F133F4" w14:paraId="74A7280A" w14:textId="77777777" w:rsidTr="00402ECA">
        <w:trPr>
          <w:trHeight w:val="623"/>
          <w:jc w:val="center"/>
        </w:trPr>
        <w:tc>
          <w:tcPr>
            <w:tcW w:w="562" w:type="dxa"/>
            <w:vMerge/>
          </w:tcPr>
          <w:p w14:paraId="21323BF4" w14:textId="77777777" w:rsidR="004314BA" w:rsidRDefault="004314BA" w:rsidP="00B51EE0">
            <w:pPr>
              <w:rPr>
                <w:rFonts w:cs="Arial"/>
              </w:rPr>
            </w:pPr>
          </w:p>
        </w:tc>
        <w:tc>
          <w:tcPr>
            <w:tcW w:w="1560" w:type="dxa"/>
          </w:tcPr>
          <w:p w14:paraId="2F2D6952" w14:textId="77777777" w:rsidR="004314BA" w:rsidRDefault="004314BA" w:rsidP="00B51EE0">
            <w:r w:rsidRPr="003308D8">
              <w:t>2. člen; 2.</w:t>
            </w:r>
          </w:p>
          <w:p w14:paraId="7AD42C1D" w14:textId="07A49F22" w:rsidR="004314BA" w:rsidRPr="003308D8" w:rsidRDefault="004314BA" w:rsidP="00B51EE0">
            <w:r>
              <w:t>odstavek</w:t>
            </w:r>
          </w:p>
        </w:tc>
        <w:tc>
          <w:tcPr>
            <w:tcW w:w="6378" w:type="dxa"/>
          </w:tcPr>
          <w:p w14:paraId="076780C8" w14:textId="0E5DBEF2" w:rsidR="004314BA" w:rsidRDefault="004314BA" w:rsidP="00B51EE0">
            <w:pPr>
              <w:pStyle w:val="Pripombabesedilo"/>
              <w:tabs>
                <w:tab w:val="left" w:pos="1179"/>
              </w:tabs>
            </w:pPr>
            <w:r w:rsidRPr="00717545">
              <w:t>Bolj razumljivo bi bilo, če bi se namesto tega uporabil celoten naziv področja kot je naveden v Prilogi 1, tj. »Varstvo pred sevanji in sevalna varnost«</w:t>
            </w:r>
          </w:p>
          <w:p w14:paraId="28C4216B" w14:textId="77777777" w:rsidR="004314BA" w:rsidRDefault="004314BA" w:rsidP="00B51EE0">
            <w:pPr>
              <w:pStyle w:val="Pripombabesedilo"/>
              <w:tabs>
                <w:tab w:val="left" w:pos="1179"/>
              </w:tabs>
            </w:pPr>
            <w:r>
              <w:t>Predlog:</w:t>
            </w:r>
          </w:p>
          <w:p w14:paraId="38AD50B1" w14:textId="0742D885" w:rsidR="004314BA" w:rsidRPr="006D69F5" w:rsidRDefault="004314BA" w:rsidP="00B51EE0">
            <w:pPr>
              <w:pStyle w:val="Pripombabesedilo"/>
              <w:tabs>
                <w:tab w:val="left" w:pos="1179"/>
              </w:tabs>
            </w:pPr>
            <w:r w:rsidRPr="00717545">
              <w:lastRenderedPageBreak/>
              <w:t>(2)</w:t>
            </w:r>
            <w:r>
              <w:t xml:space="preserve"> </w:t>
            </w:r>
            <w:r w:rsidRPr="00717545">
              <w:t>Pogoj za pridobitev pooblastila za področje sevalne varnosti iz priloge 1 tega pravilnika je veljavno pooblastilo za pooblaščenega izvedenca varstva pred sevanji, pridobljeno v skladu s pravilnikom, ki ureja pooblaščanje izvedencev varstva pred sevanji.</w:t>
            </w:r>
          </w:p>
        </w:tc>
        <w:tc>
          <w:tcPr>
            <w:tcW w:w="7938" w:type="dxa"/>
          </w:tcPr>
          <w:p w14:paraId="28A33EAA" w14:textId="5DA7F73F" w:rsidR="004314BA" w:rsidRDefault="004314BA" w:rsidP="00376447">
            <w:pPr>
              <w:pStyle w:val="Pripombabesedilo"/>
            </w:pPr>
            <w:r>
              <w:lastRenderedPageBreak/>
              <w:t>Se upošteva. Uporabili smo enak izraz kot v prilogi</w:t>
            </w:r>
            <w:r w:rsidR="00F56D90">
              <w:t>.</w:t>
            </w:r>
          </w:p>
          <w:p w14:paraId="21199B18" w14:textId="19A7D5A1" w:rsidR="004314BA" w:rsidRDefault="004314BA" w:rsidP="00B51EE0">
            <w:pPr>
              <w:pStyle w:val="Pripombabesedilo"/>
            </w:pPr>
          </w:p>
          <w:p w14:paraId="6BFD6F63" w14:textId="77777777" w:rsidR="004314BA" w:rsidRDefault="004314BA" w:rsidP="00B51EE0">
            <w:pPr>
              <w:pStyle w:val="Pripombabesedilo"/>
            </w:pPr>
          </w:p>
        </w:tc>
      </w:tr>
      <w:tr w:rsidR="004314BA" w:rsidRPr="00F133F4" w14:paraId="679D6A5B" w14:textId="77777777" w:rsidTr="00402ECA">
        <w:trPr>
          <w:jc w:val="center"/>
        </w:trPr>
        <w:tc>
          <w:tcPr>
            <w:tcW w:w="562" w:type="dxa"/>
          </w:tcPr>
          <w:p w14:paraId="3327FE8A" w14:textId="2A152730" w:rsidR="004314BA" w:rsidRDefault="004314BA" w:rsidP="00F73218">
            <w:pPr>
              <w:rPr>
                <w:rFonts w:cs="Arial"/>
              </w:rPr>
            </w:pPr>
            <w:r>
              <w:rPr>
                <w:rFonts w:cs="Arial"/>
              </w:rPr>
              <w:t>3.</w:t>
            </w:r>
          </w:p>
        </w:tc>
        <w:tc>
          <w:tcPr>
            <w:tcW w:w="1560" w:type="dxa"/>
          </w:tcPr>
          <w:p w14:paraId="248D0D2A" w14:textId="76A6A830" w:rsidR="004314BA" w:rsidRDefault="004314BA" w:rsidP="00F73218">
            <w:pPr>
              <w:rPr>
                <w:rFonts w:cs="Arial"/>
              </w:rPr>
            </w:pPr>
            <w:r>
              <w:t>3. člen; 2. odstavek; 4. točka</w:t>
            </w:r>
          </w:p>
        </w:tc>
        <w:tc>
          <w:tcPr>
            <w:tcW w:w="6378" w:type="dxa"/>
          </w:tcPr>
          <w:p w14:paraId="4FE3D1EB" w14:textId="6F8476C5" w:rsidR="004314BA" w:rsidRPr="00A910D4" w:rsidRDefault="004314BA" w:rsidP="00F73218">
            <w:pPr>
              <w:jc w:val="both"/>
              <w:rPr>
                <w:lang w:eastAsia="en-US"/>
              </w:rPr>
            </w:pPr>
            <w:r w:rsidRPr="00A910D4">
              <w:rPr>
                <w:lang w:eastAsia="en-US"/>
              </w:rPr>
              <w:t>Umakniti skupaj z odst 2 čl 2.:</w:t>
            </w:r>
          </w:p>
          <w:p w14:paraId="47CD493E" w14:textId="77777777" w:rsidR="004314BA" w:rsidRPr="00A910D4" w:rsidRDefault="004314BA" w:rsidP="00F73218">
            <w:pPr>
              <w:jc w:val="both"/>
              <w:rPr>
                <w:lang w:eastAsia="en-US"/>
              </w:rPr>
            </w:pPr>
          </w:p>
          <w:p w14:paraId="41152C50" w14:textId="160F5318" w:rsidR="004314BA" w:rsidRPr="00A910D4" w:rsidRDefault="004314BA" w:rsidP="00F73218">
            <w:pPr>
              <w:rPr>
                <w:lang w:eastAsia="en-US"/>
              </w:rPr>
            </w:pPr>
            <w:r w:rsidRPr="00A910D4">
              <w:rPr>
                <w:lang w:eastAsia="en-US"/>
              </w:rPr>
              <w:t xml:space="preserve">4. izjavo o posedovanju veljavnega pooblastila iz drugega odstavka 2. člena tega pravilnika.  </w:t>
            </w:r>
          </w:p>
          <w:p w14:paraId="6D3A51E4" w14:textId="77777777" w:rsidR="004314BA" w:rsidRPr="00A910D4" w:rsidRDefault="004314BA" w:rsidP="00F73218">
            <w:pPr>
              <w:jc w:val="both"/>
              <w:rPr>
                <w:lang w:eastAsia="en-US"/>
              </w:rPr>
            </w:pPr>
          </w:p>
          <w:p w14:paraId="3DEBBA6C" w14:textId="5CDEDFBE" w:rsidR="004314BA" w:rsidRPr="009E7177" w:rsidRDefault="004314BA" w:rsidP="00F73218">
            <w:pPr>
              <w:jc w:val="both"/>
              <w:rPr>
                <w:color w:val="4472C4"/>
              </w:rPr>
            </w:pPr>
          </w:p>
        </w:tc>
        <w:tc>
          <w:tcPr>
            <w:tcW w:w="7938" w:type="dxa"/>
          </w:tcPr>
          <w:p w14:paraId="7D84B840" w14:textId="24064239" w:rsidR="004314BA" w:rsidRPr="00151BD5" w:rsidRDefault="004314BA" w:rsidP="00F73218">
            <w:pPr>
              <w:jc w:val="both"/>
              <w:rPr>
                <w:rFonts w:cs="Arial"/>
              </w:rPr>
            </w:pPr>
            <w:r>
              <w:rPr>
                <w:rFonts w:cs="Arial"/>
              </w:rPr>
              <w:t>Se ne upošteva (vezano na komentar v točki 1)</w:t>
            </w:r>
            <w:r w:rsidR="00F56D90">
              <w:rPr>
                <w:rFonts w:cs="Arial"/>
              </w:rPr>
              <w:t>.</w:t>
            </w:r>
          </w:p>
        </w:tc>
      </w:tr>
      <w:tr w:rsidR="004314BA" w:rsidRPr="00F133F4" w14:paraId="6E5015AD" w14:textId="77777777" w:rsidTr="00402ECA">
        <w:trPr>
          <w:jc w:val="center"/>
        </w:trPr>
        <w:tc>
          <w:tcPr>
            <w:tcW w:w="562" w:type="dxa"/>
          </w:tcPr>
          <w:p w14:paraId="3600E9C2" w14:textId="578CD47B" w:rsidR="004314BA" w:rsidRDefault="004314BA" w:rsidP="00B51EE0">
            <w:pPr>
              <w:rPr>
                <w:rFonts w:cs="Arial"/>
              </w:rPr>
            </w:pPr>
            <w:r>
              <w:rPr>
                <w:rFonts w:cs="Arial"/>
              </w:rPr>
              <w:t>4.</w:t>
            </w:r>
          </w:p>
        </w:tc>
        <w:tc>
          <w:tcPr>
            <w:tcW w:w="1560" w:type="dxa"/>
          </w:tcPr>
          <w:p w14:paraId="18298F5D" w14:textId="413767CF" w:rsidR="004314BA" w:rsidRPr="003308D8" w:rsidRDefault="004314BA" w:rsidP="00B51EE0">
            <w:r>
              <w:t>3. člen; 2. odstavek; 4. točka</w:t>
            </w:r>
          </w:p>
        </w:tc>
        <w:tc>
          <w:tcPr>
            <w:tcW w:w="6378" w:type="dxa"/>
          </w:tcPr>
          <w:p w14:paraId="654905B3" w14:textId="109C9D15" w:rsidR="004314BA" w:rsidRDefault="004314BA" w:rsidP="00B51EE0">
            <w:pPr>
              <w:jc w:val="both"/>
              <w:rPr>
                <w:lang w:eastAsia="en-US"/>
              </w:rPr>
            </w:pPr>
            <w:r w:rsidRPr="00B0257E">
              <w:rPr>
                <w:lang w:eastAsia="en-US"/>
              </w:rPr>
              <w:t>Mislim</w:t>
            </w:r>
            <w:r>
              <w:rPr>
                <w:lang w:eastAsia="en-US"/>
              </w:rPr>
              <w:t>o</w:t>
            </w:r>
            <w:r w:rsidRPr="00B0257E">
              <w:rPr>
                <w:lang w:eastAsia="en-US"/>
              </w:rPr>
              <w:t>, da je potrebno dostaviti pooblastilo (kopijo) in ne le izjavo, da »imamo pooblastilo«.</w:t>
            </w:r>
          </w:p>
          <w:p w14:paraId="0179D800" w14:textId="77777777" w:rsidR="004314BA" w:rsidRPr="00402ECA" w:rsidRDefault="004314BA" w:rsidP="00300681">
            <w:pPr>
              <w:numPr>
                <w:ilvl w:val="1"/>
                <w:numId w:val="11"/>
              </w:numPr>
              <w:tabs>
                <w:tab w:val="clear" w:pos="1440"/>
                <w:tab w:val="num" w:pos="599"/>
                <w:tab w:val="left" w:pos="709"/>
              </w:tabs>
              <w:spacing w:before="60" w:line="240" w:lineRule="atLeast"/>
              <w:ind w:left="458" w:hanging="284"/>
              <w:jc w:val="both"/>
              <w:rPr>
                <w:lang w:eastAsia="en-US"/>
              </w:rPr>
            </w:pPr>
            <w:r w:rsidRPr="00402ECA">
              <w:rPr>
                <w:lang w:eastAsia="en-US"/>
              </w:rPr>
              <w:t>izjavo o posedovanju veljavnega pooblastila iz drugega odstavka 2. člena tega pravilnika.</w:t>
            </w:r>
          </w:p>
          <w:p w14:paraId="0D6DACBE" w14:textId="4DFC5B57" w:rsidR="004314BA" w:rsidRPr="00A910D4" w:rsidRDefault="004314BA" w:rsidP="00B51EE0">
            <w:pPr>
              <w:jc w:val="both"/>
              <w:rPr>
                <w:lang w:eastAsia="en-US"/>
              </w:rPr>
            </w:pPr>
          </w:p>
        </w:tc>
        <w:tc>
          <w:tcPr>
            <w:tcW w:w="7938" w:type="dxa"/>
          </w:tcPr>
          <w:p w14:paraId="4388B337" w14:textId="4027DC19" w:rsidR="004314BA" w:rsidRPr="00151BD5" w:rsidRDefault="004314BA" w:rsidP="00B51EE0">
            <w:pPr>
              <w:jc w:val="both"/>
              <w:rPr>
                <w:rFonts w:cs="Arial"/>
              </w:rPr>
            </w:pPr>
            <w:r w:rsidRPr="00B0257E">
              <w:rPr>
                <w:rFonts w:cs="Arial"/>
              </w:rPr>
              <w:t xml:space="preserve">Se </w:t>
            </w:r>
            <w:r w:rsidRPr="00376447">
              <w:rPr>
                <w:rFonts w:cs="Arial"/>
              </w:rPr>
              <w:t>ne</w:t>
            </w:r>
            <w:r w:rsidRPr="00B0257E">
              <w:rPr>
                <w:rFonts w:cs="Arial"/>
              </w:rPr>
              <w:t xml:space="preserve"> upošteva. </w:t>
            </w:r>
            <w:r w:rsidR="00746961">
              <w:rPr>
                <w:rFonts w:cs="Arial"/>
              </w:rPr>
              <w:t>V skladu z Uredbo o upravnem poslovanju p</w:t>
            </w:r>
            <w:r w:rsidR="00746961" w:rsidRPr="00746961">
              <w:rPr>
                <w:rFonts w:cs="Arial"/>
              </w:rPr>
              <w:t>odatke o dejstvih iz uradnih evidenc, potrebne za odločanje v upravnih in drugih javnopravnih zadevah, pridobiva organ, ki vodi postopek.</w:t>
            </w:r>
            <w:r w:rsidR="00746961">
              <w:rPr>
                <w:rFonts w:cs="Arial"/>
              </w:rPr>
              <w:t xml:space="preserve"> </w:t>
            </w:r>
          </w:p>
        </w:tc>
      </w:tr>
      <w:tr w:rsidR="004314BA" w:rsidRPr="00F133F4" w14:paraId="58A086B8" w14:textId="77777777" w:rsidTr="00402ECA">
        <w:trPr>
          <w:jc w:val="center"/>
        </w:trPr>
        <w:tc>
          <w:tcPr>
            <w:tcW w:w="562" w:type="dxa"/>
          </w:tcPr>
          <w:p w14:paraId="73A51B56" w14:textId="5EC658D5" w:rsidR="004314BA" w:rsidRPr="0059536C" w:rsidRDefault="004314BA" w:rsidP="00B51EE0">
            <w:pPr>
              <w:rPr>
                <w:rFonts w:cs="Arial"/>
              </w:rPr>
            </w:pPr>
            <w:r>
              <w:rPr>
                <w:rFonts w:cs="Arial"/>
              </w:rPr>
              <w:t>5.</w:t>
            </w:r>
          </w:p>
        </w:tc>
        <w:tc>
          <w:tcPr>
            <w:tcW w:w="1560" w:type="dxa"/>
          </w:tcPr>
          <w:p w14:paraId="22F94374" w14:textId="64767EA7" w:rsidR="004314BA" w:rsidRPr="0059536C" w:rsidRDefault="004314BA" w:rsidP="00B51EE0">
            <w:pPr>
              <w:rPr>
                <w:rFonts w:cs="Arial"/>
              </w:rPr>
            </w:pPr>
            <w:r>
              <w:t>6</w:t>
            </w:r>
            <w:r w:rsidRPr="003308D8">
              <w:t xml:space="preserve">. člen; 2. </w:t>
            </w:r>
            <w:r>
              <w:t>odstavek</w:t>
            </w:r>
          </w:p>
        </w:tc>
        <w:tc>
          <w:tcPr>
            <w:tcW w:w="6378" w:type="dxa"/>
          </w:tcPr>
          <w:p w14:paraId="2FEF6138" w14:textId="54A3EB65" w:rsidR="004314BA" w:rsidRDefault="004314BA" w:rsidP="00935F2D">
            <w:pPr>
              <w:jc w:val="both"/>
              <w:rPr>
                <w:rFonts w:cs="Arial"/>
              </w:rPr>
            </w:pPr>
            <w:r>
              <w:rPr>
                <w:rFonts w:cs="Arial"/>
              </w:rPr>
              <w:t>Doda se beseda: nepristransko.</w:t>
            </w:r>
          </w:p>
          <w:p w14:paraId="5E6B4596" w14:textId="402A403E" w:rsidR="004314BA" w:rsidRPr="00A816A1" w:rsidRDefault="004314BA" w:rsidP="00B51EE0">
            <w:pPr>
              <w:numPr>
                <w:ilvl w:val="0"/>
                <w:numId w:val="6"/>
              </w:numPr>
              <w:jc w:val="both"/>
              <w:rPr>
                <w:rFonts w:cs="Arial"/>
              </w:rPr>
            </w:pPr>
            <w:r w:rsidRPr="00A816A1">
              <w:rPr>
                <w:rFonts w:cs="Arial"/>
              </w:rPr>
              <w:t xml:space="preserve">Pooblaščeni izvedenec in osebe, zaposlene pri pooblaščenem izvedencu, morajo biti organizirani tako, da niso pod poslovno ali finančno odvisnostjo, ki bi lahko vplivala na njihovo </w:t>
            </w:r>
            <w:r w:rsidRPr="004314BA">
              <w:rPr>
                <w:b/>
                <w:bCs/>
              </w:rPr>
              <w:t>nepristransko</w:t>
            </w:r>
            <w:r w:rsidRPr="00A816A1">
              <w:rPr>
                <w:rFonts w:cs="Arial"/>
              </w:rPr>
              <w:t xml:space="preserve">  strokovno odločanje. </w:t>
            </w:r>
          </w:p>
          <w:p w14:paraId="0D08403E" w14:textId="368BB133" w:rsidR="004314BA" w:rsidRPr="0059536C" w:rsidRDefault="004314BA" w:rsidP="00B51EE0">
            <w:pPr>
              <w:jc w:val="both"/>
              <w:rPr>
                <w:rFonts w:cs="Arial"/>
              </w:rPr>
            </w:pPr>
          </w:p>
        </w:tc>
        <w:tc>
          <w:tcPr>
            <w:tcW w:w="7938" w:type="dxa"/>
          </w:tcPr>
          <w:p w14:paraId="5FDDBCCA" w14:textId="0423EE81" w:rsidR="004314BA" w:rsidRPr="0059536C" w:rsidRDefault="004314BA" w:rsidP="00B51EE0">
            <w:pPr>
              <w:jc w:val="both"/>
              <w:rPr>
                <w:rFonts w:cs="Arial"/>
              </w:rPr>
            </w:pPr>
            <w:r w:rsidRPr="00A816A1">
              <w:rPr>
                <w:rFonts w:cs="Arial"/>
              </w:rPr>
              <w:t>Se upošteva</w:t>
            </w:r>
            <w:r w:rsidR="00F56D90">
              <w:rPr>
                <w:rFonts w:cs="Arial"/>
              </w:rPr>
              <w:t>.</w:t>
            </w:r>
          </w:p>
        </w:tc>
      </w:tr>
      <w:tr w:rsidR="004314BA" w:rsidRPr="00F133F4" w14:paraId="06297BD9" w14:textId="77777777" w:rsidTr="00402ECA">
        <w:trPr>
          <w:jc w:val="center"/>
        </w:trPr>
        <w:tc>
          <w:tcPr>
            <w:tcW w:w="562" w:type="dxa"/>
          </w:tcPr>
          <w:p w14:paraId="67CB20F5" w14:textId="7A4ADF02" w:rsidR="004314BA" w:rsidRPr="00DA01B2" w:rsidRDefault="004314BA" w:rsidP="00B51EE0">
            <w:pPr>
              <w:rPr>
                <w:rFonts w:cs="Arial"/>
              </w:rPr>
            </w:pPr>
            <w:r>
              <w:rPr>
                <w:rFonts w:cs="Arial"/>
              </w:rPr>
              <w:t>6.</w:t>
            </w:r>
          </w:p>
        </w:tc>
        <w:tc>
          <w:tcPr>
            <w:tcW w:w="1560" w:type="dxa"/>
          </w:tcPr>
          <w:p w14:paraId="30A6D8C3" w14:textId="30E5A828" w:rsidR="004314BA" w:rsidRPr="00DA01B2" w:rsidRDefault="004314BA" w:rsidP="00B51EE0">
            <w:pPr>
              <w:rPr>
                <w:rFonts w:cs="Arial"/>
              </w:rPr>
            </w:pPr>
            <w:r>
              <w:t>7</w:t>
            </w:r>
            <w:r w:rsidRPr="003308D8">
              <w:t xml:space="preserve">. člen; </w:t>
            </w:r>
            <w:r>
              <w:t>6</w:t>
            </w:r>
            <w:r w:rsidRPr="003308D8">
              <w:t xml:space="preserve">. </w:t>
            </w:r>
            <w:r>
              <w:t>odstavek</w:t>
            </w:r>
          </w:p>
        </w:tc>
        <w:tc>
          <w:tcPr>
            <w:tcW w:w="6378" w:type="dxa"/>
          </w:tcPr>
          <w:p w14:paraId="5E339399" w14:textId="3101202D" w:rsidR="004314BA" w:rsidRDefault="004314BA" w:rsidP="00402ECA">
            <w:pPr>
              <w:pStyle w:val="Naslov2"/>
              <w:tabs>
                <w:tab w:val="left" w:pos="851"/>
              </w:tabs>
              <w:spacing w:before="0" w:after="0"/>
              <w:jc w:val="left"/>
              <w:outlineLvl w:val="1"/>
            </w:pPr>
            <w:r w:rsidRPr="00402ECA">
              <w:rPr>
                <w:rFonts w:cs="Arial"/>
                <w:sz w:val="20"/>
              </w:rPr>
              <w:t>Nov odstavek:</w:t>
            </w:r>
          </w:p>
          <w:p w14:paraId="5E1A3990" w14:textId="77777777" w:rsidR="004314BA" w:rsidRPr="00402ECA" w:rsidRDefault="004314BA" w:rsidP="00B51EE0">
            <w:pPr>
              <w:numPr>
                <w:ilvl w:val="0"/>
                <w:numId w:val="8"/>
              </w:numPr>
              <w:tabs>
                <w:tab w:val="left" w:pos="-1440"/>
              </w:tabs>
              <w:jc w:val="both"/>
              <w:rPr>
                <w:rFonts w:cs="Arial"/>
              </w:rPr>
            </w:pPr>
            <w:r w:rsidRPr="00402ECA">
              <w:rPr>
                <w:rFonts w:cs="Arial"/>
              </w:rPr>
              <w:t>Redno strokovno usposabljanje mora vključevati tudi seznanitev pooblaščenih izvedencev s tekočimi zakonodajnimi, organizacijskimi in tehnološkimi spremembami v povezavi z jedrskimi objekti. Seznanitev s tekočimi spremembami izvede upravni organ.</w:t>
            </w:r>
          </w:p>
          <w:p w14:paraId="0BD67900" w14:textId="15D8F8B8" w:rsidR="004314BA" w:rsidRPr="00DA01B2" w:rsidRDefault="004314BA" w:rsidP="00B51EE0">
            <w:pPr>
              <w:jc w:val="both"/>
              <w:rPr>
                <w:rFonts w:cs="Arial"/>
              </w:rPr>
            </w:pPr>
          </w:p>
        </w:tc>
        <w:tc>
          <w:tcPr>
            <w:tcW w:w="7938" w:type="dxa"/>
          </w:tcPr>
          <w:p w14:paraId="1461C75A" w14:textId="2F74D556" w:rsidR="004314BA" w:rsidRPr="0059536C" w:rsidRDefault="004314BA" w:rsidP="00B51EE0">
            <w:pPr>
              <w:jc w:val="both"/>
              <w:rPr>
                <w:rFonts w:cs="Arial"/>
              </w:rPr>
            </w:pPr>
            <w:r w:rsidRPr="0048776D">
              <w:rPr>
                <w:rFonts w:cs="Arial"/>
              </w:rPr>
              <w:t xml:space="preserve">Se </w:t>
            </w:r>
            <w:r w:rsidRPr="00376447">
              <w:rPr>
                <w:rFonts w:cs="Arial"/>
              </w:rPr>
              <w:t>ne</w:t>
            </w:r>
            <w:r w:rsidRPr="00B51EE0">
              <w:rPr>
                <w:rFonts w:cs="Arial"/>
                <w:b/>
                <w:bCs/>
              </w:rPr>
              <w:t xml:space="preserve"> </w:t>
            </w:r>
            <w:r w:rsidRPr="0048776D">
              <w:rPr>
                <w:rFonts w:cs="Arial"/>
              </w:rPr>
              <w:t xml:space="preserve">upošteva. </w:t>
            </w:r>
            <w:r>
              <w:rPr>
                <w:rFonts w:cs="Arial"/>
              </w:rPr>
              <w:t>S samo vsebino se sicer strinjamo, vendar to ni materija za pravilnik.</w:t>
            </w:r>
          </w:p>
        </w:tc>
      </w:tr>
      <w:tr w:rsidR="004314BA" w:rsidRPr="00F133F4" w14:paraId="202CADFD" w14:textId="77777777" w:rsidTr="00402ECA">
        <w:trPr>
          <w:jc w:val="center"/>
        </w:trPr>
        <w:tc>
          <w:tcPr>
            <w:tcW w:w="562" w:type="dxa"/>
          </w:tcPr>
          <w:p w14:paraId="0080F77F" w14:textId="255A44B1" w:rsidR="004314BA" w:rsidRPr="0059536C" w:rsidRDefault="004314BA" w:rsidP="00B51EE0">
            <w:pPr>
              <w:rPr>
                <w:rFonts w:cs="Arial"/>
              </w:rPr>
            </w:pPr>
            <w:r>
              <w:rPr>
                <w:rFonts w:cs="Arial"/>
              </w:rPr>
              <w:t>7.</w:t>
            </w:r>
          </w:p>
        </w:tc>
        <w:tc>
          <w:tcPr>
            <w:tcW w:w="1560" w:type="dxa"/>
          </w:tcPr>
          <w:p w14:paraId="1029D54A" w14:textId="5273F0AD" w:rsidR="004314BA" w:rsidRPr="0059536C" w:rsidRDefault="004314BA" w:rsidP="00B51EE0">
            <w:pPr>
              <w:rPr>
                <w:rFonts w:cs="Arial"/>
              </w:rPr>
            </w:pPr>
            <w:r>
              <w:t>7</w:t>
            </w:r>
            <w:r w:rsidRPr="003308D8">
              <w:t xml:space="preserve">. člen; </w:t>
            </w:r>
            <w:r>
              <w:t>6</w:t>
            </w:r>
            <w:r w:rsidRPr="003308D8">
              <w:t xml:space="preserve">. </w:t>
            </w:r>
            <w:r>
              <w:t>odstavek</w:t>
            </w:r>
          </w:p>
        </w:tc>
        <w:tc>
          <w:tcPr>
            <w:tcW w:w="6378" w:type="dxa"/>
          </w:tcPr>
          <w:p w14:paraId="69B1E00F" w14:textId="1C0E1E34" w:rsidR="004314BA" w:rsidRDefault="004314BA" w:rsidP="00402ECA">
            <w:pPr>
              <w:pStyle w:val="Naslov2"/>
              <w:tabs>
                <w:tab w:val="left" w:pos="851"/>
              </w:tabs>
              <w:spacing w:before="0" w:after="0"/>
              <w:jc w:val="left"/>
              <w:outlineLvl w:val="1"/>
            </w:pPr>
            <w:r w:rsidRPr="00402ECA">
              <w:rPr>
                <w:rFonts w:cs="Arial"/>
                <w:sz w:val="20"/>
              </w:rPr>
              <w:t>Nov odstavek:</w:t>
            </w:r>
          </w:p>
          <w:p w14:paraId="7ADCB2C1" w14:textId="189D682A" w:rsidR="004314BA" w:rsidRPr="00402ECA" w:rsidRDefault="004314BA" w:rsidP="00B51EE0">
            <w:pPr>
              <w:numPr>
                <w:ilvl w:val="0"/>
                <w:numId w:val="8"/>
              </w:numPr>
              <w:tabs>
                <w:tab w:val="left" w:pos="-1440"/>
              </w:tabs>
              <w:jc w:val="both"/>
              <w:rPr>
                <w:rFonts w:cs="Arial"/>
              </w:rPr>
            </w:pPr>
            <w:r w:rsidRPr="00402ECA">
              <w:rPr>
                <w:rFonts w:cs="Arial"/>
              </w:rPr>
              <w:t>Usposabljanje pooblaščenih izvedencev za sevalno in jedrsko varnost finančno podpira država v skladu s 174. čl. ZVISJV-1.</w:t>
            </w:r>
          </w:p>
          <w:p w14:paraId="2FE82F8E" w14:textId="2F9A695D" w:rsidR="004314BA" w:rsidRPr="00B70B67" w:rsidRDefault="004314BA" w:rsidP="00B51EE0">
            <w:pPr>
              <w:jc w:val="both"/>
              <w:rPr>
                <w:rFonts w:cs="Arial"/>
              </w:rPr>
            </w:pPr>
          </w:p>
        </w:tc>
        <w:tc>
          <w:tcPr>
            <w:tcW w:w="7938" w:type="dxa"/>
          </w:tcPr>
          <w:p w14:paraId="797532D9" w14:textId="0B237EEE" w:rsidR="004314BA" w:rsidRPr="0059536C" w:rsidRDefault="004314BA" w:rsidP="00B51EE0">
            <w:pPr>
              <w:jc w:val="both"/>
              <w:rPr>
                <w:rFonts w:cs="Arial"/>
              </w:rPr>
            </w:pPr>
            <w:r w:rsidRPr="003119CF">
              <w:rPr>
                <w:rFonts w:cs="Arial"/>
              </w:rPr>
              <w:t xml:space="preserve">Se </w:t>
            </w:r>
            <w:r w:rsidRPr="00376447">
              <w:rPr>
                <w:rFonts w:cs="Arial"/>
              </w:rPr>
              <w:t>ne</w:t>
            </w:r>
            <w:r w:rsidRPr="003119CF">
              <w:rPr>
                <w:rFonts w:cs="Arial"/>
              </w:rPr>
              <w:t xml:space="preserve"> upošteva. Ta zahteva je že v ZVISJV</w:t>
            </w:r>
            <w:r w:rsidR="00F56D90">
              <w:rPr>
                <w:rFonts w:cs="Arial"/>
              </w:rPr>
              <w:t>-1</w:t>
            </w:r>
            <w:r w:rsidRPr="003119CF">
              <w:rPr>
                <w:rFonts w:cs="Arial"/>
              </w:rPr>
              <w:t xml:space="preserve"> in je ne bomo ponavljali.</w:t>
            </w:r>
          </w:p>
        </w:tc>
      </w:tr>
      <w:tr w:rsidR="004314BA" w:rsidRPr="0059536C" w14:paraId="3C9FDBCF" w14:textId="77777777" w:rsidTr="00402ECA">
        <w:trPr>
          <w:jc w:val="center"/>
        </w:trPr>
        <w:tc>
          <w:tcPr>
            <w:tcW w:w="562" w:type="dxa"/>
            <w:vMerge w:val="restart"/>
          </w:tcPr>
          <w:p w14:paraId="6D1B7FD3" w14:textId="130A029C" w:rsidR="004314BA" w:rsidRPr="00DA01B2" w:rsidRDefault="004314BA" w:rsidP="00B51EE0">
            <w:pPr>
              <w:rPr>
                <w:rFonts w:cs="Arial"/>
              </w:rPr>
            </w:pPr>
            <w:r>
              <w:rPr>
                <w:rFonts w:cs="Arial"/>
              </w:rPr>
              <w:t>8.</w:t>
            </w:r>
          </w:p>
        </w:tc>
        <w:tc>
          <w:tcPr>
            <w:tcW w:w="1560" w:type="dxa"/>
          </w:tcPr>
          <w:p w14:paraId="5050B5D4" w14:textId="43D03BAF" w:rsidR="004314BA" w:rsidRPr="00DA01B2" w:rsidRDefault="004314BA" w:rsidP="00B51EE0">
            <w:pPr>
              <w:rPr>
                <w:rFonts w:cs="Arial"/>
              </w:rPr>
            </w:pPr>
            <w:r>
              <w:t>9</w:t>
            </w:r>
            <w:r w:rsidRPr="003308D8">
              <w:t>. člen</w:t>
            </w:r>
            <w:r>
              <w:t xml:space="preserve"> (naslov)</w:t>
            </w:r>
          </w:p>
        </w:tc>
        <w:tc>
          <w:tcPr>
            <w:tcW w:w="6378" w:type="dxa"/>
          </w:tcPr>
          <w:p w14:paraId="69C73965" w14:textId="605A468D" w:rsidR="004314BA" w:rsidRPr="00402ECA" w:rsidRDefault="00F56D90" w:rsidP="00402ECA">
            <w:pPr>
              <w:pStyle w:val="Naslov2"/>
              <w:tabs>
                <w:tab w:val="left" w:pos="851"/>
              </w:tabs>
              <w:spacing w:before="0"/>
              <w:jc w:val="left"/>
              <w:outlineLvl w:val="1"/>
              <w:rPr>
                <w:rFonts w:cs="Arial"/>
                <w:b w:val="0"/>
                <w:sz w:val="20"/>
                <w:lang w:eastAsia="sl-SI"/>
              </w:rPr>
            </w:pPr>
            <w:bookmarkStart w:id="1" w:name="_Toc127890811"/>
            <w:r w:rsidRPr="00402ECA">
              <w:rPr>
                <w:rFonts w:cs="Arial"/>
                <w:b w:val="0"/>
                <w:sz w:val="20"/>
                <w:lang w:eastAsia="sl-SI"/>
              </w:rPr>
              <w:t>T</w:t>
            </w:r>
            <w:r w:rsidR="004314BA" w:rsidRPr="00402ECA">
              <w:rPr>
                <w:rFonts w:cs="Arial"/>
                <w:b w:val="0"/>
                <w:sz w:val="20"/>
                <w:lang w:eastAsia="sl-SI"/>
              </w:rPr>
              <w:t>oplo priporočamo dosledno uporabo izrazov iz ZVISJV</w:t>
            </w:r>
          </w:p>
          <w:p w14:paraId="486412F6" w14:textId="3DE1038D" w:rsidR="004314BA" w:rsidRPr="00402ECA" w:rsidRDefault="004314BA" w:rsidP="00F56D90">
            <w:pPr>
              <w:rPr>
                <w:rFonts w:cs="Arial"/>
              </w:rPr>
            </w:pPr>
            <w:r w:rsidRPr="00402ECA">
              <w:rPr>
                <w:rFonts w:cs="Arial"/>
              </w:rPr>
              <w:t>Dopolnitev:</w:t>
            </w:r>
          </w:p>
          <w:p w14:paraId="496BCB04" w14:textId="570F28B9" w:rsidR="004314BA" w:rsidRPr="00DA01B2" w:rsidRDefault="004314BA" w:rsidP="00402ECA">
            <w:pPr>
              <w:pStyle w:val="Naslov2"/>
              <w:tabs>
                <w:tab w:val="left" w:pos="851"/>
              </w:tabs>
              <w:outlineLvl w:val="1"/>
            </w:pPr>
            <w:r w:rsidRPr="00402ECA">
              <w:rPr>
                <w:sz w:val="20"/>
              </w:rPr>
              <w:t>(usposobljenost iz sevalne in jedrske varnosti)</w:t>
            </w:r>
            <w:bookmarkEnd w:id="1"/>
            <w:r>
              <w:t xml:space="preserve"> </w:t>
            </w:r>
          </w:p>
        </w:tc>
        <w:tc>
          <w:tcPr>
            <w:tcW w:w="7938" w:type="dxa"/>
          </w:tcPr>
          <w:p w14:paraId="4806816C" w14:textId="0EAA35B8" w:rsidR="004314BA" w:rsidRPr="0059536C" w:rsidRDefault="004314BA" w:rsidP="00B51EE0">
            <w:pPr>
              <w:jc w:val="both"/>
              <w:rPr>
                <w:rFonts w:cs="Arial"/>
              </w:rPr>
            </w:pPr>
            <w:r>
              <w:rPr>
                <w:rFonts w:cs="Arial"/>
              </w:rPr>
              <w:t>Se upošteva. Poenotili smo v celem pravilniku</w:t>
            </w:r>
            <w:r w:rsidR="00F56D90">
              <w:rPr>
                <w:rFonts w:cs="Arial"/>
              </w:rPr>
              <w:t>.</w:t>
            </w:r>
          </w:p>
        </w:tc>
      </w:tr>
      <w:tr w:rsidR="004314BA" w:rsidRPr="0059536C" w14:paraId="679917EC" w14:textId="77777777" w:rsidTr="00402ECA">
        <w:trPr>
          <w:jc w:val="center"/>
        </w:trPr>
        <w:tc>
          <w:tcPr>
            <w:tcW w:w="562" w:type="dxa"/>
            <w:vMerge/>
          </w:tcPr>
          <w:p w14:paraId="70A169C1" w14:textId="77777777" w:rsidR="004314BA" w:rsidRDefault="004314BA" w:rsidP="00B51EE0">
            <w:pPr>
              <w:rPr>
                <w:rFonts w:cs="Arial"/>
              </w:rPr>
            </w:pPr>
          </w:p>
        </w:tc>
        <w:tc>
          <w:tcPr>
            <w:tcW w:w="1560" w:type="dxa"/>
          </w:tcPr>
          <w:p w14:paraId="21AAAD0A" w14:textId="6533A48D" w:rsidR="004314BA" w:rsidRDefault="004314BA" w:rsidP="00B51EE0">
            <w:r w:rsidRPr="00B51EE0">
              <w:t>9. člen (naslov)</w:t>
            </w:r>
          </w:p>
        </w:tc>
        <w:tc>
          <w:tcPr>
            <w:tcW w:w="6378" w:type="dxa"/>
          </w:tcPr>
          <w:p w14:paraId="538F0F30" w14:textId="08C562E1" w:rsidR="004314BA" w:rsidRPr="00402ECA" w:rsidRDefault="004314BA" w:rsidP="00402ECA">
            <w:pPr>
              <w:pStyle w:val="Naslov2"/>
              <w:tabs>
                <w:tab w:val="left" w:pos="851"/>
              </w:tabs>
              <w:spacing w:before="0"/>
              <w:jc w:val="both"/>
              <w:outlineLvl w:val="1"/>
              <w:rPr>
                <w:rFonts w:cs="Arial"/>
                <w:b w:val="0"/>
                <w:sz w:val="20"/>
                <w:lang w:eastAsia="sl-SI"/>
              </w:rPr>
            </w:pPr>
            <w:r w:rsidRPr="00402ECA">
              <w:rPr>
                <w:rFonts w:cs="Arial"/>
                <w:b w:val="0"/>
                <w:sz w:val="20"/>
                <w:lang w:eastAsia="sl-SI"/>
              </w:rPr>
              <w:t>Kot manj pomembno pripombo opažamo, da so v tem členu in tretjem odstavku 13. člena uporablja obratni vrstni red besede v izrazu tj. »jedrska in sevalna varnost« namesto »sevalna in jedrska varnost«.</w:t>
            </w:r>
          </w:p>
          <w:p w14:paraId="2BBD139A" w14:textId="3B371B10" w:rsidR="004314BA" w:rsidRPr="00B51EE0" w:rsidRDefault="004314BA" w:rsidP="00402ECA">
            <w:pPr>
              <w:pStyle w:val="Naslov2"/>
              <w:tabs>
                <w:tab w:val="left" w:pos="851"/>
              </w:tabs>
              <w:outlineLvl w:val="1"/>
            </w:pPr>
            <w:r w:rsidRPr="00402ECA">
              <w:rPr>
                <w:sz w:val="20"/>
                <w:szCs w:val="18"/>
              </w:rPr>
              <w:t>(usposobljenost iz jedrske in sevalne varnosti)</w:t>
            </w:r>
          </w:p>
        </w:tc>
        <w:tc>
          <w:tcPr>
            <w:tcW w:w="7938" w:type="dxa"/>
          </w:tcPr>
          <w:p w14:paraId="0FA5D2EA" w14:textId="12B7AFAE" w:rsidR="004314BA" w:rsidRDefault="004314BA" w:rsidP="00B51EE0">
            <w:pPr>
              <w:jc w:val="both"/>
              <w:rPr>
                <w:rFonts w:cs="Arial"/>
              </w:rPr>
            </w:pPr>
            <w:r w:rsidRPr="00B51EE0">
              <w:rPr>
                <w:rFonts w:cs="Arial"/>
              </w:rPr>
              <w:t xml:space="preserve">Se upošteva. </w:t>
            </w:r>
            <w:r>
              <w:rPr>
                <w:rFonts w:cs="Arial"/>
              </w:rPr>
              <w:t>Poenotili smo v celem pravilniku</w:t>
            </w:r>
            <w:r w:rsidR="00F56D90">
              <w:rPr>
                <w:rFonts w:cs="Arial"/>
              </w:rPr>
              <w:t>.</w:t>
            </w:r>
          </w:p>
        </w:tc>
      </w:tr>
      <w:tr w:rsidR="004314BA" w:rsidRPr="00F133F4" w14:paraId="41BB77CD" w14:textId="77777777" w:rsidTr="00402ECA">
        <w:trPr>
          <w:jc w:val="center"/>
        </w:trPr>
        <w:tc>
          <w:tcPr>
            <w:tcW w:w="562" w:type="dxa"/>
          </w:tcPr>
          <w:p w14:paraId="4529F384" w14:textId="0212D904" w:rsidR="004314BA" w:rsidRDefault="004314BA" w:rsidP="00B51EE0">
            <w:pPr>
              <w:rPr>
                <w:rFonts w:cs="Arial"/>
              </w:rPr>
            </w:pPr>
            <w:r>
              <w:rPr>
                <w:rFonts w:cs="Arial"/>
              </w:rPr>
              <w:t>9.</w:t>
            </w:r>
          </w:p>
        </w:tc>
        <w:tc>
          <w:tcPr>
            <w:tcW w:w="1560" w:type="dxa"/>
          </w:tcPr>
          <w:p w14:paraId="62761794" w14:textId="3EDE4293" w:rsidR="004314BA" w:rsidRDefault="004314BA" w:rsidP="00B51EE0">
            <w:r>
              <w:t>10. člen</w:t>
            </w:r>
          </w:p>
        </w:tc>
        <w:tc>
          <w:tcPr>
            <w:tcW w:w="6378" w:type="dxa"/>
          </w:tcPr>
          <w:p w14:paraId="5DDB03C2" w14:textId="29C372F8" w:rsidR="004314BA" w:rsidRDefault="004314BA" w:rsidP="005F090F">
            <w:pPr>
              <w:jc w:val="both"/>
              <w:rPr>
                <w:rFonts w:cs="Arial"/>
              </w:rPr>
            </w:pPr>
            <w:r>
              <w:rPr>
                <w:rFonts w:cs="Arial"/>
              </w:rPr>
              <w:t>Predlog</w:t>
            </w:r>
            <w:r w:rsidRPr="005F090F">
              <w:rPr>
                <w:rFonts w:cs="Arial"/>
              </w:rPr>
              <w:t>, da se četrti odstavek 10. člena črta.</w:t>
            </w:r>
          </w:p>
          <w:p w14:paraId="78CC8161" w14:textId="77777777" w:rsidR="004314BA" w:rsidRPr="005F090F" w:rsidRDefault="004314BA" w:rsidP="005F090F">
            <w:pPr>
              <w:jc w:val="both"/>
              <w:rPr>
                <w:rFonts w:cs="Arial"/>
              </w:rPr>
            </w:pPr>
          </w:p>
          <w:p w14:paraId="677375A2" w14:textId="362C0663" w:rsidR="004314BA" w:rsidRDefault="004314BA" w:rsidP="005F090F">
            <w:pPr>
              <w:jc w:val="both"/>
              <w:rPr>
                <w:rFonts w:cs="Arial"/>
              </w:rPr>
            </w:pPr>
            <w:r w:rsidRPr="005F090F">
              <w:rPr>
                <w:rFonts w:cs="Arial"/>
              </w:rPr>
              <w:t>Obrazložitev: Glede na veljavne predpise URSJV informacijo o podizvajalcih prejme v strokovnih mnenjih.</w:t>
            </w:r>
          </w:p>
        </w:tc>
        <w:tc>
          <w:tcPr>
            <w:tcW w:w="7938" w:type="dxa"/>
          </w:tcPr>
          <w:p w14:paraId="5374C521" w14:textId="772D51CD" w:rsidR="004314BA" w:rsidRPr="00930AC8" w:rsidRDefault="004314BA" w:rsidP="00B51EE0">
            <w:pPr>
              <w:jc w:val="both"/>
              <w:rPr>
                <w:rFonts w:cs="Arial"/>
              </w:rPr>
            </w:pPr>
            <w:r w:rsidRPr="008974B8">
              <w:rPr>
                <w:rFonts w:cs="Arial"/>
              </w:rPr>
              <w:t>Se</w:t>
            </w:r>
            <w:r>
              <w:rPr>
                <w:rFonts w:cs="Arial"/>
              </w:rPr>
              <w:t xml:space="preserve"> ne</w:t>
            </w:r>
            <w:r w:rsidRPr="008974B8">
              <w:rPr>
                <w:rFonts w:cs="Arial"/>
              </w:rPr>
              <w:t xml:space="preserve"> upošteva.</w:t>
            </w:r>
            <w:r>
              <w:rPr>
                <w:rFonts w:cs="Arial"/>
              </w:rPr>
              <w:t xml:space="preserve"> Ta informacija je na voljo šele</w:t>
            </w:r>
            <w:r w:rsidR="00F56D90">
              <w:rPr>
                <w:rFonts w:cs="Arial"/>
              </w:rPr>
              <w:t>,</w:t>
            </w:r>
            <w:r>
              <w:rPr>
                <w:rFonts w:cs="Arial"/>
              </w:rPr>
              <w:t xml:space="preserve"> ko je strokovno mnenje že izdelano. Če se v takem primeru URSJV ne strinja z izbiro, nastanejo finančne posledice, kar bi lahko potencialno negativno vplivalo na odločanje URSJV.</w:t>
            </w:r>
          </w:p>
        </w:tc>
      </w:tr>
      <w:tr w:rsidR="004314BA" w:rsidRPr="00F133F4" w14:paraId="7D6B14E4" w14:textId="77777777" w:rsidTr="00402ECA">
        <w:trPr>
          <w:jc w:val="center"/>
        </w:trPr>
        <w:tc>
          <w:tcPr>
            <w:tcW w:w="562" w:type="dxa"/>
          </w:tcPr>
          <w:p w14:paraId="533FAF79" w14:textId="281C26BA" w:rsidR="004314BA" w:rsidRDefault="004314BA" w:rsidP="00B51EE0">
            <w:pPr>
              <w:rPr>
                <w:rFonts w:cs="Arial"/>
              </w:rPr>
            </w:pPr>
            <w:r>
              <w:rPr>
                <w:rFonts w:cs="Arial"/>
              </w:rPr>
              <w:lastRenderedPageBreak/>
              <w:t>10.</w:t>
            </w:r>
          </w:p>
        </w:tc>
        <w:tc>
          <w:tcPr>
            <w:tcW w:w="1560" w:type="dxa"/>
          </w:tcPr>
          <w:p w14:paraId="045751F4" w14:textId="3A28BE8B" w:rsidR="004314BA" w:rsidRDefault="004314BA" w:rsidP="00B51EE0">
            <w:r>
              <w:t>12. člen; 2. odstavek</w:t>
            </w:r>
          </w:p>
        </w:tc>
        <w:tc>
          <w:tcPr>
            <w:tcW w:w="6378" w:type="dxa"/>
          </w:tcPr>
          <w:p w14:paraId="42E752A9" w14:textId="77777777" w:rsidR="004314BA" w:rsidRPr="00A1721F" w:rsidRDefault="004314BA" w:rsidP="00A1721F">
            <w:pPr>
              <w:jc w:val="both"/>
              <w:rPr>
                <w:rFonts w:cs="Arial"/>
              </w:rPr>
            </w:pPr>
            <w:r w:rsidRPr="00A1721F">
              <w:rPr>
                <w:rFonts w:cs="Arial"/>
              </w:rPr>
              <w:t>V Prilogi 3 je v 8. točki (Zaključki) navedeno, da mora biti navedena »Jasna in nedvoumna ocena sprejemljivosti: pozitivno, pogojno pozitivno (obrazložitev pogojev), negativno«. Glede na to, da je tukaj uporabljen termin »pojasniti«, menim, da se bolj nanaša na točko 7. (Opis strokovnega mnenja) vsebine strokovnega mnenja.</w:t>
            </w:r>
          </w:p>
          <w:p w14:paraId="3F5B04CC" w14:textId="77777777" w:rsidR="004314BA" w:rsidRPr="00A1721F" w:rsidRDefault="004314BA" w:rsidP="00A1721F">
            <w:pPr>
              <w:jc w:val="both"/>
              <w:rPr>
                <w:rFonts w:cs="Arial"/>
              </w:rPr>
            </w:pPr>
          </w:p>
          <w:p w14:paraId="7118D1CA" w14:textId="5C040D8B" w:rsidR="004314BA" w:rsidRDefault="004314BA" w:rsidP="00A1721F">
            <w:pPr>
              <w:jc w:val="both"/>
              <w:rPr>
                <w:rFonts w:cs="Arial"/>
              </w:rPr>
            </w:pPr>
            <w:r w:rsidRPr="00A1721F">
              <w:rPr>
                <w:rFonts w:cs="Arial"/>
              </w:rPr>
              <w:t>Predlagam, da se besedilo drugega odstavka 12. člena vključi v Prilogo 3 k točki 8 (Zaključki) ali, da se v drugem odstavku 12. člena bolj jasno definira na kateri del strokovnega mnenja se nanaša (npr. 7. točko vsebine v prilogi 3).</w:t>
            </w:r>
          </w:p>
          <w:p w14:paraId="22887B1E" w14:textId="77777777" w:rsidR="004314BA" w:rsidRDefault="004314BA" w:rsidP="00A1721F">
            <w:pPr>
              <w:jc w:val="both"/>
              <w:rPr>
                <w:rFonts w:cs="Arial"/>
              </w:rPr>
            </w:pPr>
          </w:p>
          <w:p w14:paraId="24EFAD5F" w14:textId="1ED1A9FF" w:rsidR="004314BA" w:rsidRDefault="004314BA" w:rsidP="00402ECA">
            <w:pPr>
              <w:numPr>
                <w:ilvl w:val="0"/>
                <w:numId w:val="10"/>
              </w:numPr>
              <w:jc w:val="both"/>
              <w:rPr>
                <w:rFonts w:cs="Arial"/>
              </w:rPr>
            </w:pPr>
            <w:r w:rsidRPr="00402ECA">
              <w:rPr>
                <w:rFonts w:cs="Arial"/>
              </w:rPr>
              <w:t>Strokovno mnenje iz prejšnjega odstavka mora v zaključku pojasniti pozitivno, pogojno pozitivno ali negativno oceno dokumenta ali dejavnosti, ki je predmet strokovne ocene.</w:t>
            </w:r>
          </w:p>
        </w:tc>
        <w:tc>
          <w:tcPr>
            <w:tcW w:w="7938" w:type="dxa"/>
          </w:tcPr>
          <w:p w14:paraId="19DAE40A" w14:textId="5A53F83C" w:rsidR="004314BA" w:rsidRPr="008974B8" w:rsidRDefault="004314BA" w:rsidP="00B51EE0">
            <w:pPr>
              <w:jc w:val="both"/>
              <w:rPr>
                <w:rFonts w:cs="Arial"/>
              </w:rPr>
            </w:pPr>
            <w:r w:rsidRPr="00A1721F">
              <w:rPr>
                <w:rFonts w:cs="Arial"/>
              </w:rPr>
              <w:t>Se ne upošteva. V starem pravilniku je bilo: jasno izraziti. To se nam je zdelo premalo in smo spremenili v pojasniti, ker želimo da izvedenec razloži oz. pojasni odločitev. S tem da piše v zaključku, je že jasno navedeno v kateri del spada, saj ima točka 8 naslov zaključek.</w:t>
            </w:r>
          </w:p>
        </w:tc>
      </w:tr>
      <w:tr w:rsidR="004314BA" w:rsidRPr="00F133F4" w14:paraId="033C6A23" w14:textId="77777777" w:rsidTr="00402ECA">
        <w:trPr>
          <w:jc w:val="center"/>
        </w:trPr>
        <w:tc>
          <w:tcPr>
            <w:tcW w:w="562" w:type="dxa"/>
            <w:vMerge w:val="restart"/>
          </w:tcPr>
          <w:p w14:paraId="5BC06A4A" w14:textId="0EEC5A87" w:rsidR="004314BA" w:rsidRPr="0059536C" w:rsidRDefault="004314BA" w:rsidP="00B51EE0">
            <w:pPr>
              <w:rPr>
                <w:rFonts w:cs="Arial"/>
              </w:rPr>
            </w:pPr>
            <w:r>
              <w:rPr>
                <w:rFonts w:cs="Arial"/>
              </w:rPr>
              <w:t>11.</w:t>
            </w:r>
          </w:p>
        </w:tc>
        <w:tc>
          <w:tcPr>
            <w:tcW w:w="1560" w:type="dxa"/>
          </w:tcPr>
          <w:p w14:paraId="32DDA632" w14:textId="69A92E2D" w:rsidR="004314BA" w:rsidRPr="0059536C" w:rsidRDefault="004314BA" w:rsidP="00B51EE0">
            <w:pPr>
              <w:rPr>
                <w:rFonts w:cs="Arial"/>
              </w:rPr>
            </w:pPr>
            <w:r>
              <w:t>13</w:t>
            </w:r>
            <w:r w:rsidRPr="003308D8">
              <w:t>. člen</w:t>
            </w:r>
            <w:r>
              <w:t xml:space="preserve"> </w:t>
            </w:r>
          </w:p>
        </w:tc>
        <w:tc>
          <w:tcPr>
            <w:tcW w:w="6378" w:type="dxa"/>
          </w:tcPr>
          <w:p w14:paraId="11D6E45D" w14:textId="77777777" w:rsidR="004314BA" w:rsidRDefault="004314BA" w:rsidP="00B51EE0">
            <w:pPr>
              <w:jc w:val="both"/>
              <w:rPr>
                <w:rFonts w:cs="Arial"/>
              </w:rPr>
            </w:pPr>
            <w:r w:rsidRPr="00930AC8">
              <w:rPr>
                <w:rFonts w:cs="Arial"/>
              </w:rPr>
              <w:t>Predlagamo, da se dikcija »izvedenci morajo« spremeni v točkah, kjer lahko daje videz pristranskosti oz odvisnosti.</w:t>
            </w:r>
          </w:p>
          <w:p w14:paraId="578CD0A5" w14:textId="77777777" w:rsidR="004314BA" w:rsidRDefault="004314BA" w:rsidP="00B51EE0">
            <w:pPr>
              <w:jc w:val="both"/>
              <w:rPr>
                <w:rFonts w:cs="Arial"/>
              </w:rPr>
            </w:pPr>
          </w:p>
          <w:p w14:paraId="37464D10" w14:textId="0038744F" w:rsidR="004314BA" w:rsidRDefault="004314BA" w:rsidP="00B51EE0">
            <w:pPr>
              <w:jc w:val="both"/>
              <w:rPr>
                <w:rFonts w:cs="Arial"/>
              </w:rPr>
            </w:pPr>
            <w:r>
              <w:rPr>
                <w:rFonts w:cs="Arial"/>
              </w:rPr>
              <w:t>Predlogi sprememb:</w:t>
            </w:r>
          </w:p>
          <w:p w14:paraId="43BC91CD" w14:textId="77777777" w:rsidR="004314BA" w:rsidRPr="00402ECA" w:rsidRDefault="004314BA" w:rsidP="008E5296">
            <w:pPr>
              <w:pStyle w:val="Naslov2"/>
              <w:numPr>
                <w:ilvl w:val="1"/>
                <w:numId w:val="0"/>
              </w:numPr>
              <w:tabs>
                <w:tab w:val="num" w:pos="0"/>
                <w:tab w:val="left" w:pos="851"/>
              </w:tabs>
              <w:spacing w:after="60"/>
              <w:outlineLvl w:val="1"/>
              <w:rPr>
                <w:rFonts w:cs="Arial"/>
                <w:bCs/>
                <w:sz w:val="20"/>
                <w:lang w:eastAsia="sl-SI"/>
              </w:rPr>
            </w:pPr>
            <w:r>
              <w:rPr>
                <w:szCs w:val="22"/>
              </w:rPr>
              <w:br/>
            </w:r>
            <w:r w:rsidRPr="008E5296">
              <w:rPr>
                <w:bCs/>
              </w:rPr>
              <w:t xml:space="preserve"> </w:t>
            </w:r>
            <w:bookmarkStart w:id="2" w:name="_Toc127890815"/>
            <w:r w:rsidRPr="00402ECA">
              <w:rPr>
                <w:rFonts w:cs="Arial"/>
                <w:bCs/>
                <w:sz w:val="20"/>
                <w:lang w:eastAsia="sl-SI"/>
              </w:rPr>
              <w:t>(poročanje med remonti v jedrski elektrarni)</w:t>
            </w:r>
            <w:bookmarkEnd w:id="2"/>
          </w:p>
          <w:p w14:paraId="343247A1" w14:textId="77777777" w:rsidR="004314BA" w:rsidRPr="008E5296" w:rsidRDefault="004314BA" w:rsidP="00B51EE0">
            <w:pPr>
              <w:rPr>
                <w:rFonts w:cs="Arial"/>
              </w:rPr>
            </w:pPr>
          </w:p>
          <w:p w14:paraId="07F2C362" w14:textId="77777777" w:rsidR="004314BA" w:rsidRPr="00402ECA" w:rsidRDefault="004314BA" w:rsidP="00B51EE0">
            <w:pPr>
              <w:pStyle w:val="Odstavekseznama"/>
              <w:numPr>
                <w:ilvl w:val="0"/>
                <w:numId w:val="9"/>
              </w:numPr>
              <w:jc w:val="both"/>
              <w:rPr>
                <w:rFonts w:cs="Arial"/>
              </w:rPr>
            </w:pPr>
            <w:r w:rsidRPr="00402ECA">
              <w:rPr>
                <w:rFonts w:cs="Arial"/>
              </w:rPr>
              <w:t xml:space="preserve">Pooblaščeni izvedenci med remontom v jedrski elektrarni o izvedenih delih, pomembnih ugotovitvah, dobrih in slabih praksah, varnostni kulturi, odstopanjih in priporočilih poročajo upravi in vodstvu elektrarne. </w:t>
            </w:r>
          </w:p>
          <w:p w14:paraId="073E3C8E" w14:textId="77777777" w:rsidR="004314BA" w:rsidRPr="00402ECA" w:rsidRDefault="004314BA" w:rsidP="00B51EE0">
            <w:pPr>
              <w:pStyle w:val="Odstavekseznama"/>
              <w:ind w:left="502"/>
              <w:jc w:val="both"/>
              <w:rPr>
                <w:rFonts w:cs="Arial"/>
              </w:rPr>
            </w:pPr>
            <w:r w:rsidRPr="00402ECA">
              <w:rPr>
                <w:rFonts w:cs="Arial"/>
              </w:rPr>
              <w:t xml:space="preserve"> </w:t>
            </w:r>
          </w:p>
          <w:p w14:paraId="79A5BEAB" w14:textId="77777777" w:rsidR="004314BA" w:rsidRPr="00402ECA" w:rsidRDefault="004314BA" w:rsidP="00B51EE0">
            <w:pPr>
              <w:pStyle w:val="Odstavekseznama"/>
              <w:numPr>
                <w:ilvl w:val="0"/>
                <w:numId w:val="9"/>
              </w:numPr>
              <w:jc w:val="both"/>
              <w:rPr>
                <w:rFonts w:cs="Arial"/>
              </w:rPr>
            </w:pPr>
            <w:r w:rsidRPr="00402ECA">
              <w:rPr>
                <w:rFonts w:cs="Arial"/>
              </w:rPr>
              <w:t>Ob ugotovitvi pomembnih odstopanj pooblaščeni izvedenci o tem nemudoma obvestijo upravo in vodstvo elektrarne.</w:t>
            </w:r>
          </w:p>
          <w:p w14:paraId="669090F8" w14:textId="77777777" w:rsidR="004314BA" w:rsidRPr="00402ECA" w:rsidRDefault="004314BA" w:rsidP="00B51EE0">
            <w:pPr>
              <w:pStyle w:val="Odstavekseznama"/>
              <w:rPr>
                <w:rFonts w:cs="Arial"/>
              </w:rPr>
            </w:pPr>
          </w:p>
          <w:p w14:paraId="531654D5" w14:textId="77777777" w:rsidR="004314BA" w:rsidRPr="00402ECA" w:rsidRDefault="004314BA" w:rsidP="00B51EE0">
            <w:pPr>
              <w:pStyle w:val="Odstavekseznama"/>
              <w:numPr>
                <w:ilvl w:val="0"/>
                <w:numId w:val="9"/>
              </w:numPr>
              <w:jc w:val="both"/>
              <w:rPr>
                <w:rFonts w:cs="Arial"/>
              </w:rPr>
            </w:pPr>
            <w:r w:rsidRPr="00402ECA">
              <w:rPr>
                <w:rFonts w:cs="Arial"/>
              </w:rPr>
              <w:t xml:space="preserve">Pogoj za doseganje ponovne kritičnosti reaktorja ob zaključevanju remonta je izjava o ustreznosti opravljenih remontnih del s stališča jedrske in sevalne varnosti, ki jo podajo pooblaščeni izvedenci. </w:t>
            </w:r>
          </w:p>
          <w:p w14:paraId="1AC147F2" w14:textId="77777777" w:rsidR="004314BA" w:rsidRPr="00402ECA" w:rsidRDefault="004314BA" w:rsidP="00B51EE0">
            <w:pPr>
              <w:pStyle w:val="Odstavekseznama"/>
              <w:rPr>
                <w:rFonts w:cs="Arial"/>
              </w:rPr>
            </w:pPr>
          </w:p>
          <w:p w14:paraId="124824F1" w14:textId="77777777" w:rsidR="004314BA" w:rsidRPr="00402ECA" w:rsidRDefault="004314BA" w:rsidP="00B51EE0">
            <w:pPr>
              <w:pStyle w:val="Odstavekseznama"/>
              <w:numPr>
                <w:ilvl w:val="0"/>
                <w:numId w:val="9"/>
              </w:numPr>
              <w:jc w:val="both"/>
              <w:rPr>
                <w:rFonts w:cs="Arial"/>
              </w:rPr>
            </w:pPr>
            <w:r w:rsidRPr="00402ECA">
              <w:rPr>
                <w:rFonts w:cs="Arial"/>
              </w:rPr>
              <w:t xml:space="preserve">Pogoj za ponovno obratovanje jedrske elektrarne na moči po remontu je izjava o ustreznosti opravljenih remontnih del s stališča jedrske in sevalne varnosti za varno delovanje sistemov in opreme na moči, ki jo podajo pooblaščeni izvedenci. </w:t>
            </w:r>
          </w:p>
          <w:p w14:paraId="74BDE686" w14:textId="77777777" w:rsidR="004314BA" w:rsidRPr="00402ECA" w:rsidRDefault="004314BA" w:rsidP="00B51EE0">
            <w:pPr>
              <w:rPr>
                <w:rFonts w:cs="Arial"/>
              </w:rPr>
            </w:pPr>
          </w:p>
          <w:p w14:paraId="5F8CFA48" w14:textId="558D3379" w:rsidR="004314BA" w:rsidRPr="0059536C" w:rsidRDefault="004314BA" w:rsidP="00402ECA">
            <w:pPr>
              <w:pStyle w:val="Odstavekseznama"/>
              <w:numPr>
                <w:ilvl w:val="0"/>
                <w:numId w:val="9"/>
              </w:numPr>
              <w:jc w:val="both"/>
              <w:rPr>
                <w:rFonts w:cs="Arial"/>
              </w:rPr>
            </w:pPr>
            <w:r w:rsidRPr="00402ECA">
              <w:rPr>
                <w:rFonts w:cs="Arial"/>
              </w:rPr>
              <w:t>Pooblaščeni izvedenci po zaključku remonta pripravijo zbirno strokovno oceno izvedenih del in ostalih aktivnosti. Ta vsebuje najmanj opis izvedenega nadzora, ugotovitve, dobre in slabe prakse, opažanja glede varnostne kulture, odstopanja in priporočila s predlogi izboljšav.</w:t>
            </w:r>
          </w:p>
        </w:tc>
        <w:tc>
          <w:tcPr>
            <w:tcW w:w="7938" w:type="dxa"/>
          </w:tcPr>
          <w:p w14:paraId="1BCC2F39" w14:textId="46CB73E1" w:rsidR="004314BA" w:rsidRPr="0059536C" w:rsidRDefault="004314BA" w:rsidP="00B51EE0">
            <w:pPr>
              <w:jc w:val="both"/>
              <w:rPr>
                <w:rFonts w:cs="Arial"/>
              </w:rPr>
            </w:pPr>
            <w:r w:rsidRPr="00930AC8">
              <w:rPr>
                <w:rFonts w:cs="Arial"/>
              </w:rPr>
              <w:t xml:space="preserve">Se </w:t>
            </w:r>
            <w:r w:rsidRPr="00376447">
              <w:rPr>
                <w:rFonts w:cs="Arial"/>
              </w:rPr>
              <w:t>ne</w:t>
            </w:r>
            <w:r w:rsidRPr="00930AC8">
              <w:rPr>
                <w:rFonts w:cs="Arial"/>
              </w:rPr>
              <w:t xml:space="preserve"> upošteva. Vsi popravki v členu 13 se </w:t>
            </w:r>
            <w:r w:rsidRPr="00376447">
              <w:rPr>
                <w:rFonts w:cs="Arial"/>
              </w:rPr>
              <w:t>ne</w:t>
            </w:r>
            <w:r w:rsidRPr="00930AC8">
              <w:rPr>
                <w:rFonts w:cs="Arial"/>
              </w:rPr>
              <w:t xml:space="preserve"> upoštevajo. Gre za nomotehniko in ne pristranskost. Poleg tega ne bomo v pravilnik zapisali, da so izjave pogoj.</w:t>
            </w:r>
          </w:p>
        </w:tc>
      </w:tr>
      <w:tr w:rsidR="004314BA" w:rsidRPr="00F133F4" w14:paraId="6ABC710B" w14:textId="77777777" w:rsidTr="00402ECA">
        <w:trPr>
          <w:jc w:val="center"/>
        </w:trPr>
        <w:tc>
          <w:tcPr>
            <w:tcW w:w="562" w:type="dxa"/>
            <w:vMerge/>
          </w:tcPr>
          <w:p w14:paraId="254FAF85" w14:textId="77777777" w:rsidR="004314BA" w:rsidRDefault="004314BA" w:rsidP="00B51EE0">
            <w:pPr>
              <w:rPr>
                <w:rFonts w:cs="Arial"/>
              </w:rPr>
            </w:pPr>
          </w:p>
        </w:tc>
        <w:tc>
          <w:tcPr>
            <w:tcW w:w="1560" w:type="dxa"/>
          </w:tcPr>
          <w:p w14:paraId="03AB6800" w14:textId="3571A8B8" w:rsidR="004314BA" w:rsidRPr="00DA01B2" w:rsidRDefault="004314BA" w:rsidP="00B51EE0">
            <w:pPr>
              <w:rPr>
                <w:rFonts w:cs="Arial"/>
              </w:rPr>
            </w:pPr>
            <w:r w:rsidRPr="00E07053">
              <w:rPr>
                <w:rFonts w:cs="Arial"/>
              </w:rPr>
              <w:t>13. člen</w:t>
            </w:r>
          </w:p>
        </w:tc>
        <w:tc>
          <w:tcPr>
            <w:tcW w:w="6378" w:type="dxa"/>
          </w:tcPr>
          <w:p w14:paraId="66099AE5" w14:textId="77777777" w:rsidR="004314BA" w:rsidRDefault="004314BA" w:rsidP="00B51EE0">
            <w:pPr>
              <w:jc w:val="both"/>
              <w:rPr>
                <w:rFonts w:cs="Arial"/>
              </w:rPr>
            </w:pPr>
            <w:r w:rsidRPr="00E07053">
              <w:rPr>
                <w:rFonts w:cs="Arial"/>
              </w:rPr>
              <w:t>Zapis v členu je premalo določen, saj ni jasno razvidno, da se v členu navedene obveznosti nanašajo le na pooblaščene izvedence, ki sodelujejo pri aktivnosti priprave zbirne strokovne ocene izvedenih del in ostalih aktivnosti med remonti v jedrski elektrarni in ne na vse pooblaščene izvedence (registrirane v evidenci). Tako se lahko na primer razume tretji odstavek, da je obveza vseh pooblaščenih izvedencev (iz evidence) da podajo izjavo o ustreznosti opravljenih remontnih del.</w:t>
            </w:r>
          </w:p>
          <w:p w14:paraId="57694DB2" w14:textId="77777777" w:rsidR="004314BA" w:rsidRDefault="004314BA" w:rsidP="00B51EE0">
            <w:pPr>
              <w:jc w:val="both"/>
              <w:rPr>
                <w:rFonts w:cs="Arial"/>
              </w:rPr>
            </w:pPr>
          </w:p>
          <w:p w14:paraId="4FD59FF1" w14:textId="465A401E" w:rsidR="004314BA" w:rsidRDefault="004314BA" w:rsidP="00E07053">
            <w:pPr>
              <w:jc w:val="both"/>
              <w:rPr>
                <w:rFonts w:cs="Arial"/>
              </w:rPr>
            </w:pPr>
            <w:r w:rsidRPr="00E07053">
              <w:rPr>
                <w:rFonts w:cs="Arial"/>
              </w:rPr>
              <w:t>Predlogi sprememb:</w:t>
            </w:r>
          </w:p>
          <w:p w14:paraId="33EC60CF" w14:textId="77777777" w:rsidR="004314BA" w:rsidRPr="00402ECA" w:rsidRDefault="004314BA" w:rsidP="00A910D4">
            <w:pPr>
              <w:pStyle w:val="Naslov2"/>
              <w:numPr>
                <w:ilvl w:val="1"/>
                <w:numId w:val="0"/>
              </w:numPr>
              <w:tabs>
                <w:tab w:val="num" w:pos="0"/>
                <w:tab w:val="left" w:pos="851"/>
              </w:tabs>
              <w:spacing w:after="60"/>
              <w:outlineLvl w:val="1"/>
              <w:rPr>
                <w:sz w:val="20"/>
                <w:szCs w:val="18"/>
              </w:rPr>
            </w:pPr>
            <w:r w:rsidRPr="00402ECA">
              <w:rPr>
                <w:sz w:val="20"/>
                <w:szCs w:val="18"/>
              </w:rPr>
              <w:lastRenderedPageBreak/>
              <w:t>(poročanje med remonti v jedrski elektrarni)</w:t>
            </w:r>
          </w:p>
          <w:p w14:paraId="0E4ABB25" w14:textId="77777777" w:rsidR="004314BA" w:rsidRPr="00561ADD" w:rsidRDefault="004314BA" w:rsidP="00561ADD">
            <w:pPr>
              <w:jc w:val="both"/>
              <w:rPr>
                <w:rFonts w:cs="Arial"/>
              </w:rPr>
            </w:pPr>
          </w:p>
          <w:p w14:paraId="63FA3B07" w14:textId="77777777" w:rsidR="004314BA" w:rsidRPr="00561ADD" w:rsidRDefault="004314BA" w:rsidP="00561ADD">
            <w:pPr>
              <w:jc w:val="both"/>
              <w:rPr>
                <w:rFonts w:cs="Arial"/>
              </w:rPr>
            </w:pPr>
            <w:r w:rsidRPr="00561ADD">
              <w:rPr>
                <w:rFonts w:cs="Arial"/>
              </w:rPr>
              <w:t>(1)</w:t>
            </w:r>
            <w:r w:rsidRPr="00561ADD">
              <w:rPr>
                <w:rFonts w:cs="Arial"/>
              </w:rPr>
              <w:tab/>
              <w:t xml:space="preserve">Pooblaščeni izvedenci, ki spremljajo remont, morajo med remontom v jedrski elektrarni o izvedenem delu, pomembnih ugotovitvah, dobrih in slabih praksah, varnostni kulturi, odstopanjih in priporočilih poročati upravi. </w:t>
            </w:r>
          </w:p>
          <w:p w14:paraId="11B76B6A" w14:textId="77777777" w:rsidR="004314BA" w:rsidRPr="00561ADD" w:rsidRDefault="004314BA" w:rsidP="00561ADD">
            <w:pPr>
              <w:jc w:val="both"/>
              <w:rPr>
                <w:rFonts w:cs="Arial"/>
              </w:rPr>
            </w:pPr>
          </w:p>
          <w:p w14:paraId="44A07C40" w14:textId="77777777" w:rsidR="004314BA" w:rsidRPr="00561ADD" w:rsidRDefault="004314BA" w:rsidP="00561ADD">
            <w:pPr>
              <w:jc w:val="both"/>
              <w:rPr>
                <w:rFonts w:cs="Arial"/>
              </w:rPr>
            </w:pPr>
            <w:r w:rsidRPr="00561ADD">
              <w:rPr>
                <w:rFonts w:cs="Arial"/>
              </w:rPr>
              <w:t>(2)</w:t>
            </w:r>
            <w:r w:rsidRPr="00561ADD">
              <w:rPr>
                <w:rFonts w:cs="Arial"/>
              </w:rPr>
              <w:tab/>
              <w:t>Ob ugotovitvi pomembnih odstopanj morajo pooblaščeni izvedenci iz prejšnjega odstavka o tem nemudoma obvestiti upravo.</w:t>
            </w:r>
          </w:p>
          <w:p w14:paraId="5BCB8CAC" w14:textId="77777777" w:rsidR="004314BA" w:rsidRPr="00561ADD" w:rsidRDefault="004314BA" w:rsidP="00561ADD">
            <w:pPr>
              <w:jc w:val="both"/>
              <w:rPr>
                <w:rFonts w:cs="Arial"/>
              </w:rPr>
            </w:pPr>
          </w:p>
          <w:p w14:paraId="2AE09221" w14:textId="77777777" w:rsidR="004314BA" w:rsidRPr="00561ADD" w:rsidRDefault="004314BA" w:rsidP="00561ADD">
            <w:pPr>
              <w:jc w:val="both"/>
              <w:rPr>
                <w:rFonts w:cs="Arial"/>
              </w:rPr>
            </w:pPr>
            <w:r w:rsidRPr="00561ADD">
              <w:rPr>
                <w:rFonts w:cs="Arial"/>
              </w:rPr>
              <w:t>(3)</w:t>
            </w:r>
            <w:r w:rsidRPr="00561ADD">
              <w:rPr>
                <w:rFonts w:cs="Arial"/>
              </w:rPr>
              <w:tab/>
              <w:t xml:space="preserve">Ob zaključevanju remonta morajo pooblaščeni izvedenci podati izjavo o ustreznosti opravljenih remontnih del s stališča jedrske in sevalne varnosti za doseganje ponovne kritičnosti. </w:t>
            </w:r>
          </w:p>
          <w:p w14:paraId="0452C832" w14:textId="77777777" w:rsidR="004314BA" w:rsidRPr="00561ADD" w:rsidRDefault="004314BA" w:rsidP="00561ADD">
            <w:pPr>
              <w:jc w:val="both"/>
              <w:rPr>
                <w:rFonts w:cs="Arial"/>
              </w:rPr>
            </w:pPr>
          </w:p>
          <w:p w14:paraId="76D6CF39" w14:textId="77777777" w:rsidR="004314BA" w:rsidRPr="00561ADD" w:rsidRDefault="004314BA" w:rsidP="00561ADD">
            <w:pPr>
              <w:jc w:val="both"/>
              <w:rPr>
                <w:rFonts w:cs="Arial"/>
              </w:rPr>
            </w:pPr>
            <w:r w:rsidRPr="00561ADD">
              <w:rPr>
                <w:rFonts w:cs="Arial"/>
              </w:rPr>
              <w:t>(4)</w:t>
            </w:r>
            <w:r w:rsidRPr="00561ADD">
              <w:rPr>
                <w:rFonts w:cs="Arial"/>
              </w:rPr>
              <w:tab/>
              <w:t xml:space="preserve">Pred ponovnim obratovanjem jedrske elektrarne na moči morajo pooblaščeni izvedenci podati izjavo o ustreznosti opravljenih remontnih del s stališča jedrske in sevalne varnosti za varno delovanje sistemov in opreme na moči. </w:t>
            </w:r>
          </w:p>
          <w:p w14:paraId="29D8AC3A" w14:textId="77777777" w:rsidR="004314BA" w:rsidRPr="00561ADD" w:rsidRDefault="004314BA" w:rsidP="00561ADD">
            <w:pPr>
              <w:jc w:val="both"/>
              <w:rPr>
                <w:rFonts w:cs="Arial"/>
              </w:rPr>
            </w:pPr>
          </w:p>
          <w:p w14:paraId="61C186DD" w14:textId="19BAE1B9" w:rsidR="004314BA" w:rsidRPr="00DA01B2" w:rsidRDefault="004314BA" w:rsidP="00B51EE0">
            <w:pPr>
              <w:jc w:val="both"/>
              <w:rPr>
                <w:rFonts w:cs="Arial"/>
              </w:rPr>
            </w:pPr>
            <w:r w:rsidRPr="00561ADD">
              <w:rPr>
                <w:rFonts w:cs="Arial"/>
              </w:rPr>
              <w:t>(5)</w:t>
            </w:r>
            <w:r w:rsidRPr="00561ADD">
              <w:rPr>
                <w:rFonts w:cs="Arial"/>
              </w:rPr>
              <w:tab/>
              <w:t>Pooblaščeni izvedenci morajo po zaključku remonta pripraviti zbirno strokovno oceno izvedenih del in ostalih aktivnosti. Ta mora vsebovati opis izvedenega nadzora, ugotovitve, dobre in slabe prakse, opažanja glede varnostne kulture, odstopanja in priporočila s predlogi izboljšav.</w:t>
            </w:r>
          </w:p>
        </w:tc>
        <w:tc>
          <w:tcPr>
            <w:tcW w:w="7938" w:type="dxa"/>
          </w:tcPr>
          <w:p w14:paraId="6DEA65D9" w14:textId="7A677A37" w:rsidR="004314BA" w:rsidRPr="0059536C" w:rsidRDefault="004314BA" w:rsidP="00A5023E">
            <w:pPr>
              <w:jc w:val="both"/>
              <w:rPr>
                <w:rFonts w:cs="Arial"/>
              </w:rPr>
            </w:pPr>
            <w:r w:rsidRPr="00561ADD">
              <w:rPr>
                <w:rFonts w:cs="Arial"/>
              </w:rPr>
              <w:lastRenderedPageBreak/>
              <w:t>Se upošteva</w:t>
            </w:r>
            <w:r>
              <w:rPr>
                <w:rFonts w:cs="Arial"/>
              </w:rPr>
              <w:t xml:space="preserve">. V prvem odstavku je dodano za pooblaščenimi izvedenci </w:t>
            </w:r>
            <w:r w:rsidR="00F56D90">
              <w:rPr>
                <w:rFonts w:cs="Arial"/>
              </w:rPr>
              <w:t>besedilo</w:t>
            </w:r>
            <w:r>
              <w:rPr>
                <w:rFonts w:cs="Arial"/>
              </w:rPr>
              <w:t xml:space="preserve"> </w:t>
            </w:r>
            <w:r w:rsidR="00F56D90">
              <w:rPr>
                <w:rFonts w:cs="Arial"/>
              </w:rPr>
              <w:t>»</w:t>
            </w:r>
            <w:r>
              <w:rPr>
                <w:rFonts w:cs="Arial"/>
              </w:rPr>
              <w:t>ki spremljajo remont</w:t>
            </w:r>
            <w:r w:rsidR="00F56D90">
              <w:rPr>
                <w:rFonts w:cs="Arial"/>
              </w:rPr>
              <w:t>«</w:t>
            </w:r>
            <w:r>
              <w:rPr>
                <w:rFonts w:cs="Arial"/>
              </w:rPr>
              <w:t>. V ostalih odstavkih je dodan sklic na prvi odstavek.</w:t>
            </w:r>
          </w:p>
          <w:p w14:paraId="585FB555" w14:textId="455864B4" w:rsidR="004314BA" w:rsidRPr="0059536C" w:rsidRDefault="004314BA" w:rsidP="00B51EE0">
            <w:pPr>
              <w:jc w:val="both"/>
              <w:rPr>
                <w:rFonts w:cs="Arial"/>
              </w:rPr>
            </w:pPr>
          </w:p>
        </w:tc>
      </w:tr>
      <w:tr w:rsidR="004314BA" w:rsidRPr="00F133F4" w14:paraId="008B9CD7" w14:textId="77777777" w:rsidTr="00402ECA">
        <w:trPr>
          <w:jc w:val="center"/>
        </w:trPr>
        <w:tc>
          <w:tcPr>
            <w:tcW w:w="562" w:type="dxa"/>
          </w:tcPr>
          <w:p w14:paraId="3A193F1E" w14:textId="56D6DD49" w:rsidR="004314BA" w:rsidRDefault="004314BA" w:rsidP="00B51EE0">
            <w:pPr>
              <w:rPr>
                <w:rFonts w:cs="Arial"/>
              </w:rPr>
            </w:pPr>
            <w:r>
              <w:rPr>
                <w:rFonts w:cs="Arial"/>
              </w:rPr>
              <w:t>12.</w:t>
            </w:r>
          </w:p>
        </w:tc>
        <w:tc>
          <w:tcPr>
            <w:tcW w:w="1560" w:type="dxa"/>
          </w:tcPr>
          <w:p w14:paraId="44CA7F9E" w14:textId="26B383B3" w:rsidR="004314BA" w:rsidRDefault="004314BA" w:rsidP="00B51EE0">
            <w:pPr>
              <w:rPr>
                <w:rFonts w:cs="Arial"/>
              </w:rPr>
            </w:pPr>
            <w:r>
              <w:rPr>
                <w:rFonts w:cs="Arial"/>
              </w:rPr>
              <w:t>13. člen</w:t>
            </w:r>
          </w:p>
        </w:tc>
        <w:tc>
          <w:tcPr>
            <w:tcW w:w="6378" w:type="dxa"/>
          </w:tcPr>
          <w:p w14:paraId="66228E30" w14:textId="605A44B2" w:rsidR="004314BA" w:rsidRPr="00A5023E" w:rsidRDefault="004314BA" w:rsidP="008974B8">
            <w:pPr>
              <w:jc w:val="both"/>
              <w:rPr>
                <w:rFonts w:cs="Arial"/>
              </w:rPr>
            </w:pPr>
            <w:r>
              <w:rPr>
                <w:rFonts w:cs="Arial"/>
              </w:rPr>
              <w:t>P</w:t>
            </w:r>
            <w:r w:rsidRPr="00A5023E">
              <w:rPr>
                <w:rFonts w:cs="Arial"/>
              </w:rPr>
              <w:t>redl</w:t>
            </w:r>
            <w:r>
              <w:rPr>
                <w:rFonts w:cs="Arial"/>
              </w:rPr>
              <w:t>o</w:t>
            </w:r>
            <w:r w:rsidR="008E5296">
              <w:rPr>
                <w:rFonts w:cs="Arial"/>
              </w:rPr>
              <w:t>g</w:t>
            </w:r>
            <w:r w:rsidRPr="00A5023E">
              <w:rPr>
                <w:rFonts w:cs="Arial"/>
              </w:rPr>
              <w:t>, da se 13. člen črta.</w:t>
            </w:r>
          </w:p>
          <w:p w14:paraId="56B5B7C1" w14:textId="77777777" w:rsidR="004314BA" w:rsidRPr="00A5023E" w:rsidRDefault="004314BA" w:rsidP="008974B8">
            <w:pPr>
              <w:jc w:val="both"/>
              <w:rPr>
                <w:rFonts w:cs="Arial"/>
              </w:rPr>
            </w:pPr>
            <w:r w:rsidRPr="00A5023E">
              <w:rPr>
                <w:rFonts w:cs="Arial"/>
              </w:rPr>
              <w:t>Obrazložitev: Obveznosti v zvezi s poročanjem že dovolj jasno opredeljuje 29. člen Pravilnika o zagotavljanju varnosti po začetku obratovanja sevalnih ali jedrskih objektov (Uradni list RS, št. 81/16 in 76/17 — ZVISJV-I) — JV9. Obveznosti, ki bi jih na novo določal 13. člen pravilnika, se delno podvajajo z JV9, prav tako niso jasne razmejitve med odgovornostmi upravljavca jedrskega objekta in pooblaščenimi izvedenci. Tudi priprava zbirne strokovne ocene, na katero se nanaša peti odstavek 13. člena, je vsebinsko in časovno že urejena v 29. členu JV9.</w:t>
            </w:r>
          </w:p>
          <w:p w14:paraId="278EB1BB" w14:textId="0FE47FE0" w:rsidR="004314BA" w:rsidRPr="00A5023E" w:rsidRDefault="004314BA" w:rsidP="008974B8">
            <w:pPr>
              <w:jc w:val="both"/>
              <w:rPr>
                <w:rFonts w:cs="Arial"/>
              </w:rPr>
            </w:pPr>
          </w:p>
        </w:tc>
        <w:tc>
          <w:tcPr>
            <w:tcW w:w="7938" w:type="dxa"/>
          </w:tcPr>
          <w:p w14:paraId="28452AE7" w14:textId="412DAA3A" w:rsidR="004314BA" w:rsidRPr="00A5023E" w:rsidRDefault="004314BA" w:rsidP="00B51EE0">
            <w:pPr>
              <w:jc w:val="both"/>
              <w:rPr>
                <w:rFonts w:cs="Arial"/>
              </w:rPr>
            </w:pPr>
            <w:r w:rsidRPr="00A5023E">
              <w:rPr>
                <w:rFonts w:cs="Arial"/>
              </w:rPr>
              <w:t>Se ne upošteva. Z novima predlogoma JV3 in JV9 smo sedaj jasno opredelili</w:t>
            </w:r>
            <w:r w:rsidR="00F56D90">
              <w:rPr>
                <w:rFonts w:cs="Arial"/>
              </w:rPr>
              <w:t>,</w:t>
            </w:r>
            <w:r w:rsidRPr="00A5023E">
              <w:rPr>
                <w:rFonts w:cs="Arial"/>
              </w:rPr>
              <w:t xml:space="preserve"> kaj so obveznosti pooblaščenega izvedenca in kaj so obveznosti upravljavca. Obveznosti upravljavca so določene v JV9, kjer pa ne smemo določiti</w:t>
            </w:r>
            <w:r w:rsidR="00F56D90">
              <w:rPr>
                <w:rFonts w:cs="Arial"/>
              </w:rPr>
              <w:t>,</w:t>
            </w:r>
            <w:r w:rsidRPr="00A5023E">
              <w:rPr>
                <w:rFonts w:cs="Arial"/>
              </w:rPr>
              <w:t xml:space="preserve"> kaj so obveznosti pooblaščenega izvedenca. Trenutno v zakonodaji niso bile jasne zahteve v zvezi s poročanjem pooblaščenih izvedencev med remonti, zato smo jih bolje opredelili. Nobena zahteva se ne podvaja, ker se niti ne more, saj so v JV3 določene obveznosti pooblaščenega izvedenca, v JV9 pa obveznosti upravljavca.</w:t>
            </w:r>
          </w:p>
        </w:tc>
      </w:tr>
      <w:tr w:rsidR="004314BA" w:rsidRPr="00F133F4" w14:paraId="53C0349C" w14:textId="77777777" w:rsidTr="00402ECA">
        <w:trPr>
          <w:jc w:val="center"/>
        </w:trPr>
        <w:tc>
          <w:tcPr>
            <w:tcW w:w="562" w:type="dxa"/>
          </w:tcPr>
          <w:p w14:paraId="3FC07EAE" w14:textId="2F7CE63D" w:rsidR="004314BA" w:rsidRPr="00DA01B2" w:rsidRDefault="004314BA" w:rsidP="00B51EE0">
            <w:pPr>
              <w:rPr>
                <w:rFonts w:cs="Arial"/>
              </w:rPr>
            </w:pPr>
            <w:r>
              <w:rPr>
                <w:rFonts w:cs="Arial"/>
              </w:rPr>
              <w:t>13.</w:t>
            </w:r>
          </w:p>
        </w:tc>
        <w:tc>
          <w:tcPr>
            <w:tcW w:w="1560" w:type="dxa"/>
          </w:tcPr>
          <w:p w14:paraId="6DC8F40A" w14:textId="615781C9" w:rsidR="004314BA" w:rsidRPr="00DA01B2" w:rsidRDefault="004314BA" w:rsidP="00B51EE0">
            <w:pPr>
              <w:rPr>
                <w:rFonts w:cs="Arial"/>
              </w:rPr>
            </w:pPr>
            <w:r>
              <w:rPr>
                <w:rFonts w:cs="Arial"/>
              </w:rPr>
              <w:t>17. člen</w:t>
            </w:r>
          </w:p>
        </w:tc>
        <w:tc>
          <w:tcPr>
            <w:tcW w:w="6378" w:type="dxa"/>
          </w:tcPr>
          <w:p w14:paraId="051C4529" w14:textId="4ACFB5E4" w:rsidR="004314BA" w:rsidRPr="00A5023E" w:rsidRDefault="004314BA" w:rsidP="00B51EE0">
            <w:pPr>
              <w:jc w:val="both"/>
              <w:rPr>
                <w:rFonts w:cs="Arial"/>
              </w:rPr>
            </w:pPr>
            <w:r w:rsidRPr="00A5023E">
              <w:rPr>
                <w:rFonts w:cs="Arial"/>
              </w:rPr>
              <w:t>Verjetno je mišljen Uradni list RS, št. 50/16</w:t>
            </w:r>
          </w:p>
          <w:p w14:paraId="43B0CB7E" w14:textId="7672E4DF" w:rsidR="004314BA" w:rsidRPr="00A5023E" w:rsidRDefault="004314BA" w:rsidP="00B51EE0">
            <w:pPr>
              <w:jc w:val="both"/>
              <w:rPr>
                <w:rFonts w:cs="Arial"/>
              </w:rPr>
            </w:pPr>
            <w:r w:rsidRPr="00A5023E">
              <w:rPr>
                <w:rFonts w:cs="Arial"/>
              </w:rPr>
              <w:t>Predlog:</w:t>
            </w:r>
          </w:p>
          <w:p w14:paraId="2C439547" w14:textId="77777777" w:rsidR="004314BA" w:rsidRPr="00A5023E" w:rsidRDefault="004314BA" w:rsidP="00A910D4">
            <w:pPr>
              <w:jc w:val="both"/>
              <w:rPr>
                <w:strike/>
              </w:rPr>
            </w:pPr>
            <w:r w:rsidRPr="00A5023E">
              <w:t>Z dnem uveljavitve tega pravilnika preneha veljati Pravilnik o pooblaščenih izvedencih za sevalno in jedrsko varnost (Uradni list RS, št. 51/06).</w:t>
            </w:r>
          </w:p>
          <w:p w14:paraId="37C295F1" w14:textId="77777777" w:rsidR="004314BA" w:rsidRPr="00A5023E" w:rsidRDefault="004314BA" w:rsidP="00A910D4">
            <w:pPr>
              <w:jc w:val="both"/>
            </w:pPr>
          </w:p>
          <w:p w14:paraId="2E9D2764" w14:textId="62F09C80" w:rsidR="004314BA" w:rsidRPr="00A5023E" w:rsidRDefault="004314BA" w:rsidP="00B51EE0">
            <w:pPr>
              <w:jc w:val="both"/>
              <w:rPr>
                <w:rFonts w:cs="Arial"/>
              </w:rPr>
            </w:pPr>
          </w:p>
        </w:tc>
        <w:tc>
          <w:tcPr>
            <w:tcW w:w="7938" w:type="dxa"/>
          </w:tcPr>
          <w:p w14:paraId="1A8AA3F2" w14:textId="1DAF3B18" w:rsidR="004314BA" w:rsidRPr="00A5023E" w:rsidRDefault="004314BA" w:rsidP="00B51EE0">
            <w:pPr>
              <w:jc w:val="both"/>
              <w:rPr>
                <w:rFonts w:cs="Arial"/>
              </w:rPr>
            </w:pPr>
            <w:r w:rsidRPr="00A5023E">
              <w:rPr>
                <w:rFonts w:cs="Arial"/>
              </w:rPr>
              <w:t>Se upošteva.</w:t>
            </w:r>
          </w:p>
        </w:tc>
      </w:tr>
      <w:tr w:rsidR="004314BA" w:rsidRPr="00F133F4" w14:paraId="52DF11EC" w14:textId="77777777" w:rsidTr="00402ECA">
        <w:trPr>
          <w:trHeight w:val="209"/>
          <w:jc w:val="center"/>
        </w:trPr>
        <w:tc>
          <w:tcPr>
            <w:tcW w:w="562" w:type="dxa"/>
            <w:vMerge w:val="restart"/>
          </w:tcPr>
          <w:p w14:paraId="3D4DF6F9" w14:textId="3BF86F46" w:rsidR="004314BA" w:rsidRPr="0059536C" w:rsidRDefault="004314BA" w:rsidP="00B51EE0">
            <w:pPr>
              <w:rPr>
                <w:rFonts w:cs="Arial"/>
              </w:rPr>
            </w:pPr>
            <w:r>
              <w:rPr>
                <w:rFonts w:cs="Arial"/>
              </w:rPr>
              <w:t>14.</w:t>
            </w:r>
          </w:p>
        </w:tc>
        <w:tc>
          <w:tcPr>
            <w:tcW w:w="1560" w:type="dxa"/>
            <w:vMerge w:val="restart"/>
          </w:tcPr>
          <w:p w14:paraId="2667DF8E" w14:textId="7EF35F61" w:rsidR="004314BA" w:rsidRPr="00E04693" w:rsidRDefault="004314BA" w:rsidP="00B51EE0">
            <w:pPr>
              <w:rPr>
                <w:rFonts w:cs="Arial"/>
              </w:rPr>
            </w:pPr>
            <w:r>
              <w:rPr>
                <w:rFonts w:cs="Arial"/>
              </w:rPr>
              <w:t>Priloga 1</w:t>
            </w:r>
          </w:p>
        </w:tc>
        <w:tc>
          <w:tcPr>
            <w:tcW w:w="6378" w:type="dxa"/>
          </w:tcPr>
          <w:p w14:paraId="114C25C0" w14:textId="5FD5BA3F" w:rsidR="004314BA" w:rsidRPr="00A5023E" w:rsidRDefault="004314BA" w:rsidP="008974B8">
            <w:pPr>
              <w:jc w:val="both"/>
              <w:rPr>
                <w:rFonts w:cs="Arial"/>
                <w:noProof/>
              </w:rPr>
            </w:pPr>
            <w:r>
              <w:rPr>
                <w:rFonts w:cs="Arial"/>
                <w:noProof/>
              </w:rPr>
              <w:t>Predlog</w:t>
            </w:r>
            <w:r w:rsidRPr="00A5023E">
              <w:rPr>
                <w:rFonts w:cs="Arial"/>
                <w:noProof/>
              </w:rPr>
              <w:t>, da se v Prilogi 1 pri besedni zvezi VRSTA OBJEKTA v okencu z besedilom »Sevalni objekti« doda besedilo: »in manj pomembni sevalni objekti«.</w:t>
            </w:r>
          </w:p>
          <w:p w14:paraId="0CA05CE5" w14:textId="77777777" w:rsidR="004314BA" w:rsidRPr="00A5023E" w:rsidRDefault="004314BA" w:rsidP="008974B8">
            <w:pPr>
              <w:jc w:val="both"/>
              <w:rPr>
                <w:rFonts w:cs="Arial"/>
                <w:noProof/>
              </w:rPr>
            </w:pPr>
          </w:p>
          <w:p w14:paraId="79F80F97" w14:textId="315101C1" w:rsidR="004314BA" w:rsidRPr="00A5023E" w:rsidRDefault="004314BA" w:rsidP="008974B8">
            <w:pPr>
              <w:jc w:val="both"/>
              <w:rPr>
                <w:rFonts w:cs="Arial"/>
                <w:noProof/>
              </w:rPr>
            </w:pPr>
            <w:r w:rsidRPr="00A5023E">
              <w:rPr>
                <w:rFonts w:cs="Arial"/>
                <w:noProof/>
              </w:rPr>
              <w:t>Obrazložitev: Terminologija v pravilniku mora biti usklajena s klasifikacijo jedrskih in sevalnih objektov.</w:t>
            </w:r>
          </w:p>
        </w:tc>
        <w:tc>
          <w:tcPr>
            <w:tcW w:w="7938" w:type="dxa"/>
          </w:tcPr>
          <w:p w14:paraId="5408061B" w14:textId="7CAE533F" w:rsidR="004314BA" w:rsidRPr="00A5023E" w:rsidRDefault="004314BA" w:rsidP="008974B8">
            <w:pPr>
              <w:spacing w:after="120"/>
              <w:jc w:val="both"/>
              <w:rPr>
                <w:bCs/>
                <w:lang w:eastAsia="en-US"/>
              </w:rPr>
            </w:pPr>
            <w:r w:rsidRPr="00A5023E">
              <w:rPr>
                <w:bCs/>
                <w:lang w:eastAsia="en-US"/>
              </w:rPr>
              <w:t>Se ne upošteva. Manj pomembni sevalni objekti niso predmet JV3.</w:t>
            </w:r>
          </w:p>
        </w:tc>
      </w:tr>
      <w:tr w:rsidR="004314BA" w:rsidRPr="00F133F4" w14:paraId="193B7812" w14:textId="77777777" w:rsidTr="00402ECA">
        <w:trPr>
          <w:trHeight w:val="206"/>
          <w:jc w:val="center"/>
        </w:trPr>
        <w:tc>
          <w:tcPr>
            <w:tcW w:w="562" w:type="dxa"/>
            <w:vMerge/>
          </w:tcPr>
          <w:p w14:paraId="72188F65" w14:textId="77777777" w:rsidR="004314BA" w:rsidRPr="0059536C" w:rsidRDefault="004314BA" w:rsidP="00B51EE0">
            <w:pPr>
              <w:rPr>
                <w:rFonts w:cs="Arial"/>
              </w:rPr>
            </w:pPr>
          </w:p>
        </w:tc>
        <w:tc>
          <w:tcPr>
            <w:tcW w:w="1560" w:type="dxa"/>
            <w:vMerge/>
          </w:tcPr>
          <w:p w14:paraId="05C82C8D" w14:textId="77777777" w:rsidR="004314BA" w:rsidRDefault="004314BA" w:rsidP="00B51EE0">
            <w:pPr>
              <w:rPr>
                <w:rFonts w:cs="Arial"/>
              </w:rPr>
            </w:pPr>
          </w:p>
        </w:tc>
        <w:tc>
          <w:tcPr>
            <w:tcW w:w="6378" w:type="dxa"/>
          </w:tcPr>
          <w:p w14:paraId="1BA53BB9" w14:textId="6DFF71E6" w:rsidR="004314BA" w:rsidRPr="00A5023E" w:rsidRDefault="004314BA" w:rsidP="008974B8">
            <w:pPr>
              <w:jc w:val="both"/>
              <w:rPr>
                <w:rFonts w:cs="Arial"/>
                <w:noProof/>
              </w:rPr>
            </w:pPr>
            <w:r>
              <w:rPr>
                <w:rFonts w:cs="Arial"/>
                <w:noProof/>
              </w:rPr>
              <w:t>Predlog</w:t>
            </w:r>
            <w:r w:rsidRPr="00A5023E">
              <w:rPr>
                <w:rFonts w:cs="Arial"/>
                <w:noProof/>
              </w:rPr>
              <w:t>, da se v Prilogi 1 pri Področju »Varovalni in varnosti sistemi« na koncu doda besedilo: »reaktorja«.</w:t>
            </w:r>
          </w:p>
          <w:p w14:paraId="0B00A226" w14:textId="77777777" w:rsidR="004314BA" w:rsidRPr="00A5023E" w:rsidRDefault="004314BA" w:rsidP="008974B8">
            <w:pPr>
              <w:jc w:val="both"/>
              <w:rPr>
                <w:rFonts w:cs="Arial"/>
                <w:noProof/>
              </w:rPr>
            </w:pPr>
          </w:p>
          <w:p w14:paraId="6B61CCE0" w14:textId="626E809E" w:rsidR="004314BA" w:rsidRPr="00A5023E" w:rsidRDefault="004314BA" w:rsidP="008974B8">
            <w:pPr>
              <w:jc w:val="both"/>
              <w:rPr>
                <w:rFonts w:cs="Arial"/>
                <w:noProof/>
              </w:rPr>
            </w:pPr>
            <w:r w:rsidRPr="00A5023E">
              <w:rPr>
                <w:rFonts w:cs="Arial"/>
                <w:noProof/>
              </w:rPr>
              <w:t>Obrazložitev: Področje se nanaša na varovalne in varnostne sisteme reaktorja.</w:t>
            </w:r>
          </w:p>
        </w:tc>
        <w:tc>
          <w:tcPr>
            <w:tcW w:w="7938" w:type="dxa"/>
          </w:tcPr>
          <w:p w14:paraId="21FD9B4C" w14:textId="61C27086" w:rsidR="004314BA" w:rsidRPr="00A5023E" w:rsidRDefault="004314BA" w:rsidP="008974B8">
            <w:pPr>
              <w:spacing w:after="120"/>
              <w:jc w:val="both"/>
              <w:rPr>
                <w:bCs/>
                <w:lang w:eastAsia="en-US"/>
              </w:rPr>
            </w:pPr>
            <w:r w:rsidRPr="00A5023E">
              <w:rPr>
                <w:bCs/>
                <w:lang w:eastAsia="en-US"/>
              </w:rPr>
              <w:t>Se upošteva</w:t>
            </w:r>
            <w:r w:rsidR="00F56D90">
              <w:rPr>
                <w:bCs/>
                <w:lang w:eastAsia="en-US"/>
              </w:rPr>
              <w:t>.</w:t>
            </w:r>
          </w:p>
        </w:tc>
      </w:tr>
      <w:tr w:rsidR="004314BA" w:rsidRPr="00F133F4" w14:paraId="5A76E555" w14:textId="77777777" w:rsidTr="00402ECA">
        <w:trPr>
          <w:trHeight w:val="206"/>
          <w:jc w:val="center"/>
        </w:trPr>
        <w:tc>
          <w:tcPr>
            <w:tcW w:w="562" w:type="dxa"/>
            <w:vMerge/>
          </w:tcPr>
          <w:p w14:paraId="197A0CA1" w14:textId="77777777" w:rsidR="004314BA" w:rsidRPr="0059536C" w:rsidRDefault="004314BA" w:rsidP="00B51EE0">
            <w:pPr>
              <w:rPr>
                <w:rFonts w:cs="Arial"/>
              </w:rPr>
            </w:pPr>
          </w:p>
        </w:tc>
        <w:tc>
          <w:tcPr>
            <w:tcW w:w="1560" w:type="dxa"/>
            <w:vMerge/>
          </w:tcPr>
          <w:p w14:paraId="7FC49AB1" w14:textId="77777777" w:rsidR="004314BA" w:rsidRDefault="004314BA" w:rsidP="00B51EE0">
            <w:pPr>
              <w:rPr>
                <w:rFonts w:cs="Arial"/>
              </w:rPr>
            </w:pPr>
          </w:p>
        </w:tc>
        <w:tc>
          <w:tcPr>
            <w:tcW w:w="6378" w:type="dxa"/>
          </w:tcPr>
          <w:p w14:paraId="473AC1E6" w14:textId="4A0E1E39" w:rsidR="004314BA" w:rsidRPr="00A5023E" w:rsidRDefault="004314BA" w:rsidP="00CD289B">
            <w:pPr>
              <w:jc w:val="both"/>
              <w:rPr>
                <w:rFonts w:cs="Arial"/>
                <w:noProof/>
              </w:rPr>
            </w:pPr>
            <w:r>
              <w:rPr>
                <w:rFonts w:cs="Arial"/>
                <w:noProof/>
              </w:rPr>
              <w:t>Predlog</w:t>
            </w:r>
            <w:r w:rsidRPr="00A5023E">
              <w:rPr>
                <w:rFonts w:cs="Arial"/>
                <w:noProof/>
              </w:rPr>
              <w:t>, da se v Prilogi 1 Področje »Merila sprejemljivosti za skladiščenje in odlaganje« ustrezno dopolni s predmetom področja: npr.: odpadki, jedrsko gorivo, material.</w:t>
            </w:r>
          </w:p>
          <w:p w14:paraId="14A89B64" w14:textId="77777777" w:rsidR="004314BA" w:rsidRPr="00A5023E" w:rsidRDefault="004314BA" w:rsidP="00CD289B">
            <w:pPr>
              <w:jc w:val="both"/>
              <w:rPr>
                <w:rFonts w:cs="Arial"/>
                <w:noProof/>
              </w:rPr>
            </w:pPr>
          </w:p>
          <w:p w14:paraId="346F6938" w14:textId="342D73F0" w:rsidR="004314BA" w:rsidRPr="00A5023E" w:rsidRDefault="004314BA" w:rsidP="00CD289B">
            <w:pPr>
              <w:jc w:val="both"/>
              <w:rPr>
                <w:rFonts w:cs="Arial"/>
                <w:noProof/>
              </w:rPr>
            </w:pPr>
            <w:r w:rsidRPr="00A5023E">
              <w:rPr>
                <w:rFonts w:cs="Arial"/>
                <w:noProof/>
              </w:rPr>
              <w:t>Obrazložitev: Pri merilih sprejemljivosti za skladiščenje in odlaganje je potrebno ustrezno opredeliti predmet, na katerega se področje nanaša.</w:t>
            </w:r>
          </w:p>
        </w:tc>
        <w:tc>
          <w:tcPr>
            <w:tcW w:w="7938" w:type="dxa"/>
          </w:tcPr>
          <w:p w14:paraId="75B27279" w14:textId="77777777" w:rsidR="004314BA" w:rsidRDefault="004314BA" w:rsidP="008974B8">
            <w:pPr>
              <w:spacing w:after="120"/>
              <w:jc w:val="both"/>
              <w:rPr>
                <w:bCs/>
                <w:lang w:eastAsia="en-US"/>
              </w:rPr>
            </w:pPr>
            <w:r>
              <w:rPr>
                <w:bCs/>
                <w:lang w:eastAsia="en-US"/>
              </w:rPr>
              <w:t>Se upošteva. Spremenjeno področje se glasi:</w:t>
            </w:r>
          </w:p>
          <w:p w14:paraId="312458FE" w14:textId="695230FA" w:rsidR="004314BA" w:rsidRPr="00A5023E" w:rsidRDefault="00F56D90" w:rsidP="008974B8">
            <w:pPr>
              <w:spacing w:after="120"/>
              <w:jc w:val="both"/>
              <w:rPr>
                <w:bCs/>
                <w:lang w:eastAsia="en-US"/>
              </w:rPr>
            </w:pPr>
            <w:r>
              <w:rPr>
                <w:bCs/>
                <w:lang w:eastAsia="en-US"/>
              </w:rPr>
              <w:t>»</w:t>
            </w:r>
            <w:r w:rsidR="004314BA" w:rsidRPr="00376447">
              <w:rPr>
                <w:bCs/>
                <w:lang w:eastAsia="en-US"/>
              </w:rPr>
              <w:t>Merila sprejemljivosti za skladiščenje in odlaganje radioaktivnih odpadkov in izrabljenega goriva</w:t>
            </w:r>
            <w:r>
              <w:rPr>
                <w:bCs/>
                <w:lang w:eastAsia="en-US"/>
              </w:rPr>
              <w:t>«</w:t>
            </w:r>
          </w:p>
        </w:tc>
      </w:tr>
      <w:tr w:rsidR="004314BA" w:rsidRPr="00F133F4" w14:paraId="48FA5DC2" w14:textId="77777777" w:rsidTr="00402ECA">
        <w:trPr>
          <w:trHeight w:val="206"/>
          <w:jc w:val="center"/>
        </w:trPr>
        <w:tc>
          <w:tcPr>
            <w:tcW w:w="562" w:type="dxa"/>
            <w:vMerge/>
          </w:tcPr>
          <w:p w14:paraId="1E48DEA6" w14:textId="77777777" w:rsidR="004314BA" w:rsidRPr="0059536C" w:rsidRDefault="004314BA" w:rsidP="00B51EE0">
            <w:pPr>
              <w:rPr>
                <w:rFonts w:cs="Arial"/>
              </w:rPr>
            </w:pPr>
          </w:p>
        </w:tc>
        <w:tc>
          <w:tcPr>
            <w:tcW w:w="1560" w:type="dxa"/>
            <w:vMerge/>
          </w:tcPr>
          <w:p w14:paraId="42DEC6E3" w14:textId="77777777" w:rsidR="004314BA" w:rsidRDefault="004314BA" w:rsidP="00B51EE0">
            <w:pPr>
              <w:rPr>
                <w:rFonts w:cs="Arial"/>
              </w:rPr>
            </w:pPr>
          </w:p>
        </w:tc>
        <w:tc>
          <w:tcPr>
            <w:tcW w:w="6378" w:type="dxa"/>
          </w:tcPr>
          <w:p w14:paraId="6D2CF744" w14:textId="7D0C3BA4" w:rsidR="004314BA" w:rsidRPr="00A5023E" w:rsidRDefault="004314BA" w:rsidP="00A1721F">
            <w:pPr>
              <w:jc w:val="both"/>
              <w:rPr>
                <w:rFonts w:cs="Arial"/>
                <w:noProof/>
              </w:rPr>
            </w:pPr>
            <w:r>
              <w:rPr>
                <w:rFonts w:cs="Arial"/>
                <w:noProof/>
              </w:rPr>
              <w:t>Predlog</w:t>
            </w:r>
            <w:r w:rsidRPr="00A5023E">
              <w:rPr>
                <w:rFonts w:cs="Arial"/>
                <w:noProof/>
              </w:rPr>
              <w:t>, da se v Prilogi 1 področje 12 »Varstvo pred sevanji«, ki v širšem smislu obravnava sevalno varnost, razdeli na dve področji, in sicer na »Varstvo pred sevanji med obratovanjem jedrskega/sevalnega objekta« in »Projektiranje zaščite pred sevanjem v jedrskem/sevalnem objektu«.</w:t>
            </w:r>
          </w:p>
          <w:p w14:paraId="196EA854" w14:textId="77777777" w:rsidR="004314BA" w:rsidRPr="00A5023E" w:rsidRDefault="004314BA" w:rsidP="00A1721F">
            <w:pPr>
              <w:jc w:val="both"/>
              <w:rPr>
                <w:rFonts w:cs="Arial"/>
                <w:noProof/>
              </w:rPr>
            </w:pPr>
          </w:p>
          <w:p w14:paraId="7116EC48" w14:textId="77777777" w:rsidR="004314BA" w:rsidRPr="00A5023E" w:rsidRDefault="004314BA" w:rsidP="00A1721F">
            <w:pPr>
              <w:jc w:val="both"/>
              <w:rPr>
                <w:rFonts w:cs="Arial"/>
                <w:noProof/>
              </w:rPr>
            </w:pPr>
            <w:r w:rsidRPr="00A5023E">
              <w:rPr>
                <w:rFonts w:cs="Arial"/>
                <w:noProof/>
              </w:rPr>
              <w:t>Obrazložitev:</w:t>
            </w:r>
          </w:p>
          <w:p w14:paraId="7780C050" w14:textId="72A8F83D" w:rsidR="004314BA" w:rsidRPr="00A5023E" w:rsidRDefault="004314BA" w:rsidP="00A1721F">
            <w:pPr>
              <w:jc w:val="both"/>
              <w:rPr>
                <w:rFonts w:cs="Arial"/>
                <w:noProof/>
              </w:rPr>
            </w:pPr>
            <w:r w:rsidRPr="00A5023E">
              <w:rPr>
                <w:rFonts w:cs="Arial"/>
                <w:noProof/>
              </w:rPr>
              <w:t xml:space="preserve">Področje varstvo pred sevanji (sevalno varnost) je potrebno razdeliti na dve področji z namenom, da se vsako od področij, tako obratovanje kot projektiranje, ki je vsebinsko zahtevnejše, ustrezno specificira. Sedaj se pooblastilo za izvedenca s področja varstva pred sevanji osredotoča na obratovalno varstvo pred sevanji, kot predpisuje Pravilnik o obveznostih izvajalca sevalne dejavnosti, v pravilniku o pooblaščenih izvedencih pa je zanemarjen radiološki inženiring, ki zahteva določena posebna znanja in programska orodja oz. projektne izračune. Potrebno je upoštevati specifične varnostne zahteve mednarodnih standardov: npr. Varnost jedrskih elektrarn: Obratovanje (IAEA SSR.2/2) in Projektiranje (IAEA SSR-2/1) Projektiranje se mora zagotoviti po navedenem standardu, da doze ne presežejo omejitev in da se ohranijo tako nizko, kot je to razumno doseči. </w:t>
            </w:r>
          </w:p>
        </w:tc>
        <w:tc>
          <w:tcPr>
            <w:tcW w:w="7938" w:type="dxa"/>
          </w:tcPr>
          <w:p w14:paraId="215EB2B4" w14:textId="4B8D8742" w:rsidR="004314BA" w:rsidRPr="00A5023E" w:rsidRDefault="004314BA" w:rsidP="008974B8">
            <w:pPr>
              <w:spacing w:after="120"/>
              <w:jc w:val="both"/>
              <w:rPr>
                <w:bCs/>
                <w:lang w:eastAsia="en-US"/>
              </w:rPr>
            </w:pPr>
            <w:r w:rsidRPr="00A5023E">
              <w:rPr>
                <w:bCs/>
                <w:lang w:eastAsia="en-US"/>
              </w:rPr>
              <w:t>Se upošteva</w:t>
            </w:r>
            <w:r>
              <w:rPr>
                <w:bCs/>
                <w:lang w:eastAsia="en-US"/>
              </w:rPr>
              <w:t>.</w:t>
            </w:r>
          </w:p>
        </w:tc>
      </w:tr>
      <w:tr w:rsidR="004314BA" w:rsidRPr="00F133F4" w14:paraId="6C96BF76" w14:textId="77777777" w:rsidTr="00402ECA">
        <w:trPr>
          <w:jc w:val="center"/>
        </w:trPr>
        <w:tc>
          <w:tcPr>
            <w:tcW w:w="562" w:type="dxa"/>
          </w:tcPr>
          <w:p w14:paraId="2B01CCCE" w14:textId="742681A0" w:rsidR="004314BA" w:rsidRPr="0059536C" w:rsidRDefault="004314BA" w:rsidP="00B51EE0">
            <w:pPr>
              <w:rPr>
                <w:rFonts w:cs="Arial"/>
              </w:rPr>
            </w:pPr>
            <w:r>
              <w:rPr>
                <w:rFonts w:cs="Arial"/>
              </w:rPr>
              <w:t>15.</w:t>
            </w:r>
          </w:p>
        </w:tc>
        <w:tc>
          <w:tcPr>
            <w:tcW w:w="1560" w:type="dxa"/>
          </w:tcPr>
          <w:p w14:paraId="422190BF" w14:textId="4967E142" w:rsidR="004314BA" w:rsidRPr="008E3F02" w:rsidRDefault="004314BA" w:rsidP="00B51EE0">
            <w:pPr>
              <w:rPr>
                <w:rFonts w:cs="Arial"/>
              </w:rPr>
            </w:pPr>
            <w:r>
              <w:rPr>
                <w:rFonts w:cs="Arial"/>
              </w:rPr>
              <w:t>Splošna pripomba (tabela Priloga 1)</w:t>
            </w:r>
          </w:p>
        </w:tc>
        <w:tc>
          <w:tcPr>
            <w:tcW w:w="6378" w:type="dxa"/>
          </w:tcPr>
          <w:p w14:paraId="7BD10058" w14:textId="501DD2C5" w:rsidR="004314BA" w:rsidRPr="008E3F02" w:rsidRDefault="004314BA" w:rsidP="00B51EE0">
            <w:pPr>
              <w:pStyle w:val="Pripombabesedilo"/>
            </w:pPr>
            <w:r w:rsidRPr="003B4432">
              <w:t>Predlagamo, da URSJV v pooblastila pooblaščencem in v evidenco pooblaščenih izvedencev ter v tabelo, ki jo URSJV javno objavi na spletni strani, jasno zapiše katero pooblastilo ima določeni pooblaščenec in za katero področje je odgovoren. S tem bi odpravili težavo, kjer je pooblaščenec smatral, da je pooblaščen za neko določeno področje, vendar le to v pooblastilu ni bilo posebej navedeno. Prav tako je tudi naročnik po pregledu tabele smatral, da pooblaščenec ima tako pooblastilo, ker je tako bilo označeno v tabeli.</w:t>
            </w:r>
          </w:p>
        </w:tc>
        <w:tc>
          <w:tcPr>
            <w:tcW w:w="7938" w:type="dxa"/>
          </w:tcPr>
          <w:p w14:paraId="5988B50E" w14:textId="4179E761" w:rsidR="004314BA" w:rsidRPr="009E7177" w:rsidRDefault="004314BA" w:rsidP="00B51EE0">
            <w:pPr>
              <w:jc w:val="both"/>
              <w:rPr>
                <w:rFonts w:cs="Arial"/>
                <w:highlight w:val="yellow"/>
              </w:rPr>
            </w:pPr>
            <w:r w:rsidRPr="003B4432">
              <w:rPr>
                <w:rFonts w:cs="Arial"/>
              </w:rPr>
              <w:t>Delno upoštevano. S tem namenom smo spremenili tabelo že v osnutku, ki je bil poslan v javno obravnavo, da bo bolj jasno. Dodatnih popravkov pa ne bomo naredili.</w:t>
            </w:r>
          </w:p>
        </w:tc>
      </w:tr>
      <w:tr w:rsidR="00FA10C3" w:rsidRPr="00F133F4" w14:paraId="3F5D23EF" w14:textId="77777777" w:rsidTr="00402ECA">
        <w:trPr>
          <w:jc w:val="center"/>
        </w:trPr>
        <w:tc>
          <w:tcPr>
            <w:tcW w:w="562" w:type="dxa"/>
          </w:tcPr>
          <w:p w14:paraId="0785F674" w14:textId="09604AE0" w:rsidR="00FA10C3" w:rsidRDefault="00347BC9" w:rsidP="00B51EE0">
            <w:pPr>
              <w:rPr>
                <w:rFonts w:cs="Arial"/>
              </w:rPr>
            </w:pPr>
            <w:bookmarkStart w:id="3" w:name="_Hlk137704030"/>
            <w:r>
              <w:rPr>
                <w:rFonts w:cs="Arial"/>
              </w:rPr>
              <w:t>16.</w:t>
            </w:r>
          </w:p>
        </w:tc>
        <w:tc>
          <w:tcPr>
            <w:tcW w:w="1560" w:type="dxa"/>
          </w:tcPr>
          <w:p w14:paraId="394C6A1A" w14:textId="2A28205F" w:rsidR="00FA10C3" w:rsidRDefault="00FA10C3" w:rsidP="00B51EE0">
            <w:pPr>
              <w:rPr>
                <w:rFonts w:cs="Arial"/>
              </w:rPr>
            </w:pPr>
            <w:r>
              <w:rPr>
                <w:rFonts w:cs="Arial"/>
              </w:rPr>
              <w:t>Priloga 1</w:t>
            </w:r>
          </w:p>
        </w:tc>
        <w:tc>
          <w:tcPr>
            <w:tcW w:w="6378" w:type="dxa"/>
          </w:tcPr>
          <w:p w14:paraId="24CB4FAC" w14:textId="77777777" w:rsidR="00FA10C3" w:rsidRPr="00FA10C3" w:rsidRDefault="00FA10C3" w:rsidP="00FA10C3">
            <w:pPr>
              <w:pStyle w:val="Pripombabesedilo"/>
            </w:pPr>
            <w:r>
              <w:t xml:space="preserve">Pod odlagališče radioaktivnih odpadkov se štejejo odlagališče NSRAO, VRAO </w:t>
            </w:r>
            <w:r w:rsidRPr="00FA10C3">
              <w:rPr>
                <w:i/>
                <w:iCs/>
              </w:rPr>
              <w:t>in radioaktivni odpadki z naravnimi radionuklidi</w:t>
            </w:r>
          </w:p>
          <w:p w14:paraId="438F367F" w14:textId="26BC3AE6" w:rsidR="00FA10C3" w:rsidRPr="003B4432" w:rsidRDefault="00FA10C3" w:rsidP="00FA10C3">
            <w:pPr>
              <w:pStyle w:val="Pripombabesedilo"/>
            </w:pPr>
            <w:r w:rsidRPr="00713F9E">
              <w:t xml:space="preserve">Verjetno bi bilo pravilno </w:t>
            </w:r>
            <w:r w:rsidRPr="00FA10C3">
              <w:t>»</w:t>
            </w:r>
            <w:r w:rsidRPr="00FA10C3">
              <w:rPr>
                <w:i/>
                <w:iCs/>
              </w:rPr>
              <w:t>in skladišče ali odlagališče radioaktivnih odpadkov z naravnimi radionuklidi</w:t>
            </w:r>
            <w:r w:rsidRPr="00FA10C3">
              <w:t>«</w:t>
            </w:r>
          </w:p>
        </w:tc>
        <w:tc>
          <w:tcPr>
            <w:tcW w:w="7938" w:type="dxa"/>
          </w:tcPr>
          <w:p w14:paraId="682A71D0" w14:textId="5303D955" w:rsidR="00FA10C3" w:rsidRPr="003B4432" w:rsidRDefault="00FA10C3" w:rsidP="00B51EE0">
            <w:pPr>
              <w:jc w:val="both"/>
              <w:rPr>
                <w:rFonts w:cs="Arial"/>
              </w:rPr>
            </w:pPr>
            <w:r>
              <w:rPr>
                <w:rFonts w:cs="Arial"/>
              </w:rPr>
              <w:t xml:space="preserve">Se ne upošteva. </w:t>
            </w:r>
            <w:r w:rsidR="00347BC9">
              <w:rPr>
                <w:rFonts w:cs="Arial"/>
              </w:rPr>
              <w:t>Omenjena opomba v pravilniku se nanaša zgolj na odlagališča, zato bi bil predlagan dodatek napačen. Opomba za skladišča ni bila dodana, saj posebej s</w:t>
            </w:r>
            <w:r>
              <w:rPr>
                <w:rFonts w:cs="Arial"/>
              </w:rPr>
              <w:t xml:space="preserve">kladišč </w:t>
            </w:r>
            <w:r w:rsidRPr="00FA10C3">
              <w:rPr>
                <w:rFonts w:cs="Arial"/>
              </w:rPr>
              <w:t>radioaktivnih odpadkov z naravnimi radionuklidi</w:t>
            </w:r>
            <w:r>
              <w:rPr>
                <w:rFonts w:cs="Arial"/>
              </w:rPr>
              <w:t xml:space="preserve"> ni</w:t>
            </w:r>
            <w:r w:rsidR="00347BC9">
              <w:rPr>
                <w:rFonts w:cs="Arial"/>
              </w:rPr>
              <w:t xml:space="preserve"> v Sloveniji</w:t>
            </w:r>
            <w:r>
              <w:rPr>
                <w:rFonts w:cs="Arial"/>
              </w:rPr>
              <w:t>.</w:t>
            </w:r>
          </w:p>
        </w:tc>
      </w:tr>
      <w:tr w:rsidR="004B15CB" w:rsidRPr="00F133F4" w14:paraId="4D77D498" w14:textId="77777777" w:rsidTr="00402ECA">
        <w:trPr>
          <w:jc w:val="center"/>
        </w:trPr>
        <w:tc>
          <w:tcPr>
            <w:tcW w:w="562" w:type="dxa"/>
          </w:tcPr>
          <w:p w14:paraId="6E1166A9" w14:textId="78B02792" w:rsidR="004B15CB" w:rsidRDefault="00347BC9" w:rsidP="00B51EE0">
            <w:pPr>
              <w:rPr>
                <w:rFonts w:cs="Arial"/>
              </w:rPr>
            </w:pPr>
            <w:r>
              <w:rPr>
                <w:rFonts w:cs="Arial"/>
              </w:rPr>
              <w:t>17.</w:t>
            </w:r>
          </w:p>
        </w:tc>
        <w:tc>
          <w:tcPr>
            <w:tcW w:w="1560" w:type="dxa"/>
          </w:tcPr>
          <w:p w14:paraId="2C9C499F" w14:textId="069CE2FA" w:rsidR="004B15CB" w:rsidRPr="004B15CB" w:rsidRDefault="004B15CB" w:rsidP="004B15CB">
            <w:pPr>
              <w:pStyle w:val="Pripombabesedilo"/>
            </w:pPr>
            <w:r w:rsidRPr="004B15CB">
              <w:t>Priloga 1</w:t>
            </w:r>
          </w:p>
        </w:tc>
        <w:tc>
          <w:tcPr>
            <w:tcW w:w="6378" w:type="dxa"/>
          </w:tcPr>
          <w:p w14:paraId="02C125B8" w14:textId="11CD83BD" w:rsidR="004B15CB" w:rsidRDefault="004B15CB" w:rsidP="004B15CB">
            <w:pPr>
              <w:pStyle w:val="Pripombabesedilo"/>
            </w:pPr>
            <w:r>
              <w:t>Okrajšava CSRAO ni definirana</w:t>
            </w:r>
          </w:p>
        </w:tc>
        <w:tc>
          <w:tcPr>
            <w:tcW w:w="7938" w:type="dxa"/>
          </w:tcPr>
          <w:p w14:paraId="46D0A5DC" w14:textId="45658BFA" w:rsidR="004B15CB" w:rsidRPr="004B15CB" w:rsidRDefault="004B15CB" w:rsidP="004B15CB">
            <w:pPr>
              <w:pStyle w:val="Pripombabesedilo"/>
            </w:pPr>
            <w:r w:rsidRPr="004B15CB">
              <w:t>Naslov stolpca je spremenjen tako, daje spuščena kratica CSRAO in se glasi : Skladišča in odlagališča  radioaktivnih odpadkov</w:t>
            </w:r>
          </w:p>
        </w:tc>
      </w:tr>
      <w:tr w:rsidR="004B15CB" w:rsidRPr="00F133F4" w14:paraId="26478B2C" w14:textId="77777777" w:rsidTr="00402ECA">
        <w:trPr>
          <w:jc w:val="center"/>
        </w:trPr>
        <w:tc>
          <w:tcPr>
            <w:tcW w:w="562" w:type="dxa"/>
          </w:tcPr>
          <w:p w14:paraId="02C3588B" w14:textId="7E048FE6" w:rsidR="004B15CB" w:rsidRDefault="00347BC9" w:rsidP="00B51EE0">
            <w:pPr>
              <w:rPr>
                <w:rFonts w:cs="Arial"/>
              </w:rPr>
            </w:pPr>
            <w:r>
              <w:rPr>
                <w:rFonts w:cs="Arial"/>
              </w:rPr>
              <w:t>18.</w:t>
            </w:r>
          </w:p>
        </w:tc>
        <w:tc>
          <w:tcPr>
            <w:tcW w:w="1560" w:type="dxa"/>
          </w:tcPr>
          <w:p w14:paraId="1B2885AB" w14:textId="2D41247C" w:rsidR="004B15CB" w:rsidRPr="004B15CB" w:rsidRDefault="004B15CB" w:rsidP="004B15CB">
            <w:pPr>
              <w:pStyle w:val="Pripombabesedilo"/>
            </w:pPr>
            <w:r w:rsidRPr="004B15CB">
              <w:t>Priloga 1</w:t>
            </w:r>
          </w:p>
        </w:tc>
        <w:tc>
          <w:tcPr>
            <w:tcW w:w="6378" w:type="dxa"/>
          </w:tcPr>
          <w:p w14:paraId="7C9CBB4D" w14:textId="7EE9BA94" w:rsidR="004B15CB" w:rsidRDefault="004B15CB" w:rsidP="004B15CB">
            <w:pPr>
              <w:pStyle w:val="Pripombabesedilo"/>
            </w:pPr>
            <w:r w:rsidRPr="004B15CB">
              <w:t>Uvajamo "razširjene projektne osnove", medtem ko ni področja "projektnih osnov", tj. "design basis". To ni v duhu stopenjskega pristopa.</w:t>
            </w:r>
          </w:p>
        </w:tc>
        <w:tc>
          <w:tcPr>
            <w:tcW w:w="7938" w:type="dxa"/>
          </w:tcPr>
          <w:p w14:paraId="23CA6313" w14:textId="07AD9625" w:rsidR="004B15CB" w:rsidRPr="004B15CB" w:rsidRDefault="004B15CB" w:rsidP="004B15CB">
            <w:pPr>
              <w:pStyle w:val="Pripombabesedilo"/>
            </w:pPr>
            <w:r w:rsidRPr="004B15CB">
              <w:t>Se ne upošteva. Projektne osnove so zajete že z ostalimi področji in jih ne potrebujemo posebej izpostaviti. Razširjene projektne osnove pa so posebni fenomen, zato so posebej izpostavljene.</w:t>
            </w:r>
          </w:p>
        </w:tc>
      </w:tr>
      <w:bookmarkEnd w:id="3"/>
      <w:tr w:rsidR="004314BA" w:rsidRPr="00F133F4" w14:paraId="1461B2C6" w14:textId="77777777" w:rsidTr="00402ECA">
        <w:trPr>
          <w:jc w:val="center"/>
        </w:trPr>
        <w:tc>
          <w:tcPr>
            <w:tcW w:w="562" w:type="dxa"/>
          </w:tcPr>
          <w:p w14:paraId="09F98E73" w14:textId="048D4502" w:rsidR="004314BA" w:rsidRDefault="004314BA" w:rsidP="00376447">
            <w:pPr>
              <w:rPr>
                <w:rFonts w:cs="Arial"/>
              </w:rPr>
            </w:pPr>
            <w:r>
              <w:rPr>
                <w:rFonts w:cs="Arial"/>
              </w:rPr>
              <w:t>1</w:t>
            </w:r>
            <w:r w:rsidR="00347BC9">
              <w:rPr>
                <w:rFonts w:cs="Arial"/>
              </w:rPr>
              <w:t>9</w:t>
            </w:r>
            <w:r>
              <w:rPr>
                <w:rFonts w:cs="Arial"/>
              </w:rPr>
              <w:t>.</w:t>
            </w:r>
          </w:p>
        </w:tc>
        <w:tc>
          <w:tcPr>
            <w:tcW w:w="1560" w:type="dxa"/>
          </w:tcPr>
          <w:p w14:paraId="6D7006AD" w14:textId="571CE0D5" w:rsidR="004314BA" w:rsidRDefault="004314BA" w:rsidP="00376447">
            <w:pPr>
              <w:rPr>
                <w:rFonts w:cs="Arial"/>
              </w:rPr>
            </w:pPr>
            <w:r>
              <w:rPr>
                <w:rFonts w:cs="Arial"/>
              </w:rPr>
              <w:t>Priloga 2</w:t>
            </w:r>
          </w:p>
        </w:tc>
        <w:tc>
          <w:tcPr>
            <w:tcW w:w="6378" w:type="dxa"/>
          </w:tcPr>
          <w:p w14:paraId="7DBD1042" w14:textId="211407D1" w:rsidR="004314BA" w:rsidRPr="003B4432" w:rsidRDefault="004314BA" w:rsidP="00376447">
            <w:pPr>
              <w:pStyle w:val="Pripombabesedilo"/>
            </w:pPr>
            <w:r>
              <w:rPr>
                <w:rFonts w:cs="Arial"/>
                <w:noProof/>
              </w:rPr>
              <w:t>Predlog</w:t>
            </w:r>
            <w:r w:rsidRPr="00A5023E">
              <w:rPr>
                <w:rFonts w:cs="Arial"/>
                <w:noProof/>
              </w:rPr>
              <w:t>, da se v Prilogi 2 poglavje »Jedrska varnost in zakonodaja« razdeli na dve poglavji, in sicer na »Jedrska varnost« in »Zakonodaja«, ker gre za dve vsebinsko ločeni področji.</w:t>
            </w:r>
          </w:p>
        </w:tc>
        <w:tc>
          <w:tcPr>
            <w:tcW w:w="7938" w:type="dxa"/>
          </w:tcPr>
          <w:p w14:paraId="5925A617" w14:textId="2E1A9675" w:rsidR="004314BA" w:rsidRPr="003B4432" w:rsidRDefault="004314BA" w:rsidP="00376447">
            <w:pPr>
              <w:jc w:val="both"/>
              <w:rPr>
                <w:rFonts w:cs="Arial"/>
              </w:rPr>
            </w:pPr>
            <w:r>
              <w:rPr>
                <w:rFonts w:cs="Arial"/>
              </w:rPr>
              <w:t>Se ne upošteva. Priloga 2 je narejena po programu OTJE. V tem programu pa je trenutno poglavje Jedrska varnost in zakonodaja, ki ni ločeno.</w:t>
            </w:r>
          </w:p>
        </w:tc>
      </w:tr>
      <w:tr w:rsidR="004314BA" w:rsidRPr="00F133F4" w14:paraId="3B36A43A" w14:textId="77777777" w:rsidTr="00402ECA">
        <w:trPr>
          <w:jc w:val="center"/>
        </w:trPr>
        <w:tc>
          <w:tcPr>
            <w:tcW w:w="562" w:type="dxa"/>
          </w:tcPr>
          <w:p w14:paraId="40C5E87C" w14:textId="03849B77" w:rsidR="004314BA" w:rsidRPr="00DA01B2" w:rsidRDefault="00347BC9" w:rsidP="003B4432">
            <w:pPr>
              <w:rPr>
                <w:rFonts w:cs="Arial"/>
              </w:rPr>
            </w:pPr>
            <w:r>
              <w:rPr>
                <w:rFonts w:cs="Arial"/>
              </w:rPr>
              <w:t>20</w:t>
            </w:r>
            <w:r w:rsidR="004314BA">
              <w:rPr>
                <w:rFonts w:cs="Arial"/>
              </w:rPr>
              <w:t>.</w:t>
            </w:r>
          </w:p>
        </w:tc>
        <w:tc>
          <w:tcPr>
            <w:tcW w:w="1560" w:type="dxa"/>
          </w:tcPr>
          <w:p w14:paraId="2D852C10" w14:textId="42791631" w:rsidR="004314BA" w:rsidRPr="00DA01B2" w:rsidRDefault="004314BA" w:rsidP="003B4432">
            <w:pPr>
              <w:rPr>
                <w:rFonts w:cs="Arial"/>
              </w:rPr>
            </w:pPr>
            <w:r>
              <w:rPr>
                <w:rFonts w:cs="Arial"/>
              </w:rPr>
              <w:t xml:space="preserve">Splošna pripomba </w:t>
            </w:r>
          </w:p>
        </w:tc>
        <w:tc>
          <w:tcPr>
            <w:tcW w:w="6378" w:type="dxa"/>
          </w:tcPr>
          <w:p w14:paraId="15493086" w14:textId="57CE960C" w:rsidR="004314BA" w:rsidRPr="00DA01B2" w:rsidRDefault="004314BA" w:rsidP="003B4432">
            <w:pPr>
              <w:jc w:val="both"/>
              <w:rPr>
                <w:rFonts w:cs="Arial"/>
              </w:rPr>
            </w:pPr>
            <w:r w:rsidRPr="003B4432">
              <w:rPr>
                <w:rFonts w:cs="Arial"/>
              </w:rPr>
              <w:t xml:space="preserve">Poleg tega predlagamo razmislek, da se merila in pogoje za pooblastitev poostri in določi na način, da bi imeli za posamezna </w:t>
            </w:r>
            <w:r w:rsidRPr="003B4432">
              <w:rPr>
                <w:rFonts w:cs="Arial"/>
              </w:rPr>
              <w:lastRenderedPageBreak/>
              <w:t>področja dovolj kompetentne pooblaščence. Naročnik pregleda, ki je podvržen javnim naročilom, sedaj tako ne more izbirati po ključnem kriteriju strokovnosti, ampak o izbiri odloča le cena.</w:t>
            </w:r>
          </w:p>
        </w:tc>
        <w:tc>
          <w:tcPr>
            <w:tcW w:w="7938" w:type="dxa"/>
          </w:tcPr>
          <w:p w14:paraId="4D2262D7" w14:textId="07D52E55" w:rsidR="004314BA" w:rsidRPr="00306156" w:rsidRDefault="00B00011" w:rsidP="003B4432">
            <w:pPr>
              <w:jc w:val="both"/>
              <w:rPr>
                <w:rFonts w:cs="Arial"/>
              </w:rPr>
            </w:pPr>
            <w:r>
              <w:rPr>
                <w:rFonts w:cs="Arial"/>
              </w:rPr>
              <w:lastRenderedPageBreak/>
              <w:t>Pripomba je bila upoštevana</w:t>
            </w:r>
            <w:r w:rsidR="000778D3">
              <w:rPr>
                <w:rFonts w:cs="Arial"/>
              </w:rPr>
              <w:t xml:space="preserve"> že v verziji, ki je bila poslana v javno obravnavo</w:t>
            </w:r>
            <w:r>
              <w:rPr>
                <w:rFonts w:cs="Arial"/>
              </w:rPr>
              <w:t>. To je bil tudi eden glavnih namenov spremembe pravilnika.</w:t>
            </w:r>
            <w:r w:rsidR="000778D3">
              <w:rPr>
                <w:rFonts w:cs="Arial"/>
              </w:rPr>
              <w:t xml:space="preserve"> Na podlagi izkušenj v preteklih letih, </w:t>
            </w:r>
            <w:r w:rsidR="000778D3">
              <w:rPr>
                <w:rFonts w:cs="Arial"/>
              </w:rPr>
              <w:lastRenderedPageBreak/>
              <w:t>ko so naročniki pregledov večkrat izrazili prav ta komentar na različne načine, je URSJV v tej reviziji pravilnika bolj natančno določila področja in pogoje.</w:t>
            </w:r>
            <w:r>
              <w:rPr>
                <w:rFonts w:cs="Arial"/>
              </w:rPr>
              <w:t xml:space="preserve"> Zato je bila tudi spremenjena tabela 1 s področji, da bodo bolj jasno opredeljena področja in spremenjene in dodane nekatere druge zahteve v pravilniku.</w:t>
            </w:r>
            <w:r w:rsidR="000778D3">
              <w:rPr>
                <w:rFonts w:cs="Arial"/>
              </w:rPr>
              <w:t xml:space="preserve"> S tem bo doseženo, da bodo za posamezna področja pooblaščeni najbolj kompetentni pooblaščenci.</w:t>
            </w:r>
          </w:p>
        </w:tc>
      </w:tr>
    </w:tbl>
    <w:p w14:paraId="2FDD9818" w14:textId="77777777" w:rsidR="00CE2E27" w:rsidRPr="00472D3B" w:rsidRDefault="00CE2E27"/>
    <w:sectPr w:rsidR="00CE2E27" w:rsidRPr="00472D3B" w:rsidSect="0055215D">
      <w:pgSz w:w="23811" w:h="16838" w:orient="landscape" w:code="8"/>
      <w:pgMar w:top="1418" w:right="1440" w:bottom="1418" w:left="992"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BE99" w14:textId="77777777" w:rsidR="008C3658" w:rsidRDefault="008C3658">
      <w:r>
        <w:separator/>
      </w:r>
    </w:p>
  </w:endnote>
  <w:endnote w:type="continuationSeparator" w:id="0">
    <w:p w14:paraId="7CB6491B" w14:textId="77777777" w:rsidR="008C3658" w:rsidRDefault="008C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64126"/>
      <w:docPartObj>
        <w:docPartGallery w:val="Page Numbers (Bottom of Page)"/>
        <w:docPartUnique/>
      </w:docPartObj>
    </w:sdtPr>
    <w:sdtEndPr>
      <w:rPr>
        <w:noProof/>
      </w:rPr>
    </w:sdtEndPr>
    <w:sdtContent>
      <w:p w14:paraId="32FDDA00" w14:textId="77777777" w:rsidR="00F133F4" w:rsidRDefault="00F133F4">
        <w:pPr>
          <w:pStyle w:val="Noga"/>
          <w:jc w:val="center"/>
        </w:pPr>
        <w:r>
          <w:fldChar w:fldCharType="begin"/>
        </w:r>
        <w:r>
          <w:instrText xml:space="preserve"> PAGE   \* MERGEFORMAT </w:instrText>
        </w:r>
        <w:r>
          <w:fldChar w:fldCharType="separate"/>
        </w:r>
        <w:r>
          <w:rPr>
            <w:noProof/>
          </w:rPr>
          <w:t>25</w:t>
        </w:r>
        <w:r>
          <w:rPr>
            <w:noProof/>
          </w:rPr>
          <w:fldChar w:fldCharType="end"/>
        </w:r>
      </w:p>
    </w:sdtContent>
  </w:sdt>
  <w:p w14:paraId="4FA0F01D" w14:textId="77777777" w:rsidR="00F133F4" w:rsidRDefault="00F133F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96664"/>
      <w:docPartObj>
        <w:docPartGallery w:val="Page Numbers (Bottom of Page)"/>
        <w:docPartUnique/>
      </w:docPartObj>
    </w:sdtPr>
    <w:sdtEndPr>
      <w:rPr>
        <w:noProof/>
      </w:rPr>
    </w:sdtEndPr>
    <w:sdtContent>
      <w:p w14:paraId="687E1391" w14:textId="77777777" w:rsidR="00F133F4" w:rsidRDefault="00F133F4">
        <w:pPr>
          <w:pStyle w:val="Noga"/>
          <w:jc w:val="center"/>
        </w:pPr>
        <w:r>
          <w:fldChar w:fldCharType="begin"/>
        </w:r>
        <w:r>
          <w:instrText xml:space="preserve"> PAGE   \* MERGEFORMAT </w:instrText>
        </w:r>
        <w:r>
          <w:fldChar w:fldCharType="separate"/>
        </w:r>
        <w:r>
          <w:rPr>
            <w:noProof/>
          </w:rPr>
          <w:t>2</w:t>
        </w:r>
        <w:r>
          <w:rPr>
            <w:noProof/>
          </w:rPr>
          <w:fldChar w:fldCharType="end"/>
        </w:r>
      </w:p>
    </w:sdtContent>
  </w:sdt>
  <w:p w14:paraId="47C1858E" w14:textId="77777777" w:rsidR="00F133F4" w:rsidRPr="00607EF7" w:rsidRDefault="00F133F4" w:rsidP="005521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158B" w14:textId="77777777" w:rsidR="008C3658" w:rsidRDefault="008C3658">
      <w:r>
        <w:separator/>
      </w:r>
    </w:p>
  </w:footnote>
  <w:footnote w:type="continuationSeparator" w:id="0">
    <w:p w14:paraId="3EC80173" w14:textId="77777777" w:rsidR="008C3658" w:rsidRDefault="008C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8823" w14:textId="77777777" w:rsidR="00F133F4" w:rsidRDefault="00F133F4">
    <w:pPr>
      <w:pStyle w:val="Glava"/>
    </w:pPr>
    <w:r>
      <w:rPr>
        <w:noProof/>
      </w:rPr>
      <mc:AlternateContent>
        <mc:Choice Requires="wps">
          <w:drawing>
            <wp:anchor distT="0" distB="0" distL="114300" distR="114300" simplePos="0" relativeHeight="251659264" behindDoc="0" locked="0" layoutInCell="1" allowOverlap="1" wp14:anchorId="794668DC" wp14:editId="57A45119">
              <wp:simplePos x="0" y="0"/>
              <wp:positionH relativeFrom="column">
                <wp:posOffset>6429375</wp:posOffset>
              </wp:positionH>
              <wp:positionV relativeFrom="paragraph">
                <wp:posOffset>3093085</wp:posOffset>
              </wp:positionV>
              <wp:extent cx="190500" cy="0"/>
              <wp:effectExtent l="9525" t="6985" r="9525" b="12065"/>
              <wp:wrapNone/>
              <wp:docPr id="6"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0F9D120" id="_x0000_t32" coordsize="21600,21600" o:spt="32" o:oned="t" path="m,l21600,21600e" filled="f">
              <v:path arrowok="t" fillok="f" o:connecttype="none"/>
              <o:lock v:ext="edit" shapetype="t"/>
            </v:shapetype>
            <v:shape id="AutoShape 2" o:spid="_x0000_s1026" type="#_x0000_t32" alt="&quot;&quot;" style="position:absolute;margin-left:506.25pt;margin-top:243.5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1" w15:restartNumberingAfterBreak="0">
    <w:nsid w:val="053D1632"/>
    <w:multiLevelType w:val="hybridMultilevel"/>
    <w:tmpl w:val="0406BEE6"/>
    <w:lvl w:ilvl="0" w:tplc="C3900BD4">
      <w:start w:val="7"/>
      <w:numFmt w:val="bullet"/>
      <w:lvlText w:val="-"/>
      <w:lvlJc w:val="left"/>
      <w:pPr>
        <w:ind w:left="720" w:hanging="360"/>
      </w:pPr>
      <w:rPr>
        <w:rFonts w:ascii="Calibri" w:eastAsia="MS Mincho"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A90312B"/>
    <w:multiLevelType w:val="singleLevel"/>
    <w:tmpl w:val="395001B0"/>
    <w:lvl w:ilvl="0">
      <w:start w:val="2"/>
      <w:numFmt w:val="decimal"/>
      <w:lvlText w:val="(%1)"/>
      <w:lvlJc w:val="left"/>
      <w:pPr>
        <w:tabs>
          <w:tab w:val="num" w:pos="360"/>
        </w:tabs>
        <w:ind w:left="360" w:hanging="360"/>
      </w:pPr>
      <w:rPr>
        <w:rFonts w:hint="default"/>
      </w:rPr>
    </w:lvl>
  </w:abstractNum>
  <w:abstractNum w:abstractNumId="3" w15:restartNumberingAfterBreak="0">
    <w:nsid w:val="1EEA1BF1"/>
    <w:multiLevelType w:val="hybridMultilevel"/>
    <w:tmpl w:val="39FA75AC"/>
    <w:lvl w:ilvl="0" w:tplc="FFFFFFFF">
      <w:start w:val="1"/>
      <w:numFmt w:val="bullet"/>
      <w:lvlText w:val="-"/>
      <w:lvlJc w:val="left"/>
      <w:pPr>
        <w:tabs>
          <w:tab w:val="num" w:pos="340"/>
        </w:tabs>
        <w:ind w:left="340" w:hanging="340"/>
      </w:pPr>
      <w:rPr>
        <w:rFonts w:ascii="Verdana" w:hAnsi="Verdana"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A36ED"/>
    <w:multiLevelType w:val="hybridMultilevel"/>
    <w:tmpl w:val="0742B356"/>
    <w:lvl w:ilvl="0" w:tplc="FF3A065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F5267E1"/>
    <w:multiLevelType w:val="hybridMultilevel"/>
    <w:tmpl w:val="8820B92C"/>
    <w:lvl w:ilvl="0" w:tplc="752EDC6C">
      <w:start w:val="6"/>
      <w:numFmt w:val="decimal"/>
      <w:lvlText w:val="(%1)"/>
      <w:lvlJc w:val="left"/>
      <w:pPr>
        <w:tabs>
          <w:tab w:val="num" w:pos="360"/>
        </w:tabs>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8360B8"/>
    <w:multiLevelType w:val="multilevel"/>
    <w:tmpl w:val="344E17D2"/>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8A85CBC"/>
    <w:multiLevelType w:val="hybridMultilevel"/>
    <w:tmpl w:val="B8ECEF32"/>
    <w:lvl w:ilvl="0" w:tplc="11E6FFC6">
      <w:start w:val="1"/>
      <w:numFmt w:val="decimal"/>
      <w:lvlText w:val="(%1)"/>
      <w:lvlJc w:val="left"/>
      <w:pPr>
        <w:tabs>
          <w:tab w:val="num" w:pos="502"/>
        </w:tabs>
        <w:ind w:left="502" w:hanging="360"/>
      </w:pPr>
    </w:lvl>
    <w:lvl w:ilvl="1" w:tplc="1DCA28C0">
      <w:start w:val="1"/>
      <w:numFmt w:val="lowerLetter"/>
      <w:lvlText w:val="%2."/>
      <w:lvlJc w:val="left"/>
      <w:pPr>
        <w:tabs>
          <w:tab w:val="num" w:pos="1440"/>
        </w:tabs>
        <w:ind w:left="1440" w:hanging="360"/>
      </w:pPr>
    </w:lvl>
    <w:lvl w:ilvl="2" w:tplc="ACFAA500">
      <w:start w:val="1"/>
      <w:numFmt w:val="lowerRoman"/>
      <w:lvlText w:val="%3."/>
      <w:lvlJc w:val="right"/>
      <w:pPr>
        <w:tabs>
          <w:tab w:val="num" w:pos="2160"/>
        </w:tabs>
        <w:ind w:left="2160" w:hanging="180"/>
      </w:pPr>
    </w:lvl>
    <w:lvl w:ilvl="3" w:tplc="650850A2">
      <w:start w:val="1"/>
      <w:numFmt w:val="decimal"/>
      <w:lvlText w:val="%4."/>
      <w:lvlJc w:val="left"/>
      <w:pPr>
        <w:tabs>
          <w:tab w:val="num" w:pos="2880"/>
        </w:tabs>
        <w:ind w:left="2880" w:hanging="360"/>
      </w:pPr>
    </w:lvl>
    <w:lvl w:ilvl="4" w:tplc="C9DEF934">
      <w:start w:val="1"/>
      <w:numFmt w:val="lowerLetter"/>
      <w:lvlText w:val="%5."/>
      <w:lvlJc w:val="left"/>
      <w:pPr>
        <w:tabs>
          <w:tab w:val="num" w:pos="3600"/>
        </w:tabs>
        <w:ind w:left="3600" w:hanging="360"/>
      </w:pPr>
    </w:lvl>
    <w:lvl w:ilvl="5" w:tplc="E2F09AD0">
      <w:start w:val="1"/>
      <w:numFmt w:val="lowerRoman"/>
      <w:lvlText w:val="%6."/>
      <w:lvlJc w:val="right"/>
      <w:pPr>
        <w:tabs>
          <w:tab w:val="num" w:pos="4320"/>
        </w:tabs>
        <w:ind w:left="4320" w:hanging="180"/>
      </w:pPr>
    </w:lvl>
    <w:lvl w:ilvl="6" w:tplc="CEBA49F0">
      <w:start w:val="1"/>
      <w:numFmt w:val="decimal"/>
      <w:lvlText w:val="%7."/>
      <w:lvlJc w:val="left"/>
      <w:pPr>
        <w:tabs>
          <w:tab w:val="num" w:pos="5040"/>
        </w:tabs>
        <w:ind w:left="5040" w:hanging="360"/>
      </w:pPr>
    </w:lvl>
    <w:lvl w:ilvl="7" w:tplc="07C0D02C">
      <w:start w:val="1"/>
      <w:numFmt w:val="lowerLetter"/>
      <w:lvlText w:val="%8."/>
      <w:lvlJc w:val="left"/>
      <w:pPr>
        <w:tabs>
          <w:tab w:val="num" w:pos="5760"/>
        </w:tabs>
        <w:ind w:left="5760" w:hanging="360"/>
      </w:pPr>
    </w:lvl>
    <w:lvl w:ilvl="8" w:tplc="D50A7DFA">
      <w:start w:val="1"/>
      <w:numFmt w:val="lowerRoman"/>
      <w:lvlText w:val="%9."/>
      <w:lvlJc w:val="right"/>
      <w:pPr>
        <w:tabs>
          <w:tab w:val="num" w:pos="6480"/>
        </w:tabs>
        <w:ind w:left="6480" w:hanging="180"/>
      </w:pPr>
    </w:lvl>
  </w:abstractNum>
  <w:abstractNum w:abstractNumId="8" w15:restartNumberingAfterBreak="0">
    <w:nsid w:val="695E0322"/>
    <w:multiLevelType w:val="hybridMultilevel"/>
    <w:tmpl w:val="CAF0DD9A"/>
    <w:lvl w:ilvl="0" w:tplc="1D7C8AB8">
      <w:start w:val="1"/>
      <w:numFmt w:val="decimal"/>
      <w:lvlText w:val="(%1)"/>
      <w:lvlJc w:val="left"/>
      <w:pPr>
        <w:tabs>
          <w:tab w:val="num" w:pos="360"/>
        </w:tabs>
        <w:ind w:left="360" w:hanging="360"/>
      </w:pPr>
      <w:rPr>
        <w:rFonts w:hint="default"/>
        <w:b w:val="0"/>
      </w:rPr>
    </w:lvl>
    <w:lvl w:ilvl="1" w:tplc="5DE6D2AE">
      <w:start w:val="1"/>
      <w:numFmt w:val="bullet"/>
      <w:lvlText w:val="o"/>
      <w:lvlJc w:val="left"/>
      <w:pPr>
        <w:ind w:left="1440" w:hanging="360"/>
      </w:pPr>
      <w:rPr>
        <w:rFonts w:ascii="Courier New" w:eastAsia="Courier New" w:hAnsi="Courier New" w:cs="Courier New" w:hint="default"/>
      </w:rPr>
    </w:lvl>
    <w:lvl w:ilvl="2" w:tplc="E96EB154">
      <w:start w:val="1"/>
      <w:numFmt w:val="bullet"/>
      <w:lvlText w:val="§"/>
      <w:lvlJc w:val="left"/>
      <w:pPr>
        <w:ind w:left="2160" w:hanging="360"/>
      </w:pPr>
      <w:rPr>
        <w:rFonts w:ascii="Wingdings" w:eastAsia="Wingdings" w:hAnsi="Wingdings" w:cs="Wingdings" w:hint="default"/>
      </w:rPr>
    </w:lvl>
    <w:lvl w:ilvl="3" w:tplc="915AD460">
      <w:start w:val="1"/>
      <w:numFmt w:val="bullet"/>
      <w:lvlText w:val="·"/>
      <w:lvlJc w:val="left"/>
      <w:pPr>
        <w:ind w:left="2880" w:hanging="360"/>
      </w:pPr>
      <w:rPr>
        <w:rFonts w:ascii="Symbol" w:eastAsia="Symbol" w:hAnsi="Symbol" w:cs="Symbol" w:hint="default"/>
      </w:rPr>
    </w:lvl>
    <w:lvl w:ilvl="4" w:tplc="1A7EA5A8">
      <w:start w:val="1"/>
      <w:numFmt w:val="bullet"/>
      <w:lvlText w:val="o"/>
      <w:lvlJc w:val="left"/>
      <w:pPr>
        <w:ind w:left="3600" w:hanging="360"/>
      </w:pPr>
      <w:rPr>
        <w:rFonts w:ascii="Courier New" w:eastAsia="Courier New" w:hAnsi="Courier New" w:cs="Courier New" w:hint="default"/>
      </w:rPr>
    </w:lvl>
    <w:lvl w:ilvl="5" w:tplc="AC20F9EC">
      <w:start w:val="1"/>
      <w:numFmt w:val="bullet"/>
      <w:lvlText w:val="§"/>
      <w:lvlJc w:val="left"/>
      <w:pPr>
        <w:ind w:left="4320" w:hanging="360"/>
      </w:pPr>
      <w:rPr>
        <w:rFonts w:ascii="Wingdings" w:eastAsia="Wingdings" w:hAnsi="Wingdings" w:cs="Wingdings" w:hint="default"/>
      </w:rPr>
    </w:lvl>
    <w:lvl w:ilvl="6" w:tplc="8A009FCC">
      <w:start w:val="1"/>
      <w:numFmt w:val="bullet"/>
      <w:lvlText w:val="·"/>
      <w:lvlJc w:val="left"/>
      <w:pPr>
        <w:ind w:left="5040" w:hanging="360"/>
      </w:pPr>
      <w:rPr>
        <w:rFonts w:ascii="Symbol" w:eastAsia="Symbol" w:hAnsi="Symbol" w:cs="Symbol" w:hint="default"/>
      </w:rPr>
    </w:lvl>
    <w:lvl w:ilvl="7" w:tplc="0778D832">
      <w:start w:val="1"/>
      <w:numFmt w:val="bullet"/>
      <w:lvlText w:val="o"/>
      <w:lvlJc w:val="left"/>
      <w:pPr>
        <w:ind w:left="5760" w:hanging="360"/>
      </w:pPr>
      <w:rPr>
        <w:rFonts w:ascii="Courier New" w:eastAsia="Courier New" w:hAnsi="Courier New" w:cs="Courier New" w:hint="default"/>
      </w:rPr>
    </w:lvl>
    <w:lvl w:ilvl="8" w:tplc="ABE4CBB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2282865"/>
    <w:multiLevelType w:val="hybridMultilevel"/>
    <w:tmpl w:val="C4E631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F73EB7"/>
    <w:multiLevelType w:val="hybridMultilevel"/>
    <w:tmpl w:val="77DE009E"/>
    <w:lvl w:ilvl="0" w:tplc="B4F46594">
      <w:start w:val="2"/>
      <w:numFmt w:val="decimal"/>
      <w:lvlText w:val="(%1)"/>
      <w:lvlJc w:val="left"/>
      <w:pPr>
        <w:tabs>
          <w:tab w:val="num" w:pos="360"/>
        </w:tabs>
        <w:ind w:left="360" w:hanging="360"/>
      </w:pPr>
      <w:rPr>
        <w:rFonts w:hint="default"/>
      </w:rPr>
    </w:lvl>
    <w:lvl w:ilvl="1" w:tplc="662C0A1A">
      <w:start w:val="1"/>
      <w:numFmt w:val="decimal"/>
      <w:lvlText w:val="%2."/>
      <w:lvlJc w:val="left"/>
      <w:pPr>
        <w:tabs>
          <w:tab w:val="num" w:pos="1440"/>
        </w:tabs>
        <w:ind w:left="1440" w:hanging="360"/>
      </w:pPr>
      <w:rPr>
        <w:rFonts w:hint="default"/>
      </w:rPr>
    </w:lvl>
    <w:lvl w:ilvl="2" w:tplc="DDEEB17E">
      <w:start w:val="1"/>
      <w:numFmt w:val="lowerRoman"/>
      <w:lvlText w:val="%3."/>
      <w:lvlJc w:val="right"/>
      <w:pPr>
        <w:tabs>
          <w:tab w:val="num" w:pos="2160"/>
        </w:tabs>
        <w:ind w:left="2160" w:hanging="180"/>
      </w:pPr>
    </w:lvl>
    <w:lvl w:ilvl="3" w:tplc="AC2CA396">
      <w:start w:val="1"/>
      <w:numFmt w:val="decimal"/>
      <w:lvlText w:val="%4."/>
      <w:lvlJc w:val="left"/>
      <w:pPr>
        <w:tabs>
          <w:tab w:val="num" w:pos="2880"/>
        </w:tabs>
        <w:ind w:left="2880" w:hanging="360"/>
      </w:pPr>
    </w:lvl>
    <w:lvl w:ilvl="4" w:tplc="543C07CE">
      <w:start w:val="1"/>
      <w:numFmt w:val="lowerLetter"/>
      <w:lvlText w:val="%5."/>
      <w:lvlJc w:val="left"/>
      <w:pPr>
        <w:tabs>
          <w:tab w:val="num" w:pos="3600"/>
        </w:tabs>
        <w:ind w:left="3600" w:hanging="360"/>
      </w:pPr>
    </w:lvl>
    <w:lvl w:ilvl="5" w:tplc="A97A59CC">
      <w:start w:val="1"/>
      <w:numFmt w:val="lowerRoman"/>
      <w:lvlText w:val="%6."/>
      <w:lvlJc w:val="right"/>
      <w:pPr>
        <w:tabs>
          <w:tab w:val="num" w:pos="4320"/>
        </w:tabs>
        <w:ind w:left="4320" w:hanging="180"/>
      </w:pPr>
    </w:lvl>
    <w:lvl w:ilvl="6" w:tplc="7DD82676">
      <w:start w:val="1"/>
      <w:numFmt w:val="decimal"/>
      <w:lvlText w:val="%7."/>
      <w:lvlJc w:val="left"/>
      <w:pPr>
        <w:tabs>
          <w:tab w:val="num" w:pos="5040"/>
        </w:tabs>
        <w:ind w:left="5040" w:hanging="360"/>
      </w:pPr>
    </w:lvl>
    <w:lvl w:ilvl="7" w:tplc="CE589CEC">
      <w:start w:val="1"/>
      <w:numFmt w:val="lowerLetter"/>
      <w:lvlText w:val="%8."/>
      <w:lvlJc w:val="left"/>
      <w:pPr>
        <w:tabs>
          <w:tab w:val="num" w:pos="5760"/>
        </w:tabs>
        <w:ind w:left="5760" w:hanging="360"/>
      </w:pPr>
    </w:lvl>
    <w:lvl w:ilvl="8" w:tplc="7CF0821E">
      <w:start w:val="1"/>
      <w:numFmt w:val="lowerRoman"/>
      <w:lvlText w:val="%9."/>
      <w:lvlJc w:val="right"/>
      <w:pPr>
        <w:tabs>
          <w:tab w:val="num" w:pos="6480"/>
        </w:tabs>
        <w:ind w:left="6480" w:hanging="180"/>
      </w:pPr>
    </w:lvl>
  </w:abstractNum>
  <w:num w:numId="1" w16cid:durableId="1947880475">
    <w:abstractNumId w:val="0"/>
  </w:num>
  <w:num w:numId="2" w16cid:durableId="696664384">
    <w:abstractNumId w:val="1"/>
  </w:num>
  <w:num w:numId="3" w16cid:durableId="1469938404">
    <w:abstractNumId w:val="9"/>
  </w:num>
  <w:num w:numId="4" w16cid:durableId="394016681">
    <w:abstractNumId w:val="3"/>
  </w:num>
  <w:num w:numId="5" w16cid:durableId="1922447125">
    <w:abstractNumId w:val="4"/>
  </w:num>
  <w:num w:numId="6" w16cid:durableId="1041398482">
    <w:abstractNumId w:val="10"/>
  </w:num>
  <w:num w:numId="7" w16cid:durableId="573666667">
    <w:abstractNumId w:val="8"/>
  </w:num>
  <w:num w:numId="8" w16cid:durableId="1532183677">
    <w:abstractNumId w:val="5"/>
  </w:num>
  <w:num w:numId="9" w16cid:durableId="598952482">
    <w:abstractNumId w:val="7"/>
  </w:num>
  <w:num w:numId="10" w16cid:durableId="2145076125">
    <w:abstractNumId w:val="2"/>
  </w:num>
  <w:num w:numId="11" w16cid:durableId="165217531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3B"/>
    <w:rsid w:val="00001B70"/>
    <w:rsid w:val="0000468E"/>
    <w:rsid w:val="0002125C"/>
    <w:rsid w:val="00023E23"/>
    <w:rsid w:val="00040850"/>
    <w:rsid w:val="00041401"/>
    <w:rsid w:val="00056F3B"/>
    <w:rsid w:val="00060B15"/>
    <w:rsid w:val="000778D3"/>
    <w:rsid w:val="0008544A"/>
    <w:rsid w:val="00085AE7"/>
    <w:rsid w:val="0008743B"/>
    <w:rsid w:val="00087E85"/>
    <w:rsid w:val="000946E9"/>
    <w:rsid w:val="000A379F"/>
    <w:rsid w:val="000A3ECB"/>
    <w:rsid w:val="000B4CA3"/>
    <w:rsid w:val="000C1B32"/>
    <w:rsid w:val="000D22A4"/>
    <w:rsid w:val="000D618C"/>
    <w:rsid w:val="000D7A07"/>
    <w:rsid w:val="000F2C97"/>
    <w:rsid w:val="000F3E1E"/>
    <w:rsid w:val="00100B41"/>
    <w:rsid w:val="00111429"/>
    <w:rsid w:val="00111D81"/>
    <w:rsid w:val="00114821"/>
    <w:rsid w:val="00121311"/>
    <w:rsid w:val="0012366D"/>
    <w:rsid w:val="00123A0B"/>
    <w:rsid w:val="00132939"/>
    <w:rsid w:val="0013634D"/>
    <w:rsid w:val="0013667E"/>
    <w:rsid w:val="00141DB5"/>
    <w:rsid w:val="00151BD5"/>
    <w:rsid w:val="00152CAC"/>
    <w:rsid w:val="00174309"/>
    <w:rsid w:val="00180CE2"/>
    <w:rsid w:val="00193C48"/>
    <w:rsid w:val="0019566D"/>
    <w:rsid w:val="001A0584"/>
    <w:rsid w:val="001A1472"/>
    <w:rsid w:val="001A2C1B"/>
    <w:rsid w:val="001A7002"/>
    <w:rsid w:val="001B3D5B"/>
    <w:rsid w:val="001B6885"/>
    <w:rsid w:val="001C2075"/>
    <w:rsid w:val="001C3E01"/>
    <w:rsid w:val="001D2C5F"/>
    <w:rsid w:val="001D319C"/>
    <w:rsid w:val="001E35D7"/>
    <w:rsid w:val="001E431B"/>
    <w:rsid w:val="002019C3"/>
    <w:rsid w:val="002050D6"/>
    <w:rsid w:val="00213E12"/>
    <w:rsid w:val="00230B80"/>
    <w:rsid w:val="00240671"/>
    <w:rsid w:val="0024216F"/>
    <w:rsid w:val="00246A49"/>
    <w:rsid w:val="0027275C"/>
    <w:rsid w:val="002B67B4"/>
    <w:rsid w:val="002D163C"/>
    <w:rsid w:val="002D2480"/>
    <w:rsid w:val="002E6002"/>
    <w:rsid w:val="002F16E6"/>
    <w:rsid w:val="002F2B1B"/>
    <w:rsid w:val="003005EA"/>
    <w:rsid w:val="00300681"/>
    <w:rsid w:val="00302AB2"/>
    <w:rsid w:val="00306156"/>
    <w:rsid w:val="003119CF"/>
    <w:rsid w:val="003162EC"/>
    <w:rsid w:val="00320F9F"/>
    <w:rsid w:val="00322ABB"/>
    <w:rsid w:val="00323065"/>
    <w:rsid w:val="00323355"/>
    <w:rsid w:val="0032365E"/>
    <w:rsid w:val="00332326"/>
    <w:rsid w:val="00333DD3"/>
    <w:rsid w:val="00347BC9"/>
    <w:rsid w:val="00347D10"/>
    <w:rsid w:val="00353868"/>
    <w:rsid w:val="00355AA9"/>
    <w:rsid w:val="00357140"/>
    <w:rsid w:val="00374A0D"/>
    <w:rsid w:val="00374C6E"/>
    <w:rsid w:val="00376447"/>
    <w:rsid w:val="00381B79"/>
    <w:rsid w:val="00387033"/>
    <w:rsid w:val="003958E7"/>
    <w:rsid w:val="003A64AB"/>
    <w:rsid w:val="003B4432"/>
    <w:rsid w:val="003C01AB"/>
    <w:rsid w:val="003C0C5B"/>
    <w:rsid w:val="003C277D"/>
    <w:rsid w:val="003C6428"/>
    <w:rsid w:val="003D0346"/>
    <w:rsid w:val="003D4253"/>
    <w:rsid w:val="003E5971"/>
    <w:rsid w:val="003F5EAF"/>
    <w:rsid w:val="003F7A30"/>
    <w:rsid w:val="00402ECA"/>
    <w:rsid w:val="00403D68"/>
    <w:rsid w:val="00405CC8"/>
    <w:rsid w:val="00410B0B"/>
    <w:rsid w:val="00416A39"/>
    <w:rsid w:val="004176D0"/>
    <w:rsid w:val="004314BA"/>
    <w:rsid w:val="00440F81"/>
    <w:rsid w:val="004415A9"/>
    <w:rsid w:val="004454EA"/>
    <w:rsid w:val="00452DB4"/>
    <w:rsid w:val="00466B98"/>
    <w:rsid w:val="00472D3B"/>
    <w:rsid w:val="00475AE4"/>
    <w:rsid w:val="00475C3D"/>
    <w:rsid w:val="00485527"/>
    <w:rsid w:val="0048776D"/>
    <w:rsid w:val="004964DE"/>
    <w:rsid w:val="004A29EF"/>
    <w:rsid w:val="004A361B"/>
    <w:rsid w:val="004A6B97"/>
    <w:rsid w:val="004B15CB"/>
    <w:rsid w:val="004C02BD"/>
    <w:rsid w:val="004C4E6D"/>
    <w:rsid w:val="004C6912"/>
    <w:rsid w:val="004D372D"/>
    <w:rsid w:val="004E34FD"/>
    <w:rsid w:val="004F794F"/>
    <w:rsid w:val="0051773E"/>
    <w:rsid w:val="00517D62"/>
    <w:rsid w:val="00520C30"/>
    <w:rsid w:val="0053209D"/>
    <w:rsid w:val="00533753"/>
    <w:rsid w:val="00535B37"/>
    <w:rsid w:val="005368CB"/>
    <w:rsid w:val="00540478"/>
    <w:rsid w:val="0055215D"/>
    <w:rsid w:val="00561ADD"/>
    <w:rsid w:val="00563ED7"/>
    <w:rsid w:val="00565848"/>
    <w:rsid w:val="00573DEC"/>
    <w:rsid w:val="00574384"/>
    <w:rsid w:val="005823BF"/>
    <w:rsid w:val="00582FFB"/>
    <w:rsid w:val="00596C7C"/>
    <w:rsid w:val="005A320F"/>
    <w:rsid w:val="005A7F25"/>
    <w:rsid w:val="005B0A1A"/>
    <w:rsid w:val="005B3EAD"/>
    <w:rsid w:val="005C7553"/>
    <w:rsid w:val="005D1588"/>
    <w:rsid w:val="005D6BB4"/>
    <w:rsid w:val="005E248E"/>
    <w:rsid w:val="005E3498"/>
    <w:rsid w:val="005F090F"/>
    <w:rsid w:val="005F3123"/>
    <w:rsid w:val="005F4515"/>
    <w:rsid w:val="006017AB"/>
    <w:rsid w:val="006347A7"/>
    <w:rsid w:val="006454B9"/>
    <w:rsid w:val="00650762"/>
    <w:rsid w:val="00662EE9"/>
    <w:rsid w:val="00673F5B"/>
    <w:rsid w:val="006836BD"/>
    <w:rsid w:val="006A4EFE"/>
    <w:rsid w:val="006C449C"/>
    <w:rsid w:val="006C4FB4"/>
    <w:rsid w:val="006C5B83"/>
    <w:rsid w:val="006D1FBB"/>
    <w:rsid w:val="006D69F5"/>
    <w:rsid w:val="00714085"/>
    <w:rsid w:val="00717545"/>
    <w:rsid w:val="0072232C"/>
    <w:rsid w:val="00722F54"/>
    <w:rsid w:val="00724EA0"/>
    <w:rsid w:val="00731A45"/>
    <w:rsid w:val="0074621B"/>
    <w:rsid w:val="00746961"/>
    <w:rsid w:val="007631AA"/>
    <w:rsid w:val="00770E7F"/>
    <w:rsid w:val="00773AC2"/>
    <w:rsid w:val="00795B78"/>
    <w:rsid w:val="007A3300"/>
    <w:rsid w:val="007A5E4C"/>
    <w:rsid w:val="007C37FF"/>
    <w:rsid w:val="007D0C34"/>
    <w:rsid w:val="007D2362"/>
    <w:rsid w:val="007F1C49"/>
    <w:rsid w:val="008101EE"/>
    <w:rsid w:val="00811F59"/>
    <w:rsid w:val="00814869"/>
    <w:rsid w:val="008165A1"/>
    <w:rsid w:val="0082059D"/>
    <w:rsid w:val="008313AA"/>
    <w:rsid w:val="0083194F"/>
    <w:rsid w:val="008320EE"/>
    <w:rsid w:val="008339C7"/>
    <w:rsid w:val="00842405"/>
    <w:rsid w:val="00845072"/>
    <w:rsid w:val="00846739"/>
    <w:rsid w:val="00850A64"/>
    <w:rsid w:val="00860CBB"/>
    <w:rsid w:val="0086153B"/>
    <w:rsid w:val="008737FB"/>
    <w:rsid w:val="008738D3"/>
    <w:rsid w:val="008812B2"/>
    <w:rsid w:val="008974B8"/>
    <w:rsid w:val="00897C10"/>
    <w:rsid w:val="008A2201"/>
    <w:rsid w:val="008A4069"/>
    <w:rsid w:val="008A6461"/>
    <w:rsid w:val="008A7135"/>
    <w:rsid w:val="008A7716"/>
    <w:rsid w:val="008B5631"/>
    <w:rsid w:val="008C1920"/>
    <w:rsid w:val="008C3658"/>
    <w:rsid w:val="008C5E5B"/>
    <w:rsid w:val="008D0D95"/>
    <w:rsid w:val="008D3F56"/>
    <w:rsid w:val="008E3F02"/>
    <w:rsid w:val="008E5296"/>
    <w:rsid w:val="008F2B3C"/>
    <w:rsid w:val="008F3FDA"/>
    <w:rsid w:val="00903460"/>
    <w:rsid w:val="00905768"/>
    <w:rsid w:val="00905CA2"/>
    <w:rsid w:val="00907967"/>
    <w:rsid w:val="00907E11"/>
    <w:rsid w:val="00930AC8"/>
    <w:rsid w:val="00935F2D"/>
    <w:rsid w:val="00936753"/>
    <w:rsid w:val="0093716B"/>
    <w:rsid w:val="00937242"/>
    <w:rsid w:val="0095601F"/>
    <w:rsid w:val="00960363"/>
    <w:rsid w:val="0096166E"/>
    <w:rsid w:val="00963194"/>
    <w:rsid w:val="00965941"/>
    <w:rsid w:val="009666D6"/>
    <w:rsid w:val="0096796C"/>
    <w:rsid w:val="00972459"/>
    <w:rsid w:val="00974C38"/>
    <w:rsid w:val="00980E21"/>
    <w:rsid w:val="009832D0"/>
    <w:rsid w:val="00983E7B"/>
    <w:rsid w:val="00993642"/>
    <w:rsid w:val="00997B07"/>
    <w:rsid w:val="009B0BDD"/>
    <w:rsid w:val="009C45CA"/>
    <w:rsid w:val="009D182B"/>
    <w:rsid w:val="009D5CFB"/>
    <w:rsid w:val="009E6F5D"/>
    <w:rsid w:val="009F0D75"/>
    <w:rsid w:val="009F582B"/>
    <w:rsid w:val="009F6A24"/>
    <w:rsid w:val="00A1721F"/>
    <w:rsid w:val="00A201F7"/>
    <w:rsid w:val="00A37525"/>
    <w:rsid w:val="00A4119D"/>
    <w:rsid w:val="00A42455"/>
    <w:rsid w:val="00A5023E"/>
    <w:rsid w:val="00A55135"/>
    <w:rsid w:val="00A64226"/>
    <w:rsid w:val="00A740DE"/>
    <w:rsid w:val="00A76959"/>
    <w:rsid w:val="00A816A1"/>
    <w:rsid w:val="00A86614"/>
    <w:rsid w:val="00A86C64"/>
    <w:rsid w:val="00A87617"/>
    <w:rsid w:val="00A910D4"/>
    <w:rsid w:val="00AA2AC6"/>
    <w:rsid w:val="00AA4665"/>
    <w:rsid w:val="00AB3019"/>
    <w:rsid w:val="00AB709E"/>
    <w:rsid w:val="00AC1E2B"/>
    <w:rsid w:val="00AC692C"/>
    <w:rsid w:val="00AE3787"/>
    <w:rsid w:val="00AE4237"/>
    <w:rsid w:val="00AF0B78"/>
    <w:rsid w:val="00AF211E"/>
    <w:rsid w:val="00B00011"/>
    <w:rsid w:val="00B0257E"/>
    <w:rsid w:val="00B02C9F"/>
    <w:rsid w:val="00B07A0A"/>
    <w:rsid w:val="00B1511D"/>
    <w:rsid w:val="00B20A10"/>
    <w:rsid w:val="00B31D5D"/>
    <w:rsid w:val="00B374E3"/>
    <w:rsid w:val="00B51EE0"/>
    <w:rsid w:val="00B55638"/>
    <w:rsid w:val="00B64102"/>
    <w:rsid w:val="00B64CCE"/>
    <w:rsid w:val="00B65ADE"/>
    <w:rsid w:val="00B70B67"/>
    <w:rsid w:val="00B7497A"/>
    <w:rsid w:val="00B75637"/>
    <w:rsid w:val="00B76FA4"/>
    <w:rsid w:val="00B815CF"/>
    <w:rsid w:val="00B842C1"/>
    <w:rsid w:val="00B90BED"/>
    <w:rsid w:val="00BB135E"/>
    <w:rsid w:val="00BB156A"/>
    <w:rsid w:val="00BB30D3"/>
    <w:rsid w:val="00BC3990"/>
    <w:rsid w:val="00BD0E52"/>
    <w:rsid w:val="00BD4F12"/>
    <w:rsid w:val="00BE40FE"/>
    <w:rsid w:val="00BE78F7"/>
    <w:rsid w:val="00BF0AD4"/>
    <w:rsid w:val="00BF2029"/>
    <w:rsid w:val="00BF33A4"/>
    <w:rsid w:val="00C05E0E"/>
    <w:rsid w:val="00C05F36"/>
    <w:rsid w:val="00C06BF3"/>
    <w:rsid w:val="00C104A6"/>
    <w:rsid w:val="00C310E3"/>
    <w:rsid w:val="00C31935"/>
    <w:rsid w:val="00C42527"/>
    <w:rsid w:val="00C42B74"/>
    <w:rsid w:val="00C45A33"/>
    <w:rsid w:val="00C45CE7"/>
    <w:rsid w:val="00C52C7D"/>
    <w:rsid w:val="00C5494F"/>
    <w:rsid w:val="00C56AE5"/>
    <w:rsid w:val="00C65C03"/>
    <w:rsid w:val="00C66AA5"/>
    <w:rsid w:val="00C76818"/>
    <w:rsid w:val="00C774CE"/>
    <w:rsid w:val="00C8143F"/>
    <w:rsid w:val="00C8155D"/>
    <w:rsid w:val="00C84D31"/>
    <w:rsid w:val="00C934F0"/>
    <w:rsid w:val="00CA4C0F"/>
    <w:rsid w:val="00CA5095"/>
    <w:rsid w:val="00CB09EC"/>
    <w:rsid w:val="00CB1693"/>
    <w:rsid w:val="00CB1980"/>
    <w:rsid w:val="00CB6975"/>
    <w:rsid w:val="00CC026C"/>
    <w:rsid w:val="00CC195B"/>
    <w:rsid w:val="00CD0408"/>
    <w:rsid w:val="00CD07F7"/>
    <w:rsid w:val="00CD289B"/>
    <w:rsid w:val="00CD3613"/>
    <w:rsid w:val="00CD759B"/>
    <w:rsid w:val="00CE2E27"/>
    <w:rsid w:val="00CF01FB"/>
    <w:rsid w:val="00CF73D3"/>
    <w:rsid w:val="00CF7FB3"/>
    <w:rsid w:val="00D1166C"/>
    <w:rsid w:val="00D2396E"/>
    <w:rsid w:val="00D348AF"/>
    <w:rsid w:val="00D359B0"/>
    <w:rsid w:val="00D35DE4"/>
    <w:rsid w:val="00D363FC"/>
    <w:rsid w:val="00D44CFB"/>
    <w:rsid w:val="00D57552"/>
    <w:rsid w:val="00D66BCF"/>
    <w:rsid w:val="00D70925"/>
    <w:rsid w:val="00D715B0"/>
    <w:rsid w:val="00D8113C"/>
    <w:rsid w:val="00D8454B"/>
    <w:rsid w:val="00D87587"/>
    <w:rsid w:val="00D87AB0"/>
    <w:rsid w:val="00D93B30"/>
    <w:rsid w:val="00DA01B2"/>
    <w:rsid w:val="00DA27F4"/>
    <w:rsid w:val="00DA5ABA"/>
    <w:rsid w:val="00DB5261"/>
    <w:rsid w:val="00DB7C50"/>
    <w:rsid w:val="00DC2B0D"/>
    <w:rsid w:val="00DC798F"/>
    <w:rsid w:val="00DD1564"/>
    <w:rsid w:val="00DD4C0F"/>
    <w:rsid w:val="00DE0A27"/>
    <w:rsid w:val="00DF462F"/>
    <w:rsid w:val="00DF6516"/>
    <w:rsid w:val="00DF7EB4"/>
    <w:rsid w:val="00E02431"/>
    <w:rsid w:val="00E03AAB"/>
    <w:rsid w:val="00E04693"/>
    <w:rsid w:val="00E07053"/>
    <w:rsid w:val="00E136D7"/>
    <w:rsid w:val="00E2570D"/>
    <w:rsid w:val="00E27A1B"/>
    <w:rsid w:val="00E33038"/>
    <w:rsid w:val="00E34DB4"/>
    <w:rsid w:val="00E543CB"/>
    <w:rsid w:val="00E55665"/>
    <w:rsid w:val="00E557B9"/>
    <w:rsid w:val="00E6126D"/>
    <w:rsid w:val="00E63445"/>
    <w:rsid w:val="00E664ED"/>
    <w:rsid w:val="00E71A4E"/>
    <w:rsid w:val="00E80757"/>
    <w:rsid w:val="00E8248E"/>
    <w:rsid w:val="00E860B7"/>
    <w:rsid w:val="00E864C2"/>
    <w:rsid w:val="00E86600"/>
    <w:rsid w:val="00E91F40"/>
    <w:rsid w:val="00E97C68"/>
    <w:rsid w:val="00EA2444"/>
    <w:rsid w:val="00EA3B05"/>
    <w:rsid w:val="00EB521E"/>
    <w:rsid w:val="00EB5630"/>
    <w:rsid w:val="00EC1532"/>
    <w:rsid w:val="00EC5C54"/>
    <w:rsid w:val="00ED393B"/>
    <w:rsid w:val="00ED61DF"/>
    <w:rsid w:val="00EF1EAC"/>
    <w:rsid w:val="00EF6ADE"/>
    <w:rsid w:val="00F10080"/>
    <w:rsid w:val="00F133F4"/>
    <w:rsid w:val="00F20F33"/>
    <w:rsid w:val="00F22A01"/>
    <w:rsid w:val="00F43C38"/>
    <w:rsid w:val="00F56787"/>
    <w:rsid w:val="00F56D90"/>
    <w:rsid w:val="00F6689E"/>
    <w:rsid w:val="00F73218"/>
    <w:rsid w:val="00F777E7"/>
    <w:rsid w:val="00F8231A"/>
    <w:rsid w:val="00F8315E"/>
    <w:rsid w:val="00FA047B"/>
    <w:rsid w:val="00FA10C3"/>
    <w:rsid w:val="00FA4E37"/>
    <w:rsid w:val="00FA4E44"/>
    <w:rsid w:val="00FC60DC"/>
    <w:rsid w:val="00FC6CB9"/>
    <w:rsid w:val="00FC7A3E"/>
    <w:rsid w:val="00FD07DD"/>
    <w:rsid w:val="00FD705B"/>
    <w:rsid w:val="00FE7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E6A9"/>
  <w15:chartTrackingRefBased/>
  <w15:docId w15:val="{05EE39C6-03B9-4944-84EB-95DCB95C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tekst"/>
    <w:qFormat/>
    <w:rsid w:val="00E71A4E"/>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uiPriority w:val="9"/>
    <w:qFormat/>
    <w:rsid w:val="00472D3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basedOn w:val="Navaden"/>
    <w:next w:val="Navaden"/>
    <w:link w:val="Naslov2Znak"/>
    <w:qFormat/>
    <w:rsid w:val="00472D3B"/>
    <w:pPr>
      <w:keepNext/>
      <w:spacing w:before="240" w:after="240"/>
      <w:jc w:val="center"/>
      <w:outlineLvl w:val="1"/>
    </w:pPr>
    <w:rPr>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72D3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D3B"/>
    <w:rPr>
      <w:rFonts w:ascii="Segoe UI" w:hAnsi="Segoe UI" w:cs="Segoe UI"/>
      <w:sz w:val="18"/>
      <w:szCs w:val="18"/>
    </w:rPr>
  </w:style>
  <w:style w:type="character" w:customStyle="1" w:styleId="Naslov1Znak">
    <w:name w:val="Naslov 1 Znak"/>
    <w:basedOn w:val="Privzetapisavaodstavka"/>
    <w:link w:val="Naslov1"/>
    <w:uiPriority w:val="9"/>
    <w:rsid w:val="00472D3B"/>
    <w:rPr>
      <w:rFonts w:asciiTheme="majorHAnsi" w:eastAsiaTheme="majorEastAsia" w:hAnsiTheme="majorHAnsi" w:cstheme="majorBidi"/>
      <w:b/>
      <w:bCs/>
      <w:color w:val="2F5496" w:themeColor="accent1" w:themeShade="BF"/>
      <w:sz w:val="28"/>
      <w:szCs w:val="28"/>
      <w:lang w:val="en-US" w:eastAsia="sl-SI"/>
    </w:rPr>
  </w:style>
  <w:style w:type="character" w:customStyle="1" w:styleId="Naslov2Znak">
    <w:name w:val="Naslov 2 Znak"/>
    <w:basedOn w:val="Privzetapisavaodstavka"/>
    <w:link w:val="Naslov2"/>
    <w:rsid w:val="00472D3B"/>
    <w:rPr>
      <w:rFonts w:ascii="Arial" w:eastAsia="Times New Roman" w:hAnsi="Arial" w:cs="Times New Roman"/>
      <w:b/>
      <w:szCs w:val="20"/>
    </w:rPr>
  </w:style>
  <w:style w:type="paragraph" w:styleId="Glava">
    <w:name w:val="header"/>
    <w:basedOn w:val="Navaden"/>
    <w:link w:val="GlavaZnak"/>
    <w:rsid w:val="00472D3B"/>
    <w:pPr>
      <w:tabs>
        <w:tab w:val="center" w:pos="4536"/>
        <w:tab w:val="right" w:pos="9072"/>
      </w:tabs>
    </w:pPr>
  </w:style>
  <w:style w:type="character" w:customStyle="1" w:styleId="GlavaZnak">
    <w:name w:val="Glava Znak"/>
    <w:basedOn w:val="Privzetapisavaodstavka"/>
    <w:link w:val="Glava"/>
    <w:rsid w:val="00472D3B"/>
    <w:rPr>
      <w:rFonts w:ascii="Arial" w:eastAsia="Times New Roman" w:hAnsi="Arial" w:cs="Times New Roman"/>
      <w:sz w:val="20"/>
      <w:szCs w:val="20"/>
      <w:lang w:val="en-US" w:eastAsia="sl-SI"/>
    </w:rPr>
  </w:style>
  <w:style w:type="paragraph" w:customStyle="1" w:styleId="zadeva">
    <w:name w:val="zadeva"/>
    <w:basedOn w:val="Navaden"/>
    <w:next w:val="Navaden"/>
    <w:rsid w:val="00472D3B"/>
    <w:pPr>
      <w:spacing w:before="1920" w:after="720"/>
    </w:pPr>
    <w:rPr>
      <w:b/>
    </w:rPr>
  </w:style>
  <w:style w:type="paragraph" w:customStyle="1" w:styleId="naslovnik">
    <w:name w:val="naslovnik"/>
    <w:basedOn w:val="Navaden"/>
    <w:rsid w:val="00472D3B"/>
    <w:pPr>
      <w:ind w:right="418"/>
      <w:jc w:val="both"/>
    </w:pPr>
    <w:rPr>
      <w:b/>
    </w:rPr>
  </w:style>
  <w:style w:type="paragraph" w:styleId="Noga">
    <w:name w:val="footer"/>
    <w:basedOn w:val="Navaden"/>
    <w:link w:val="NogaZnak"/>
    <w:uiPriority w:val="99"/>
    <w:rsid w:val="00472D3B"/>
    <w:pPr>
      <w:tabs>
        <w:tab w:val="center" w:pos="4536"/>
        <w:tab w:val="right" w:pos="9072"/>
      </w:tabs>
    </w:pPr>
  </w:style>
  <w:style w:type="character" w:customStyle="1" w:styleId="NogaZnak">
    <w:name w:val="Noga Znak"/>
    <w:basedOn w:val="Privzetapisavaodstavka"/>
    <w:link w:val="Noga"/>
    <w:uiPriority w:val="99"/>
    <w:rsid w:val="00472D3B"/>
    <w:rPr>
      <w:rFonts w:ascii="Arial" w:eastAsia="Times New Roman" w:hAnsi="Arial" w:cs="Times New Roman"/>
      <w:sz w:val="20"/>
      <w:szCs w:val="20"/>
      <w:lang w:val="en-US" w:eastAsia="sl-SI"/>
    </w:rPr>
  </w:style>
  <w:style w:type="paragraph" w:styleId="Odstavekseznama">
    <w:name w:val="List Paragraph"/>
    <w:basedOn w:val="Navaden"/>
    <w:uiPriority w:val="34"/>
    <w:qFormat/>
    <w:rsid w:val="00472D3B"/>
    <w:pPr>
      <w:ind w:left="720"/>
      <w:contextualSpacing/>
    </w:pPr>
  </w:style>
  <w:style w:type="table" w:styleId="Tabelamrea">
    <w:name w:val="Table Grid"/>
    <w:basedOn w:val="Navadnatabela"/>
    <w:uiPriority w:val="59"/>
    <w:rsid w:val="0047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72D3B"/>
    <w:rPr>
      <w:color w:val="0563C1" w:themeColor="hyperlink"/>
      <w:u w:val="single"/>
    </w:rPr>
  </w:style>
  <w:style w:type="paragraph" w:customStyle="1" w:styleId="CharChar">
    <w:name w:val="Char Char"/>
    <w:basedOn w:val="Navaden"/>
    <w:autoRedefine/>
    <w:rsid w:val="00472D3B"/>
    <w:pPr>
      <w:tabs>
        <w:tab w:val="left" w:pos="500"/>
      </w:tabs>
      <w:spacing w:after="120"/>
    </w:pPr>
    <w:rPr>
      <w:rFonts w:ascii="Tahoma" w:hAnsi="Tahoma"/>
      <w:lang w:eastAsia="en-US"/>
    </w:rPr>
  </w:style>
  <w:style w:type="paragraph" w:styleId="Telobesedila">
    <w:name w:val="Body Text"/>
    <w:basedOn w:val="Navaden"/>
    <w:link w:val="TelobesedilaZnak"/>
    <w:rsid w:val="00472D3B"/>
    <w:pPr>
      <w:spacing w:after="120"/>
      <w:jc w:val="both"/>
    </w:pPr>
    <w:rPr>
      <w:lang w:eastAsia="en-US"/>
    </w:rPr>
  </w:style>
  <w:style w:type="character" w:customStyle="1" w:styleId="TelobesedilaZnak">
    <w:name w:val="Telo besedila Znak"/>
    <w:basedOn w:val="Privzetapisavaodstavka"/>
    <w:link w:val="Telobesedila"/>
    <w:rsid w:val="00472D3B"/>
    <w:rPr>
      <w:rFonts w:ascii="Arial" w:eastAsia="Times New Roman" w:hAnsi="Arial" w:cs="Times New Roman"/>
      <w:sz w:val="20"/>
      <w:szCs w:val="20"/>
    </w:rPr>
  </w:style>
  <w:style w:type="character" w:styleId="Pripombasklic">
    <w:name w:val="annotation reference"/>
    <w:rsid w:val="00472D3B"/>
    <w:rPr>
      <w:sz w:val="16"/>
      <w:szCs w:val="16"/>
    </w:rPr>
  </w:style>
  <w:style w:type="paragraph" w:styleId="Pripombabesedilo">
    <w:name w:val="annotation text"/>
    <w:basedOn w:val="Navaden"/>
    <w:link w:val="PripombabesediloZnak"/>
    <w:rsid w:val="00472D3B"/>
    <w:pPr>
      <w:spacing w:after="120"/>
      <w:jc w:val="both"/>
    </w:pPr>
    <w:rPr>
      <w:lang w:eastAsia="en-US"/>
    </w:rPr>
  </w:style>
  <w:style w:type="character" w:customStyle="1" w:styleId="PripombabesediloZnak">
    <w:name w:val="Pripomba – besedilo Znak"/>
    <w:basedOn w:val="Privzetapisavaodstavka"/>
    <w:link w:val="Pripombabesedilo"/>
    <w:rsid w:val="00472D3B"/>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72D3B"/>
    <w:pPr>
      <w:spacing w:after="0"/>
      <w:jc w:val="left"/>
    </w:pPr>
    <w:rPr>
      <w:b/>
      <w:bCs/>
      <w:lang w:val="en-US" w:eastAsia="sl-SI"/>
    </w:rPr>
  </w:style>
  <w:style w:type="character" w:customStyle="1" w:styleId="ZadevapripombeZnak">
    <w:name w:val="Zadeva pripombe Znak"/>
    <w:basedOn w:val="PripombabesediloZnak"/>
    <w:link w:val="Zadevapripombe"/>
    <w:uiPriority w:val="99"/>
    <w:semiHidden/>
    <w:rsid w:val="00472D3B"/>
    <w:rPr>
      <w:rFonts w:ascii="Arial" w:eastAsia="Times New Roman" w:hAnsi="Arial" w:cs="Times New Roman"/>
      <w:b/>
      <w:bCs/>
      <w:sz w:val="20"/>
      <w:szCs w:val="20"/>
      <w:lang w:val="en-US" w:eastAsia="sl-SI"/>
    </w:rPr>
  </w:style>
  <w:style w:type="paragraph" w:customStyle="1" w:styleId="SlogNaslov2Arial">
    <w:name w:val="Slog Naslov 2 + Arial"/>
    <w:basedOn w:val="Naslov2"/>
    <w:link w:val="SlogNaslov2ArialZnakZnak"/>
    <w:autoRedefine/>
    <w:rsid w:val="00472D3B"/>
    <w:pPr>
      <w:tabs>
        <w:tab w:val="left" w:pos="1134"/>
      </w:tabs>
      <w:spacing w:after="60"/>
      <w:jc w:val="left"/>
    </w:pPr>
    <w:rPr>
      <w:bCs/>
      <w:lang w:eastAsia="sl-SI"/>
    </w:rPr>
  </w:style>
  <w:style w:type="character" w:customStyle="1" w:styleId="SlogNaslov2ArialZnakZnak">
    <w:name w:val="Slog Naslov 2 + Arial Znak Znak"/>
    <w:basedOn w:val="Naslov2Znak"/>
    <w:link w:val="SlogNaslov2Arial"/>
    <w:rsid w:val="00472D3B"/>
    <w:rPr>
      <w:rFonts w:ascii="Arial" w:eastAsia="Times New Roman" w:hAnsi="Arial" w:cs="Times New Roman"/>
      <w:b/>
      <w:bCs/>
      <w:szCs w:val="20"/>
      <w:lang w:eastAsia="sl-SI"/>
    </w:rPr>
  </w:style>
  <w:style w:type="character" w:customStyle="1" w:styleId="apple-converted-space">
    <w:name w:val="apple-converted-space"/>
    <w:rsid w:val="00472D3B"/>
  </w:style>
  <w:style w:type="paragraph" w:styleId="Sprotnaopomba-besedilo">
    <w:name w:val="footnote text"/>
    <w:basedOn w:val="Navaden"/>
    <w:link w:val="Sprotnaopomba-besediloZnak"/>
    <w:semiHidden/>
    <w:rsid w:val="00472D3B"/>
    <w:pPr>
      <w:spacing w:before="40" w:after="40"/>
    </w:pPr>
    <w:rPr>
      <w:rFonts w:ascii="Garamond MT" w:eastAsia="MS Mincho" w:hAnsi="Garamond MT"/>
      <w:lang w:val="en-GB"/>
    </w:rPr>
  </w:style>
  <w:style w:type="character" w:customStyle="1" w:styleId="Sprotnaopomba-besediloZnak">
    <w:name w:val="Sprotna opomba - besedilo Znak"/>
    <w:basedOn w:val="Privzetapisavaodstavka"/>
    <w:link w:val="Sprotnaopomba-besedilo"/>
    <w:semiHidden/>
    <w:rsid w:val="00472D3B"/>
    <w:rPr>
      <w:rFonts w:ascii="Garamond MT" w:eastAsia="MS Mincho" w:hAnsi="Garamond MT" w:cs="Times New Roman"/>
      <w:sz w:val="20"/>
      <w:szCs w:val="20"/>
      <w:lang w:val="en-GB" w:eastAsia="sl-SI"/>
    </w:rPr>
  </w:style>
  <w:style w:type="character" w:styleId="Sprotnaopomba-sklic">
    <w:name w:val="footnote reference"/>
    <w:semiHidden/>
    <w:rsid w:val="00472D3B"/>
    <w:rPr>
      <w:b/>
      <w:color w:val="FF0000"/>
      <w:sz w:val="24"/>
      <w:vertAlign w:val="superscript"/>
    </w:rPr>
  </w:style>
  <w:style w:type="character" w:customStyle="1" w:styleId="Nerazreenaomemba1">
    <w:name w:val="Nerazrešena omemba1"/>
    <w:basedOn w:val="Privzetapisavaodstavka"/>
    <w:uiPriority w:val="99"/>
    <w:semiHidden/>
    <w:unhideWhenUsed/>
    <w:rsid w:val="00472D3B"/>
    <w:rPr>
      <w:color w:val="605E5C"/>
      <w:shd w:val="clear" w:color="auto" w:fill="E1DFDD"/>
    </w:rPr>
  </w:style>
  <w:style w:type="paragraph" w:customStyle="1" w:styleId="SlogArialObojestranskoPred6pt">
    <w:name w:val="Slog Arial Obojestransko Pred:  6 pt"/>
    <w:basedOn w:val="Navaden"/>
    <w:rsid w:val="00472D3B"/>
    <w:pPr>
      <w:spacing w:before="120"/>
      <w:jc w:val="both"/>
    </w:pPr>
    <w:rPr>
      <w:sz w:val="22"/>
      <w:lang w:eastAsia="en-US"/>
    </w:rPr>
  </w:style>
  <w:style w:type="paragraph" w:customStyle="1" w:styleId="Ncleni">
    <w:name w:val="Ncleni"/>
    <w:basedOn w:val="Kazalovsebine2"/>
    <w:rsid w:val="00472D3B"/>
    <w:pPr>
      <w:numPr>
        <w:numId w:val="1"/>
      </w:numPr>
      <w:tabs>
        <w:tab w:val="clear" w:pos="700"/>
        <w:tab w:val="num" w:pos="360"/>
        <w:tab w:val="left" w:pos="660"/>
      </w:tabs>
      <w:spacing w:before="60" w:after="60"/>
      <w:ind w:left="220" w:firstLine="0"/>
    </w:pPr>
    <w:rPr>
      <w:noProof/>
      <w:color w:val="000000"/>
      <w:sz w:val="22"/>
    </w:rPr>
  </w:style>
  <w:style w:type="paragraph" w:styleId="Kazalovsebine2">
    <w:name w:val="toc 2"/>
    <w:basedOn w:val="Navaden"/>
    <w:next w:val="Navaden"/>
    <w:autoRedefine/>
    <w:uiPriority w:val="39"/>
    <w:semiHidden/>
    <w:unhideWhenUsed/>
    <w:rsid w:val="00472D3B"/>
    <w:pPr>
      <w:spacing w:after="100"/>
      <w:ind w:left="240"/>
    </w:pPr>
  </w:style>
  <w:style w:type="character" w:styleId="SledenaHiperpovezava">
    <w:name w:val="FollowedHyperlink"/>
    <w:basedOn w:val="Privzetapisavaodstavka"/>
    <w:uiPriority w:val="99"/>
    <w:semiHidden/>
    <w:unhideWhenUsed/>
    <w:rsid w:val="00472D3B"/>
    <w:rPr>
      <w:color w:val="954F72" w:themeColor="followedHyperlink"/>
      <w:u w:val="single"/>
    </w:rPr>
  </w:style>
  <w:style w:type="paragraph" w:customStyle="1" w:styleId="Vrstapredpisa">
    <w:name w:val="Vrsta predpisa"/>
    <w:basedOn w:val="Navaden"/>
    <w:link w:val="VrstapredpisaZnak"/>
    <w:rsid w:val="00472D3B"/>
    <w:pPr>
      <w:suppressAutoHyphens/>
      <w:spacing w:before="480" w:after="200" w:line="276" w:lineRule="auto"/>
      <w:jc w:val="center"/>
    </w:pPr>
    <w:rPr>
      <w:b/>
      <w:color w:val="000000"/>
      <w:spacing w:val="40"/>
      <w:sz w:val="22"/>
    </w:rPr>
  </w:style>
  <w:style w:type="paragraph" w:customStyle="1" w:styleId="Naslovpredpisa">
    <w:name w:val="Naslov_predpisa"/>
    <w:basedOn w:val="Navaden"/>
    <w:link w:val="NaslovpredpisaZnak"/>
    <w:rsid w:val="00472D3B"/>
    <w:pPr>
      <w:suppressAutoHyphens/>
      <w:spacing w:after="200" w:line="276" w:lineRule="auto"/>
      <w:jc w:val="center"/>
    </w:pPr>
    <w:rPr>
      <w:b/>
      <w:sz w:val="22"/>
    </w:rPr>
  </w:style>
  <w:style w:type="character" w:customStyle="1" w:styleId="VrstapredpisaZnak">
    <w:name w:val="Vrsta predpisa Znak"/>
    <w:link w:val="Vrstapredpisa"/>
    <w:locked/>
    <w:rsid w:val="00472D3B"/>
    <w:rPr>
      <w:rFonts w:ascii="Arial" w:eastAsia="Times New Roman" w:hAnsi="Arial" w:cs="Times New Roman"/>
      <w:b/>
      <w:color w:val="000000"/>
      <w:spacing w:val="40"/>
      <w:szCs w:val="20"/>
      <w:lang w:eastAsia="sl-SI"/>
    </w:rPr>
  </w:style>
  <w:style w:type="character" w:customStyle="1" w:styleId="NaslovpredpisaZnak">
    <w:name w:val="Naslov_predpisa Znak"/>
    <w:link w:val="Naslovpredpisa"/>
    <w:locked/>
    <w:rsid w:val="00472D3B"/>
    <w:rPr>
      <w:rFonts w:ascii="Arial" w:eastAsia="Times New Roman" w:hAnsi="Arial" w:cs="Times New Roman"/>
      <w:b/>
      <w:szCs w:val="20"/>
      <w:lang w:eastAsia="sl-SI"/>
    </w:rPr>
  </w:style>
  <w:style w:type="character" w:styleId="Poudarek">
    <w:name w:val="Emphasis"/>
    <w:basedOn w:val="Privzetapisavaodstavka"/>
    <w:uiPriority w:val="20"/>
    <w:qFormat/>
    <w:rsid w:val="00472D3B"/>
    <w:rPr>
      <w:i/>
      <w:iCs/>
    </w:rPr>
  </w:style>
  <w:style w:type="character" w:styleId="Nerazreenaomemba">
    <w:name w:val="Unresolved Mention"/>
    <w:basedOn w:val="Privzetapisavaodstavka"/>
    <w:uiPriority w:val="99"/>
    <w:semiHidden/>
    <w:unhideWhenUsed/>
    <w:rsid w:val="00EF6ADE"/>
    <w:rPr>
      <w:color w:val="605E5C"/>
      <w:shd w:val="clear" w:color="auto" w:fill="E1DFDD"/>
    </w:rPr>
  </w:style>
  <w:style w:type="character" w:customStyle="1" w:styleId="sledired">
    <w:name w:val="_sledi_red"/>
    <w:basedOn w:val="Privzetapisavaodstavka"/>
    <w:uiPriority w:val="1"/>
    <w:qFormat/>
    <w:rsid w:val="00E86600"/>
    <w:rPr>
      <w:rFonts w:cs="Arial"/>
      <w:color w:val="E60000"/>
      <w:bdr w:val="none" w:sz="0" w:space="0" w:color="auto"/>
      <w:shd w:val="clear" w:color="auto" w:fill="FFFF47"/>
      <w:lang w:val="sl-SI"/>
    </w:rPr>
  </w:style>
  <w:style w:type="character" w:customStyle="1" w:styleId="slediblack">
    <w:name w:val="_sledi_black"/>
    <w:basedOn w:val="Privzetapisavaodstavka"/>
    <w:uiPriority w:val="1"/>
    <w:qFormat/>
    <w:rsid w:val="00E86600"/>
    <w:rPr>
      <w:bdr w:val="none" w:sz="0" w:space="0" w:color="auto"/>
      <w:shd w:val="clear" w:color="auto" w:fill="FFFF47"/>
    </w:rPr>
  </w:style>
  <w:style w:type="paragraph" w:styleId="Kazalovsebine1">
    <w:name w:val="toc 1"/>
    <w:basedOn w:val="Navaden"/>
    <w:next w:val="Navaden"/>
    <w:autoRedefine/>
    <w:uiPriority w:val="39"/>
    <w:semiHidden/>
    <w:unhideWhenUsed/>
    <w:rsid w:val="00B815CF"/>
    <w:pPr>
      <w:spacing w:after="100"/>
    </w:pPr>
  </w:style>
  <w:style w:type="paragraph" w:styleId="Revizija">
    <w:name w:val="Revision"/>
    <w:hidden/>
    <w:uiPriority w:val="99"/>
    <w:semiHidden/>
    <w:rsid w:val="000D618C"/>
    <w:pPr>
      <w:spacing w:after="0" w:line="240" w:lineRule="auto"/>
    </w:pPr>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2D163C"/>
    <w:pPr>
      <w:spacing w:after="120" w:line="480" w:lineRule="auto"/>
    </w:pPr>
  </w:style>
  <w:style w:type="character" w:customStyle="1" w:styleId="Telobesedila2Znak">
    <w:name w:val="Telo besedila 2 Znak"/>
    <w:basedOn w:val="Privzetapisavaodstavka"/>
    <w:link w:val="Telobesedila2"/>
    <w:uiPriority w:val="99"/>
    <w:semiHidden/>
    <w:rsid w:val="002D163C"/>
    <w:rPr>
      <w:rFonts w:ascii="Arial" w:eastAsia="Times New Roman" w:hAnsi="Arial" w:cs="Times New Roman"/>
      <w:sz w:val="20"/>
      <w:szCs w:val="20"/>
      <w:lang w:eastAsia="sl-SI"/>
    </w:rPr>
  </w:style>
  <w:style w:type="paragraph" w:styleId="Brezrazmikov">
    <w:name w:val="No Spacing"/>
    <w:uiPriority w:val="1"/>
    <w:qFormat/>
    <w:rsid w:val="00DC2B0D"/>
    <w:pPr>
      <w:spacing w:after="0" w:line="240" w:lineRule="auto"/>
    </w:pPr>
    <w:rPr>
      <w:rFonts w:ascii="Arial" w:eastAsia="Times New Roman" w:hAnsi="Arial" w:cs="Times New Roman"/>
      <w:sz w:val="20"/>
      <w:szCs w:val="20"/>
      <w:lang w:eastAsia="sl-SI"/>
    </w:rPr>
  </w:style>
  <w:style w:type="character" w:styleId="tevilkavrstice">
    <w:name w:val="line number"/>
    <w:basedOn w:val="Privzetapisavaodstavka"/>
    <w:uiPriority w:val="99"/>
    <w:semiHidden/>
    <w:unhideWhenUsed/>
    <w:rsid w:val="00B0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1989">
      <w:bodyDiv w:val="1"/>
      <w:marLeft w:val="0"/>
      <w:marRight w:val="0"/>
      <w:marTop w:val="0"/>
      <w:marBottom w:val="0"/>
      <w:divBdr>
        <w:top w:val="none" w:sz="0" w:space="0" w:color="auto"/>
        <w:left w:val="none" w:sz="0" w:space="0" w:color="auto"/>
        <w:bottom w:val="none" w:sz="0" w:space="0" w:color="auto"/>
        <w:right w:val="none" w:sz="0" w:space="0" w:color="auto"/>
      </w:divBdr>
    </w:div>
    <w:div w:id="212618974">
      <w:bodyDiv w:val="1"/>
      <w:marLeft w:val="0"/>
      <w:marRight w:val="0"/>
      <w:marTop w:val="0"/>
      <w:marBottom w:val="0"/>
      <w:divBdr>
        <w:top w:val="none" w:sz="0" w:space="0" w:color="auto"/>
        <w:left w:val="none" w:sz="0" w:space="0" w:color="auto"/>
        <w:bottom w:val="none" w:sz="0" w:space="0" w:color="auto"/>
        <w:right w:val="none" w:sz="0" w:space="0" w:color="auto"/>
      </w:divBdr>
    </w:div>
    <w:div w:id="368795994">
      <w:bodyDiv w:val="1"/>
      <w:marLeft w:val="0"/>
      <w:marRight w:val="0"/>
      <w:marTop w:val="0"/>
      <w:marBottom w:val="0"/>
      <w:divBdr>
        <w:top w:val="none" w:sz="0" w:space="0" w:color="auto"/>
        <w:left w:val="none" w:sz="0" w:space="0" w:color="auto"/>
        <w:bottom w:val="none" w:sz="0" w:space="0" w:color="auto"/>
        <w:right w:val="none" w:sz="0" w:space="0" w:color="auto"/>
      </w:divBdr>
    </w:div>
    <w:div w:id="477764175">
      <w:bodyDiv w:val="1"/>
      <w:marLeft w:val="0"/>
      <w:marRight w:val="0"/>
      <w:marTop w:val="0"/>
      <w:marBottom w:val="0"/>
      <w:divBdr>
        <w:top w:val="none" w:sz="0" w:space="0" w:color="auto"/>
        <w:left w:val="none" w:sz="0" w:space="0" w:color="auto"/>
        <w:bottom w:val="none" w:sz="0" w:space="0" w:color="auto"/>
        <w:right w:val="none" w:sz="0" w:space="0" w:color="auto"/>
      </w:divBdr>
    </w:div>
    <w:div w:id="903610446">
      <w:bodyDiv w:val="1"/>
      <w:marLeft w:val="0"/>
      <w:marRight w:val="0"/>
      <w:marTop w:val="0"/>
      <w:marBottom w:val="0"/>
      <w:divBdr>
        <w:top w:val="none" w:sz="0" w:space="0" w:color="auto"/>
        <w:left w:val="none" w:sz="0" w:space="0" w:color="auto"/>
        <w:bottom w:val="none" w:sz="0" w:space="0" w:color="auto"/>
        <w:right w:val="none" w:sz="0" w:space="0" w:color="auto"/>
      </w:divBdr>
    </w:div>
    <w:div w:id="1062211254">
      <w:bodyDiv w:val="1"/>
      <w:marLeft w:val="0"/>
      <w:marRight w:val="0"/>
      <w:marTop w:val="0"/>
      <w:marBottom w:val="0"/>
      <w:divBdr>
        <w:top w:val="none" w:sz="0" w:space="0" w:color="auto"/>
        <w:left w:val="none" w:sz="0" w:space="0" w:color="auto"/>
        <w:bottom w:val="none" w:sz="0" w:space="0" w:color="auto"/>
        <w:right w:val="none" w:sz="0" w:space="0" w:color="auto"/>
      </w:divBdr>
    </w:div>
    <w:div w:id="1420296840">
      <w:bodyDiv w:val="1"/>
      <w:marLeft w:val="0"/>
      <w:marRight w:val="0"/>
      <w:marTop w:val="0"/>
      <w:marBottom w:val="0"/>
      <w:divBdr>
        <w:top w:val="none" w:sz="0" w:space="0" w:color="auto"/>
        <w:left w:val="none" w:sz="0" w:space="0" w:color="auto"/>
        <w:bottom w:val="none" w:sz="0" w:space="0" w:color="auto"/>
        <w:right w:val="none" w:sz="0" w:space="0" w:color="auto"/>
      </w:divBdr>
    </w:div>
    <w:div w:id="16872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6E1ADC-24EC-458B-9E9F-0B67BA7A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7</Pages>
  <Words>2495</Words>
  <Characters>14222</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Osojnik</dc:creator>
  <cp:keywords/>
  <dc:description/>
  <cp:lastModifiedBy>Matjaž Podjavoršek</cp:lastModifiedBy>
  <cp:revision>4</cp:revision>
  <cp:lastPrinted>2021-07-27T06:05:00Z</cp:lastPrinted>
  <dcterms:created xsi:type="dcterms:W3CDTF">2023-06-14T16:05:00Z</dcterms:created>
  <dcterms:modified xsi:type="dcterms:W3CDTF">2023-06-15T08:51:00Z</dcterms:modified>
</cp:coreProperties>
</file>