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C9F17" w14:textId="43441C22" w:rsidR="00D14764" w:rsidRDefault="00D14764" w:rsidP="00D14764">
      <w:pPr>
        <w:pStyle w:val="Naslov1"/>
        <w:jc w:val="center"/>
        <w:rPr>
          <w:lang w:val="sl-SI"/>
        </w:rPr>
      </w:pPr>
      <w:bookmarkStart w:id="0" w:name="_GoBack"/>
      <w:bookmarkEnd w:id="0"/>
      <w:r>
        <w:rPr>
          <w:lang w:val="sl-SI"/>
        </w:rPr>
        <w:t>Odgovori na pripombe glede osnutka nove izdaje PS 1.01, ki smo jih prejeli na URSJV do 28.10.2020</w:t>
      </w:r>
    </w:p>
    <w:p w14:paraId="0BFA19EA" w14:textId="6962AF87" w:rsidR="00D14764" w:rsidRDefault="00D14764" w:rsidP="00D14764">
      <w:pPr>
        <w:rPr>
          <w:rFonts w:ascii="Arial" w:hAnsi="Arial" w:cs="Arial"/>
          <w:sz w:val="20"/>
          <w:lang w:val="sl-SI"/>
        </w:rPr>
      </w:pPr>
    </w:p>
    <w:p w14:paraId="09F4C987" w14:textId="5C8CBBCA" w:rsidR="00D14764" w:rsidRPr="007F4979" w:rsidRDefault="00D14764" w:rsidP="00563BBC">
      <w:pPr>
        <w:jc w:val="center"/>
        <w:rPr>
          <w:rFonts w:ascii="Arial" w:hAnsi="Arial" w:cs="Arial"/>
          <w:lang w:val="sl-SI"/>
        </w:rPr>
      </w:pPr>
      <w:r w:rsidRPr="007F4979">
        <w:rPr>
          <w:rFonts w:ascii="Arial" w:hAnsi="Arial" w:cs="Arial"/>
          <w:lang w:val="sl-SI"/>
        </w:rPr>
        <w:t xml:space="preserve">Odgovore pripravil oz. koordiniral </w:t>
      </w:r>
      <w:r w:rsidR="006904AD" w:rsidRPr="007F4979">
        <w:rPr>
          <w:rFonts w:ascii="Arial" w:hAnsi="Arial" w:cs="Arial"/>
          <w:lang w:val="sl-SI"/>
        </w:rPr>
        <w:t>odgovore drugih soavtorjev</w:t>
      </w:r>
      <w:r w:rsidRPr="007F4979">
        <w:rPr>
          <w:rFonts w:ascii="Arial" w:hAnsi="Arial" w:cs="Arial"/>
          <w:lang w:val="sl-SI"/>
        </w:rPr>
        <w:t xml:space="preserve">: </w:t>
      </w:r>
      <w:r w:rsidRPr="00563BBC">
        <w:rPr>
          <w:rFonts w:ascii="Arial" w:hAnsi="Arial" w:cs="Arial"/>
          <w:bCs/>
          <w:lang w:val="sl-SI"/>
        </w:rPr>
        <w:t>Tomaž Nemec</w:t>
      </w:r>
    </w:p>
    <w:p w14:paraId="5BFBF03A" w14:textId="1C81101C" w:rsidR="00D14764" w:rsidRDefault="00D14764" w:rsidP="00D14764">
      <w:pPr>
        <w:rPr>
          <w:rFonts w:ascii="Arial" w:hAnsi="Arial" w:cs="Arial"/>
          <w:sz w:val="20"/>
          <w:lang w:val="sl-SI"/>
        </w:rPr>
      </w:pPr>
    </w:p>
    <w:p w14:paraId="1E53CE74" w14:textId="77777777" w:rsidR="00563BBC" w:rsidRPr="00D14764" w:rsidRDefault="00563BBC" w:rsidP="00D14764">
      <w:pPr>
        <w:rPr>
          <w:rFonts w:ascii="Arial" w:hAnsi="Arial" w:cs="Arial"/>
          <w:sz w:val="20"/>
          <w:lang w:val="sl-SI"/>
        </w:rPr>
      </w:pPr>
    </w:p>
    <w:p w14:paraId="335882B5" w14:textId="77777777" w:rsidR="00D4756D" w:rsidRDefault="00D4756D" w:rsidP="005131D3">
      <w:pPr>
        <w:rPr>
          <w:rFonts w:ascii="Arial" w:hAnsi="Arial" w:cs="Arial"/>
          <w:sz w:val="20"/>
          <w:lang w:val="sl-SI"/>
        </w:rPr>
      </w:pPr>
    </w:p>
    <w:tbl>
      <w:tblPr>
        <w:tblStyle w:val="Tabelamrea"/>
        <w:tblpPr w:leftFromText="141" w:rightFromText="141" w:vertAnchor="text" w:tblpXSpec="center" w:tblpY="1"/>
        <w:tblOverlap w:val="never"/>
        <w:tblW w:w="14170" w:type="dxa"/>
        <w:jc w:val="center"/>
        <w:tblLayout w:type="fixed"/>
        <w:tblLook w:val="04A0" w:firstRow="1" w:lastRow="0" w:firstColumn="1" w:lastColumn="0" w:noHBand="0" w:noVBand="1"/>
      </w:tblPr>
      <w:tblGrid>
        <w:gridCol w:w="421"/>
        <w:gridCol w:w="850"/>
        <w:gridCol w:w="1134"/>
        <w:gridCol w:w="3402"/>
        <w:gridCol w:w="2835"/>
        <w:gridCol w:w="1843"/>
        <w:gridCol w:w="3685"/>
      </w:tblGrid>
      <w:tr w:rsidR="001B3014" w:rsidRPr="00E72971" w14:paraId="24923860" w14:textId="77777777" w:rsidTr="00AF3379">
        <w:trPr>
          <w:tblHeader/>
          <w:jc w:val="center"/>
        </w:trPr>
        <w:tc>
          <w:tcPr>
            <w:tcW w:w="421" w:type="dxa"/>
            <w:shd w:val="clear" w:color="auto" w:fill="EEECE1" w:themeFill="background2"/>
          </w:tcPr>
          <w:p w14:paraId="5C3E2D5D" w14:textId="77777777" w:rsidR="001B3014" w:rsidRPr="00E72971" w:rsidRDefault="001B3014" w:rsidP="00AF3379">
            <w:pPr>
              <w:rPr>
                <w:rFonts w:ascii="Arial" w:hAnsi="Arial" w:cs="Arial"/>
                <w:b/>
                <w:sz w:val="20"/>
                <w:lang w:val="sl-SI"/>
              </w:rPr>
            </w:pPr>
          </w:p>
        </w:tc>
        <w:tc>
          <w:tcPr>
            <w:tcW w:w="850" w:type="dxa"/>
            <w:shd w:val="clear" w:color="auto" w:fill="EEECE1" w:themeFill="background2"/>
          </w:tcPr>
          <w:p w14:paraId="585F2B78" w14:textId="77777777" w:rsidR="001B3014" w:rsidRPr="00E72971" w:rsidRDefault="001B3014" w:rsidP="00AF3379">
            <w:pPr>
              <w:jc w:val="center"/>
              <w:rPr>
                <w:rFonts w:ascii="Arial" w:hAnsi="Arial" w:cs="Arial"/>
                <w:b/>
                <w:sz w:val="20"/>
                <w:lang w:val="sl-SI"/>
              </w:rPr>
            </w:pPr>
            <w:r>
              <w:rPr>
                <w:rFonts w:ascii="Arial" w:hAnsi="Arial" w:cs="Arial"/>
                <w:b/>
                <w:sz w:val="20"/>
                <w:lang w:val="sl-SI"/>
              </w:rPr>
              <w:t>Stran</w:t>
            </w:r>
          </w:p>
        </w:tc>
        <w:tc>
          <w:tcPr>
            <w:tcW w:w="1134" w:type="dxa"/>
            <w:shd w:val="clear" w:color="auto" w:fill="EEECE1" w:themeFill="background2"/>
          </w:tcPr>
          <w:p w14:paraId="56136D8A" w14:textId="77777777" w:rsidR="001B3014" w:rsidRPr="00E72971" w:rsidRDefault="001B3014" w:rsidP="00AF3379">
            <w:pPr>
              <w:jc w:val="center"/>
              <w:rPr>
                <w:rFonts w:ascii="Arial" w:hAnsi="Arial" w:cs="Arial"/>
                <w:b/>
                <w:sz w:val="20"/>
                <w:lang w:val="sl-SI"/>
              </w:rPr>
            </w:pPr>
            <w:r>
              <w:rPr>
                <w:rFonts w:ascii="Arial" w:hAnsi="Arial" w:cs="Arial"/>
                <w:b/>
                <w:sz w:val="20"/>
                <w:lang w:val="sl-SI"/>
              </w:rPr>
              <w:t>poglavje</w:t>
            </w:r>
          </w:p>
        </w:tc>
        <w:tc>
          <w:tcPr>
            <w:tcW w:w="3402" w:type="dxa"/>
            <w:shd w:val="clear" w:color="auto" w:fill="EEECE1" w:themeFill="background2"/>
          </w:tcPr>
          <w:p w14:paraId="425E23E5" w14:textId="77777777" w:rsidR="001B3014" w:rsidRPr="00E72971" w:rsidRDefault="001B3014" w:rsidP="00AF3379">
            <w:pPr>
              <w:jc w:val="center"/>
              <w:rPr>
                <w:rFonts w:ascii="Arial" w:hAnsi="Arial" w:cs="Arial"/>
                <w:b/>
                <w:sz w:val="20"/>
                <w:lang w:val="sl-SI"/>
              </w:rPr>
            </w:pPr>
            <w:r w:rsidRPr="00E72971">
              <w:rPr>
                <w:rFonts w:ascii="Arial" w:hAnsi="Arial" w:cs="Arial"/>
                <w:b/>
                <w:sz w:val="20"/>
                <w:lang w:val="sl-SI"/>
              </w:rPr>
              <w:t>OBSTOJEČE BESEDILO</w:t>
            </w:r>
          </w:p>
        </w:tc>
        <w:tc>
          <w:tcPr>
            <w:tcW w:w="2835" w:type="dxa"/>
            <w:tcBorders>
              <w:bottom w:val="single" w:sz="4" w:space="0" w:color="auto"/>
            </w:tcBorders>
            <w:shd w:val="clear" w:color="auto" w:fill="EEECE1" w:themeFill="background2"/>
          </w:tcPr>
          <w:p w14:paraId="3093DD16" w14:textId="77777777" w:rsidR="001B3014" w:rsidRPr="00E72971" w:rsidRDefault="001B3014" w:rsidP="00AF3379">
            <w:pPr>
              <w:jc w:val="center"/>
              <w:rPr>
                <w:rFonts w:ascii="Arial" w:hAnsi="Arial" w:cs="Arial"/>
                <w:b/>
                <w:sz w:val="20"/>
                <w:lang w:val="sl-SI"/>
              </w:rPr>
            </w:pPr>
            <w:r w:rsidRPr="00E72971">
              <w:rPr>
                <w:rFonts w:ascii="Arial" w:hAnsi="Arial" w:cs="Arial"/>
                <w:b/>
                <w:sz w:val="20"/>
                <w:lang w:val="sl-SI"/>
              </w:rPr>
              <w:t>PREDLOG</w:t>
            </w:r>
            <w:r>
              <w:rPr>
                <w:rFonts w:ascii="Arial" w:hAnsi="Arial" w:cs="Arial"/>
                <w:b/>
                <w:sz w:val="20"/>
                <w:lang w:val="sl-SI"/>
              </w:rPr>
              <w:t xml:space="preserve"> DOPOLNITVE /NOVEGA BESEDILA</w:t>
            </w:r>
          </w:p>
        </w:tc>
        <w:tc>
          <w:tcPr>
            <w:tcW w:w="1843" w:type="dxa"/>
            <w:shd w:val="clear" w:color="auto" w:fill="EEECE1" w:themeFill="background2"/>
          </w:tcPr>
          <w:p w14:paraId="3395671D" w14:textId="571D9D79" w:rsidR="001B3014" w:rsidRPr="00E72971" w:rsidRDefault="001B3014" w:rsidP="00AF3379">
            <w:pPr>
              <w:jc w:val="center"/>
              <w:rPr>
                <w:rFonts w:ascii="Arial" w:hAnsi="Arial" w:cs="Arial"/>
                <w:b/>
                <w:sz w:val="20"/>
                <w:lang w:val="sl-SI"/>
              </w:rPr>
            </w:pPr>
            <w:r w:rsidRPr="00E72971">
              <w:rPr>
                <w:rFonts w:ascii="Arial" w:hAnsi="Arial" w:cs="Arial"/>
                <w:b/>
                <w:sz w:val="20"/>
                <w:lang w:val="sl-SI"/>
              </w:rPr>
              <w:t>OPOMBA</w:t>
            </w:r>
          </w:p>
        </w:tc>
        <w:tc>
          <w:tcPr>
            <w:tcW w:w="3685" w:type="dxa"/>
            <w:shd w:val="clear" w:color="auto" w:fill="EEECE1" w:themeFill="background2"/>
          </w:tcPr>
          <w:p w14:paraId="05A1A060" w14:textId="77777777" w:rsidR="001B3014" w:rsidRPr="00A671ED" w:rsidRDefault="001B3014" w:rsidP="00AF3379">
            <w:pPr>
              <w:jc w:val="center"/>
              <w:rPr>
                <w:rFonts w:ascii="Arial" w:hAnsi="Arial" w:cs="Arial"/>
                <w:b/>
                <w:sz w:val="20"/>
                <w:lang w:val="sl-SI"/>
              </w:rPr>
            </w:pPr>
            <w:r w:rsidRPr="00A671ED">
              <w:rPr>
                <w:rFonts w:ascii="Arial" w:hAnsi="Arial" w:cs="Arial"/>
                <w:b/>
                <w:sz w:val="20"/>
                <w:lang w:val="sl-SI"/>
              </w:rPr>
              <w:t>URSJV</w:t>
            </w:r>
          </w:p>
        </w:tc>
      </w:tr>
      <w:tr w:rsidR="001B3014" w:rsidRPr="001D410B" w14:paraId="6C66B5AD" w14:textId="77777777" w:rsidTr="00A95A10">
        <w:trPr>
          <w:jc w:val="center"/>
        </w:trPr>
        <w:tc>
          <w:tcPr>
            <w:tcW w:w="421" w:type="dxa"/>
            <w:shd w:val="clear" w:color="auto" w:fill="00FF00"/>
          </w:tcPr>
          <w:p w14:paraId="188988E1" w14:textId="77777777" w:rsidR="001B3014" w:rsidRPr="00E72971" w:rsidRDefault="001B3014" w:rsidP="00AF3379">
            <w:pPr>
              <w:pStyle w:val="Odstavekseznama"/>
              <w:numPr>
                <w:ilvl w:val="0"/>
                <w:numId w:val="1"/>
              </w:numPr>
              <w:rPr>
                <w:rFonts w:ascii="Arial" w:hAnsi="Arial" w:cs="Arial"/>
                <w:sz w:val="20"/>
                <w:lang w:val="sl-SI"/>
              </w:rPr>
            </w:pPr>
          </w:p>
        </w:tc>
        <w:tc>
          <w:tcPr>
            <w:tcW w:w="850" w:type="dxa"/>
          </w:tcPr>
          <w:p w14:paraId="6F54D695" w14:textId="77777777" w:rsidR="001B3014" w:rsidRDefault="001B3014" w:rsidP="00AF3379">
            <w:pPr>
              <w:rPr>
                <w:rFonts w:ascii="Arial" w:hAnsi="Arial" w:cs="Arial"/>
                <w:sz w:val="20"/>
                <w:lang w:val="sl-SI"/>
              </w:rPr>
            </w:pPr>
            <w:r>
              <w:rPr>
                <w:rFonts w:ascii="Arial" w:hAnsi="Arial" w:cs="Arial"/>
                <w:sz w:val="20"/>
                <w:lang w:val="sl-SI"/>
              </w:rPr>
              <w:t>2/48</w:t>
            </w:r>
          </w:p>
        </w:tc>
        <w:tc>
          <w:tcPr>
            <w:tcW w:w="1134" w:type="dxa"/>
          </w:tcPr>
          <w:p w14:paraId="24B910D6" w14:textId="1AF183EA" w:rsidR="001B3014" w:rsidRPr="0040436E" w:rsidRDefault="001B3014" w:rsidP="00AF3379">
            <w:pPr>
              <w:rPr>
                <w:rFonts w:ascii="Arial" w:hAnsi="Arial" w:cs="Arial"/>
                <w:sz w:val="20"/>
                <w:lang w:val="sl-SI"/>
              </w:rPr>
            </w:pPr>
            <w:r>
              <w:rPr>
                <w:rFonts w:ascii="Arial" w:hAnsi="Arial" w:cs="Arial"/>
                <w:sz w:val="20"/>
                <w:lang w:val="sl-SI"/>
              </w:rPr>
              <w:t>I.</w:t>
            </w:r>
            <w:r w:rsidR="009C47C5">
              <w:rPr>
                <w:rFonts w:ascii="Arial" w:hAnsi="Arial" w:cs="Arial"/>
                <w:sz w:val="20"/>
                <w:lang w:val="sl-SI"/>
              </w:rPr>
              <w:t xml:space="preserve"> </w:t>
            </w:r>
            <w:r w:rsidRPr="0040436E">
              <w:rPr>
                <w:rFonts w:ascii="Arial" w:hAnsi="Arial" w:cs="Arial"/>
                <w:sz w:val="20"/>
                <w:lang w:val="sl-SI"/>
              </w:rPr>
              <w:t>Uvod</w:t>
            </w:r>
          </w:p>
        </w:tc>
        <w:tc>
          <w:tcPr>
            <w:tcW w:w="3402" w:type="dxa"/>
          </w:tcPr>
          <w:p w14:paraId="6AC79B36" w14:textId="77777777" w:rsidR="001B3014" w:rsidRPr="00A95816" w:rsidRDefault="001B3014" w:rsidP="00AF3379">
            <w:pPr>
              <w:pStyle w:val="SlogArialObojestranskoPred6pt"/>
              <w:spacing w:before="0"/>
              <w:jc w:val="left"/>
              <w:rPr>
                <w:sz w:val="20"/>
              </w:rPr>
            </w:pPr>
            <w:r w:rsidRPr="0040436E">
              <w:rPr>
                <w:sz w:val="20"/>
              </w:rPr>
              <w:t>Posebej je v 48. členu pravilnika JV9 opisano izredno izvajanje varnostnega pregleda, vendar tega v praktičnih smernicah podrobneje ne obravnavamo.</w:t>
            </w:r>
          </w:p>
        </w:tc>
        <w:tc>
          <w:tcPr>
            <w:tcW w:w="2835" w:type="dxa"/>
          </w:tcPr>
          <w:p w14:paraId="069A4CAC" w14:textId="3D0CFC2E" w:rsidR="001B3014" w:rsidRPr="00E72971" w:rsidRDefault="001B3014" w:rsidP="00AF3379">
            <w:pPr>
              <w:rPr>
                <w:rFonts w:ascii="Arial" w:hAnsi="Arial" w:cs="Arial"/>
                <w:sz w:val="20"/>
                <w:lang w:val="sl-SI"/>
              </w:rPr>
            </w:pPr>
            <w:r>
              <w:rPr>
                <w:rFonts w:ascii="Arial" w:hAnsi="Arial" w:cs="Arial"/>
                <w:sz w:val="20"/>
                <w:lang w:val="sl-SI"/>
              </w:rPr>
              <w:t>Zakaj ni podana podrobna obravnava omenjenega člena? A je predvideno, da se smer oz</w:t>
            </w:r>
            <w:r w:rsidR="009C47C5">
              <w:rPr>
                <w:rFonts w:ascii="Arial" w:hAnsi="Arial" w:cs="Arial"/>
                <w:sz w:val="20"/>
                <w:lang w:val="sl-SI"/>
              </w:rPr>
              <w:t>.</w:t>
            </w:r>
            <w:r>
              <w:rPr>
                <w:rFonts w:ascii="Arial" w:hAnsi="Arial" w:cs="Arial"/>
                <w:sz w:val="20"/>
                <w:lang w:val="sl-SI"/>
              </w:rPr>
              <w:t xml:space="preserve"> zagotavljanje OVP nakaže v </w:t>
            </w:r>
            <w:r w:rsidRPr="0040436E">
              <w:rPr>
                <w:rFonts w:ascii="Arial" w:hAnsi="Arial" w:cs="Arial"/>
                <w:sz w:val="20"/>
                <w:lang w:val="sl-SI"/>
              </w:rPr>
              <w:t>odločbi</w:t>
            </w:r>
            <w:r>
              <w:rPr>
                <w:rFonts w:ascii="Arial" w:hAnsi="Arial" w:cs="Arial"/>
                <w:sz w:val="20"/>
                <w:lang w:val="sl-SI"/>
              </w:rPr>
              <w:t xml:space="preserve"> u</w:t>
            </w:r>
            <w:r w:rsidRPr="0040436E">
              <w:rPr>
                <w:rFonts w:ascii="Arial" w:hAnsi="Arial" w:cs="Arial"/>
                <w:sz w:val="20"/>
                <w:lang w:val="sl-SI"/>
              </w:rPr>
              <w:t>prav</w:t>
            </w:r>
            <w:r>
              <w:rPr>
                <w:rFonts w:ascii="Arial" w:hAnsi="Arial" w:cs="Arial"/>
                <w:sz w:val="20"/>
                <w:lang w:val="sl-SI"/>
              </w:rPr>
              <w:t>e</w:t>
            </w:r>
            <w:r w:rsidRPr="0040436E">
              <w:rPr>
                <w:rFonts w:ascii="Arial" w:hAnsi="Arial" w:cs="Arial"/>
                <w:sz w:val="20"/>
                <w:lang w:val="sl-SI"/>
              </w:rPr>
              <w:t>, s katero odredi izvedbo izrednega pregleda iz prejšnjega odstavka, določi vsebino, obseg in roke te izvedbe ter način poročanja</w:t>
            </w:r>
            <w:r>
              <w:rPr>
                <w:rFonts w:ascii="Arial" w:hAnsi="Arial" w:cs="Arial"/>
                <w:sz w:val="20"/>
                <w:lang w:val="sl-SI"/>
              </w:rPr>
              <w:t>?</w:t>
            </w:r>
          </w:p>
        </w:tc>
        <w:tc>
          <w:tcPr>
            <w:tcW w:w="1843" w:type="dxa"/>
          </w:tcPr>
          <w:p w14:paraId="687C253E" w14:textId="77777777" w:rsidR="001B3014" w:rsidRDefault="001B3014" w:rsidP="00AF3379">
            <w:pPr>
              <w:rPr>
                <w:rFonts w:ascii="Arial" w:hAnsi="Arial" w:cs="Arial"/>
                <w:sz w:val="20"/>
                <w:lang w:val="sl-SI"/>
              </w:rPr>
            </w:pPr>
          </w:p>
        </w:tc>
        <w:tc>
          <w:tcPr>
            <w:tcW w:w="3685" w:type="dxa"/>
            <w:shd w:val="clear" w:color="auto" w:fill="DBE5F1" w:themeFill="accent1" w:themeFillTint="33"/>
          </w:tcPr>
          <w:p w14:paraId="7DADB5A7" w14:textId="77777777" w:rsidR="001B3014" w:rsidRDefault="001B3014" w:rsidP="00AF3379">
            <w:pPr>
              <w:rPr>
                <w:rFonts w:ascii="Arial" w:hAnsi="Arial" w:cs="Arial"/>
                <w:sz w:val="20"/>
                <w:lang w:val="sl-SI"/>
              </w:rPr>
            </w:pPr>
            <w:r>
              <w:rPr>
                <w:rFonts w:ascii="Arial" w:hAnsi="Arial" w:cs="Arial"/>
                <w:sz w:val="20"/>
                <w:lang w:val="sl-SI"/>
              </w:rPr>
              <w:t>V primeru izrednega PSR je uprava tista, ki določi »program« takšnega pregleda.</w:t>
            </w:r>
          </w:p>
          <w:p w14:paraId="0C1ECAB9" w14:textId="77777777" w:rsidR="001B3014" w:rsidRDefault="001B3014" w:rsidP="00AF3379">
            <w:pPr>
              <w:rPr>
                <w:rFonts w:ascii="Arial" w:hAnsi="Arial" w:cs="Arial"/>
                <w:sz w:val="20"/>
                <w:lang w:val="sl-SI"/>
              </w:rPr>
            </w:pPr>
            <w:r>
              <w:rPr>
                <w:rFonts w:ascii="Arial" w:hAnsi="Arial" w:cs="Arial"/>
                <w:sz w:val="20"/>
                <w:lang w:val="sl-SI"/>
              </w:rPr>
              <w:t>PS 1.01 se ne nanaša na izredni PSR, kar je že tudi navedeno v uvodu PS 1.01.</w:t>
            </w:r>
          </w:p>
          <w:p w14:paraId="1453C2D9" w14:textId="0BB6F36F" w:rsidR="001B3014" w:rsidRPr="00A671ED" w:rsidRDefault="00F633A3" w:rsidP="00AF3379">
            <w:pPr>
              <w:rPr>
                <w:rFonts w:ascii="Arial" w:hAnsi="Arial" w:cs="Arial"/>
                <w:sz w:val="20"/>
                <w:lang w:val="sl-SI"/>
              </w:rPr>
            </w:pPr>
            <w:r w:rsidRPr="005F784F">
              <w:rPr>
                <w:rFonts w:ascii="Arial" w:hAnsi="Arial" w:cs="Arial"/>
                <w:sz w:val="20"/>
                <w:highlight w:val="green"/>
                <w:lang w:val="sl-SI"/>
              </w:rPr>
              <w:t xml:space="preserve">DODANA NAVEDBA IZ ZVISJV-1 V UVOD </w:t>
            </w:r>
            <w:r w:rsidR="001B3014" w:rsidRPr="005F784F">
              <w:rPr>
                <w:rFonts w:ascii="Arial" w:hAnsi="Arial" w:cs="Arial"/>
                <w:sz w:val="20"/>
                <w:highlight w:val="green"/>
                <w:lang w:val="sl-SI"/>
              </w:rPr>
              <w:t>PS 1.01</w:t>
            </w:r>
          </w:p>
        </w:tc>
      </w:tr>
      <w:tr w:rsidR="001B3014" w:rsidRPr="001D410B" w14:paraId="4886EDE1" w14:textId="77777777" w:rsidTr="00A95A10">
        <w:trPr>
          <w:jc w:val="center"/>
        </w:trPr>
        <w:tc>
          <w:tcPr>
            <w:tcW w:w="421" w:type="dxa"/>
            <w:shd w:val="clear" w:color="auto" w:fill="00FF00"/>
          </w:tcPr>
          <w:p w14:paraId="3B54AC8D" w14:textId="77777777" w:rsidR="001B3014" w:rsidRPr="00E72971" w:rsidRDefault="001B3014" w:rsidP="00AF3379">
            <w:pPr>
              <w:pStyle w:val="Odstavekseznama"/>
              <w:numPr>
                <w:ilvl w:val="0"/>
                <w:numId w:val="1"/>
              </w:numPr>
              <w:rPr>
                <w:rFonts w:ascii="Arial" w:hAnsi="Arial" w:cs="Arial"/>
                <w:sz w:val="20"/>
                <w:lang w:val="sl-SI"/>
              </w:rPr>
            </w:pPr>
          </w:p>
        </w:tc>
        <w:tc>
          <w:tcPr>
            <w:tcW w:w="850" w:type="dxa"/>
          </w:tcPr>
          <w:p w14:paraId="3A6C7D0E" w14:textId="77777777" w:rsidR="001B3014" w:rsidRDefault="001B3014" w:rsidP="00AF3379">
            <w:pPr>
              <w:rPr>
                <w:rFonts w:ascii="Arial" w:hAnsi="Arial" w:cs="Arial"/>
                <w:sz w:val="20"/>
                <w:lang w:val="sl-SI"/>
              </w:rPr>
            </w:pPr>
            <w:r>
              <w:rPr>
                <w:rFonts w:ascii="Arial" w:hAnsi="Arial" w:cs="Arial"/>
                <w:sz w:val="20"/>
                <w:lang w:val="sl-SI"/>
              </w:rPr>
              <w:t>2/48</w:t>
            </w:r>
          </w:p>
        </w:tc>
        <w:tc>
          <w:tcPr>
            <w:tcW w:w="1134" w:type="dxa"/>
          </w:tcPr>
          <w:p w14:paraId="6F066823" w14:textId="77777777" w:rsidR="001B3014" w:rsidRDefault="001B3014" w:rsidP="00AF3379">
            <w:pPr>
              <w:tabs>
                <w:tab w:val="left" w:pos="176"/>
              </w:tabs>
              <w:rPr>
                <w:rFonts w:ascii="Arial" w:hAnsi="Arial" w:cs="Arial"/>
                <w:sz w:val="20"/>
                <w:lang w:val="sl-SI"/>
              </w:rPr>
            </w:pPr>
            <w:r>
              <w:rPr>
                <w:rFonts w:ascii="Arial" w:hAnsi="Arial" w:cs="Arial"/>
                <w:sz w:val="20"/>
                <w:lang w:val="sl-SI"/>
              </w:rPr>
              <w:t xml:space="preserve">Povzetek </w:t>
            </w:r>
          </w:p>
          <w:p w14:paraId="63D5EFB0" w14:textId="77777777" w:rsidR="001B3014" w:rsidRDefault="001B3014" w:rsidP="00AF3379">
            <w:pPr>
              <w:rPr>
                <w:rFonts w:ascii="Arial" w:hAnsi="Arial" w:cs="Arial"/>
                <w:sz w:val="20"/>
                <w:lang w:val="sl-SI"/>
              </w:rPr>
            </w:pPr>
            <w:r>
              <w:rPr>
                <w:rFonts w:ascii="Arial" w:hAnsi="Arial" w:cs="Arial"/>
                <w:sz w:val="20"/>
                <w:lang w:val="sl-SI"/>
              </w:rPr>
              <w:t>I. Uvod</w:t>
            </w:r>
          </w:p>
        </w:tc>
        <w:tc>
          <w:tcPr>
            <w:tcW w:w="3402" w:type="dxa"/>
          </w:tcPr>
          <w:p w14:paraId="21591F36" w14:textId="77777777" w:rsidR="001B3014" w:rsidRPr="0040436E" w:rsidRDefault="001B3014" w:rsidP="00AF3379">
            <w:pPr>
              <w:pStyle w:val="SlogArialObojestranskoPred6pt"/>
              <w:spacing w:before="0"/>
              <w:jc w:val="left"/>
              <w:rPr>
                <w:sz w:val="20"/>
              </w:rPr>
            </w:pPr>
            <w:r w:rsidRPr="00E9478C">
              <w:rPr>
                <w:sz w:val="20"/>
              </w:rPr>
              <w:t>Navedene varnostne vsebine, s katerimi sta določena vsebina in obseg občasnega varnostnega pregleda, so prilagojene za občasni varnostni pregled jedrske elektrarne. Za druge vrste sevalnih ali jedrskih objektov je treba obseg in vsebino smiselno prilagoditi ali razširiti, upoštevajoč pomembnost posameznih vsebin za varnost objekta, mednarodno prakso in stopenjski pristop.</w:t>
            </w:r>
          </w:p>
        </w:tc>
        <w:tc>
          <w:tcPr>
            <w:tcW w:w="2835" w:type="dxa"/>
          </w:tcPr>
          <w:p w14:paraId="730F2026" w14:textId="77777777" w:rsidR="001B3014" w:rsidRDefault="001B3014" w:rsidP="00AF3379">
            <w:pPr>
              <w:rPr>
                <w:rFonts w:ascii="Arial" w:hAnsi="Arial" w:cs="Arial"/>
                <w:sz w:val="20"/>
                <w:lang w:val="sl-SI"/>
              </w:rPr>
            </w:pPr>
            <w:r>
              <w:rPr>
                <w:rFonts w:ascii="Arial" w:hAnsi="Arial" w:cs="Arial"/>
                <w:sz w:val="20"/>
                <w:lang w:val="sl-SI"/>
              </w:rPr>
              <w:t xml:space="preserve">V priloge dati neko vodilo stopenjskega pristopa za objekte, ki niso jedrske elektrarne. </w:t>
            </w:r>
          </w:p>
        </w:tc>
        <w:tc>
          <w:tcPr>
            <w:tcW w:w="1843" w:type="dxa"/>
          </w:tcPr>
          <w:p w14:paraId="2651413A" w14:textId="77777777" w:rsidR="001B3014" w:rsidRDefault="001B3014" w:rsidP="00AF3379">
            <w:pPr>
              <w:rPr>
                <w:rFonts w:ascii="Arial" w:hAnsi="Arial" w:cs="Arial"/>
                <w:sz w:val="20"/>
                <w:lang w:val="sl-SI"/>
              </w:rPr>
            </w:pPr>
            <w:r>
              <w:rPr>
                <w:rFonts w:ascii="Arial" w:hAnsi="Arial" w:cs="Arial"/>
                <w:sz w:val="20"/>
                <w:lang w:val="sl-SI"/>
              </w:rPr>
              <w:t xml:space="preserve">Operaterjem drugih jedrskih objektov, ki niso jedrske elektrarne bi bilo v pomoč, če bi se stopenjski pristop nekoliko bolj opredelil. Katere vsebine lahko manj obdelamo, morda celo izpustimo. </w:t>
            </w:r>
          </w:p>
          <w:p w14:paraId="16400572" w14:textId="77777777" w:rsidR="001B3014" w:rsidRDefault="001B3014" w:rsidP="00AF3379">
            <w:pPr>
              <w:rPr>
                <w:rFonts w:ascii="Arial" w:hAnsi="Arial" w:cs="Arial"/>
                <w:sz w:val="20"/>
                <w:lang w:val="sl-SI"/>
              </w:rPr>
            </w:pPr>
            <w:r>
              <w:rPr>
                <w:rFonts w:ascii="Arial" w:hAnsi="Arial" w:cs="Arial"/>
                <w:sz w:val="20"/>
                <w:lang w:val="sl-SI"/>
              </w:rPr>
              <w:lastRenderedPageBreak/>
              <w:t>Pri klasifikaciji SSK je to precej jasno pri drugih vsebinah pa manj.</w:t>
            </w:r>
          </w:p>
        </w:tc>
        <w:tc>
          <w:tcPr>
            <w:tcW w:w="3685" w:type="dxa"/>
            <w:shd w:val="clear" w:color="auto" w:fill="DBE5F1" w:themeFill="accent1" w:themeFillTint="33"/>
          </w:tcPr>
          <w:p w14:paraId="311DA2CF" w14:textId="77777777" w:rsidR="001B3014" w:rsidRDefault="001B3014" w:rsidP="00AF3379">
            <w:pPr>
              <w:rPr>
                <w:rFonts w:ascii="Arial" w:hAnsi="Arial" w:cs="Arial"/>
                <w:sz w:val="20"/>
                <w:lang w:val="sl-SI"/>
              </w:rPr>
            </w:pPr>
            <w:r>
              <w:rPr>
                <w:rFonts w:ascii="Arial" w:hAnsi="Arial" w:cs="Arial"/>
                <w:sz w:val="20"/>
                <w:lang w:val="sl-SI"/>
              </w:rPr>
              <w:lastRenderedPageBreak/>
              <w:t>Za raziskovalne reaktorje je stopenjski pristop opisan v prilogi 2 pravilnika JV5, podrobneje to določa tudi IAEA SSG-22</w:t>
            </w:r>
            <w:r>
              <w:rPr>
                <w:rStyle w:val="Sprotnaopomba-sklic"/>
                <w:rFonts w:ascii="Arial" w:hAnsi="Arial" w:cs="Arial"/>
                <w:lang w:val="sl-SI"/>
              </w:rPr>
              <w:footnoteReference w:id="2"/>
            </w:r>
            <w:r>
              <w:rPr>
                <w:rFonts w:ascii="Arial" w:hAnsi="Arial" w:cs="Arial"/>
                <w:sz w:val="20"/>
                <w:lang w:val="sl-SI"/>
              </w:rPr>
              <w:t xml:space="preserve">. Za raziskovalne reaktorje pripravlja IAEA tudi poseben standard, ki bo določal obseg PSR. Za odlagališča RAO in IG je ta obseg PSR določil WENRA in je vključeno v prilogo 10 pravilnika JV5. Za vse ostale objekte pa torej velja splošno načelo stopenjskega pristopa iz pravilnikov JV5 in JV9. Stvar </w:t>
            </w:r>
            <w:bookmarkStart w:id="1" w:name="_Hlk56067319"/>
            <w:r>
              <w:rPr>
                <w:rFonts w:ascii="Arial" w:hAnsi="Arial" w:cs="Arial"/>
                <w:sz w:val="20"/>
                <w:lang w:val="sl-SI"/>
              </w:rPr>
              <w:t xml:space="preserve">upravljavca je, da se v svoji vlogi </w:t>
            </w:r>
            <w:r>
              <w:rPr>
                <w:rFonts w:ascii="Arial" w:hAnsi="Arial" w:cs="Arial"/>
                <w:sz w:val="20"/>
                <w:lang w:val="sl-SI"/>
              </w:rPr>
              <w:lastRenderedPageBreak/>
              <w:t xml:space="preserve">sklicuje na stopenjski pristop in s tem predlaga manjši obseg pregleda v PSR. </w:t>
            </w:r>
            <w:bookmarkEnd w:id="1"/>
            <w:r>
              <w:rPr>
                <w:rFonts w:ascii="Arial" w:hAnsi="Arial" w:cs="Arial"/>
                <w:sz w:val="20"/>
                <w:lang w:val="sl-SI"/>
              </w:rPr>
              <w:t xml:space="preserve">V </w:t>
            </w:r>
            <w:bookmarkStart w:id="2" w:name="_Hlk56067362"/>
            <w:r>
              <w:rPr>
                <w:rFonts w:ascii="Arial" w:hAnsi="Arial" w:cs="Arial"/>
                <w:sz w:val="20"/>
                <w:lang w:val="sl-SI"/>
              </w:rPr>
              <w:t xml:space="preserve">primeru utemeljenosti takšnih predlogov pa URSJV to sprejme in odobri, s programom PSR. </w:t>
            </w:r>
            <w:bookmarkEnd w:id="2"/>
            <w:r>
              <w:rPr>
                <w:rFonts w:ascii="Arial" w:hAnsi="Arial" w:cs="Arial"/>
                <w:sz w:val="20"/>
                <w:lang w:val="sl-SI"/>
              </w:rPr>
              <w:t xml:space="preserve">Ta </w:t>
            </w:r>
            <w:bookmarkStart w:id="3" w:name="_Hlk56067254"/>
            <w:r>
              <w:rPr>
                <w:rFonts w:ascii="Arial" w:hAnsi="Arial" w:cs="Arial"/>
                <w:sz w:val="20"/>
                <w:lang w:val="sl-SI"/>
              </w:rPr>
              <w:t xml:space="preserve">uporaba stopenjskega pristopa je tako stvar upravnega postopka in ne PS 1.01. </w:t>
            </w:r>
            <w:bookmarkEnd w:id="3"/>
            <w:r>
              <w:rPr>
                <w:rFonts w:ascii="Arial" w:hAnsi="Arial" w:cs="Arial"/>
                <w:sz w:val="20"/>
                <w:lang w:val="sl-SI"/>
              </w:rPr>
              <w:t>Pred začetkom priprave programa PSR lahko upravljavci objektov, ki ni jedrska elektrarna, pridejo na URSJV na delovni sestanek, kjer se pogovorimo o možnostih uporabe stopenjskega pristopa.</w:t>
            </w:r>
          </w:p>
          <w:p w14:paraId="58FBA21C" w14:textId="3E6153E9" w:rsidR="001B3014" w:rsidRPr="00A671ED" w:rsidRDefault="005F784F" w:rsidP="00AF3379">
            <w:pPr>
              <w:rPr>
                <w:rFonts w:ascii="Arial" w:hAnsi="Arial" w:cs="Arial"/>
                <w:sz w:val="20"/>
                <w:lang w:val="sl-SI"/>
              </w:rPr>
            </w:pPr>
            <w:r w:rsidRPr="005F784F">
              <w:rPr>
                <w:rFonts w:ascii="Arial" w:hAnsi="Arial" w:cs="Arial"/>
                <w:sz w:val="20"/>
                <w:highlight w:val="green"/>
                <w:lang w:val="sl-SI"/>
              </w:rPr>
              <w:t>DODAN</w:t>
            </w:r>
            <w:r>
              <w:rPr>
                <w:rFonts w:ascii="Arial" w:hAnsi="Arial" w:cs="Arial"/>
                <w:sz w:val="20"/>
                <w:highlight w:val="green"/>
                <w:lang w:val="sl-SI"/>
              </w:rPr>
              <w:t>O</w:t>
            </w:r>
            <w:r w:rsidRPr="005F784F">
              <w:rPr>
                <w:rFonts w:ascii="Arial" w:hAnsi="Arial" w:cs="Arial"/>
                <w:sz w:val="20"/>
                <w:highlight w:val="green"/>
                <w:lang w:val="sl-SI"/>
              </w:rPr>
              <w:t xml:space="preserve"> </w:t>
            </w:r>
            <w:r>
              <w:rPr>
                <w:rFonts w:ascii="Arial" w:hAnsi="Arial" w:cs="Arial"/>
                <w:sz w:val="20"/>
                <w:highlight w:val="green"/>
                <w:lang w:val="sl-SI"/>
              </w:rPr>
              <w:t xml:space="preserve">POJASNILO </w:t>
            </w:r>
            <w:r w:rsidRPr="005F784F">
              <w:rPr>
                <w:rFonts w:ascii="Arial" w:hAnsi="Arial" w:cs="Arial"/>
                <w:sz w:val="20"/>
                <w:highlight w:val="green"/>
                <w:lang w:val="sl-SI"/>
              </w:rPr>
              <w:t>V UVOD PS 1.01</w:t>
            </w:r>
          </w:p>
        </w:tc>
      </w:tr>
      <w:tr w:rsidR="001B3014" w:rsidRPr="008A1772" w14:paraId="09435690" w14:textId="77777777" w:rsidTr="008A1772">
        <w:trPr>
          <w:jc w:val="center"/>
        </w:trPr>
        <w:tc>
          <w:tcPr>
            <w:tcW w:w="421" w:type="dxa"/>
            <w:shd w:val="clear" w:color="auto" w:fill="00FF00"/>
          </w:tcPr>
          <w:p w14:paraId="7B60A52E" w14:textId="77777777" w:rsidR="001B3014" w:rsidRPr="00E72971" w:rsidRDefault="001B3014" w:rsidP="00AF3379">
            <w:pPr>
              <w:pStyle w:val="Odstavekseznama"/>
              <w:numPr>
                <w:ilvl w:val="0"/>
                <w:numId w:val="1"/>
              </w:numPr>
              <w:rPr>
                <w:rFonts w:ascii="Arial" w:hAnsi="Arial" w:cs="Arial"/>
                <w:sz w:val="20"/>
                <w:lang w:val="sl-SI"/>
              </w:rPr>
            </w:pPr>
          </w:p>
        </w:tc>
        <w:tc>
          <w:tcPr>
            <w:tcW w:w="850" w:type="dxa"/>
          </w:tcPr>
          <w:p w14:paraId="45ADCAC0" w14:textId="77777777" w:rsidR="001B3014" w:rsidRPr="008A1772" w:rsidRDefault="001B3014" w:rsidP="00AF3379">
            <w:pPr>
              <w:rPr>
                <w:rFonts w:ascii="Arial" w:hAnsi="Arial" w:cs="Arial"/>
                <w:sz w:val="20"/>
                <w:lang w:val="sl-SI"/>
              </w:rPr>
            </w:pPr>
            <w:r w:rsidRPr="008A1772">
              <w:rPr>
                <w:rFonts w:ascii="Arial" w:hAnsi="Arial" w:cs="Arial"/>
                <w:sz w:val="20"/>
                <w:lang w:val="sl-SI"/>
              </w:rPr>
              <w:t>4/48</w:t>
            </w:r>
          </w:p>
        </w:tc>
        <w:tc>
          <w:tcPr>
            <w:tcW w:w="1134" w:type="dxa"/>
          </w:tcPr>
          <w:p w14:paraId="3747F71A" w14:textId="61086F25" w:rsidR="001B3014" w:rsidRPr="008A1772" w:rsidRDefault="001B3014" w:rsidP="00AF3379">
            <w:pPr>
              <w:rPr>
                <w:rFonts w:ascii="Arial" w:hAnsi="Arial" w:cs="Arial"/>
                <w:sz w:val="20"/>
                <w:lang w:val="sl-SI"/>
              </w:rPr>
            </w:pPr>
            <w:r w:rsidRPr="008A1772">
              <w:rPr>
                <w:rFonts w:ascii="Arial" w:hAnsi="Arial" w:cs="Arial"/>
                <w:sz w:val="20"/>
                <w:lang w:val="sl-SI"/>
              </w:rPr>
              <w:t>II.</w:t>
            </w:r>
            <w:r w:rsidR="00062781" w:rsidRPr="008A1772">
              <w:rPr>
                <w:rFonts w:ascii="Arial" w:hAnsi="Arial" w:cs="Arial"/>
                <w:sz w:val="20"/>
                <w:lang w:val="sl-SI"/>
              </w:rPr>
              <w:t xml:space="preserve"> </w:t>
            </w:r>
            <w:r w:rsidRPr="008A1772">
              <w:rPr>
                <w:rFonts w:ascii="Arial" w:hAnsi="Arial" w:cs="Arial"/>
                <w:sz w:val="20"/>
                <w:lang w:val="sl-SI"/>
              </w:rPr>
              <w:t>Ozadje, opomba št. 3</w:t>
            </w:r>
          </w:p>
        </w:tc>
        <w:tc>
          <w:tcPr>
            <w:tcW w:w="3402" w:type="dxa"/>
          </w:tcPr>
          <w:p w14:paraId="5EDF61A2" w14:textId="77777777" w:rsidR="001B3014" w:rsidRPr="008A1772" w:rsidRDefault="001B3014" w:rsidP="00AF3379">
            <w:pPr>
              <w:pStyle w:val="SlogArialObojestranskoPred6pt"/>
              <w:spacing w:before="0"/>
              <w:jc w:val="left"/>
              <w:rPr>
                <w:sz w:val="20"/>
              </w:rPr>
            </w:pPr>
            <w:r w:rsidRPr="008A1772">
              <w:rPr>
                <w:sz w:val="20"/>
              </w:rPr>
              <w:t>Kratice in pojmi, uporabljene v PS 1.01, imajo enak pomen kot v ZVISJV-1 ter njemu podrejenih predpisih.</w:t>
            </w:r>
          </w:p>
          <w:p w14:paraId="3AB15EBD" w14:textId="77777777" w:rsidR="001B3014" w:rsidRPr="008A1772" w:rsidRDefault="001B3014" w:rsidP="00AF3379">
            <w:pPr>
              <w:pStyle w:val="SlogArialObojestranskoPred6pt"/>
              <w:spacing w:before="0"/>
              <w:jc w:val="left"/>
              <w:rPr>
                <w:sz w:val="20"/>
              </w:rPr>
            </w:pPr>
            <w:r w:rsidRPr="008A1772">
              <w:rPr>
                <w:sz w:val="20"/>
              </w:rPr>
              <w:t>SSK - sestavni deli, sistemi in konstrukcije</w:t>
            </w:r>
          </w:p>
        </w:tc>
        <w:tc>
          <w:tcPr>
            <w:tcW w:w="2835" w:type="dxa"/>
          </w:tcPr>
          <w:p w14:paraId="418C5F2A" w14:textId="77777777" w:rsidR="001B3014" w:rsidRPr="008A1772" w:rsidRDefault="001B3014" w:rsidP="00AF3379">
            <w:pPr>
              <w:rPr>
                <w:rFonts w:ascii="Arial" w:hAnsi="Arial" w:cs="Arial"/>
                <w:sz w:val="20"/>
                <w:lang w:val="sl-SI"/>
              </w:rPr>
            </w:pPr>
            <w:r w:rsidRPr="008A1772">
              <w:rPr>
                <w:rFonts w:ascii="Arial" w:hAnsi="Arial" w:cs="Arial"/>
                <w:sz w:val="20"/>
                <w:lang w:val="sl-SI"/>
              </w:rPr>
              <w:t>Predlagamo, da se opomba uskladi s pojmi definiranimi v JV5 in JV9 na način, da so SSK definirani kot skupek sestavnih delov, sistemov in konstrukcij.</w:t>
            </w:r>
          </w:p>
        </w:tc>
        <w:tc>
          <w:tcPr>
            <w:tcW w:w="1843" w:type="dxa"/>
          </w:tcPr>
          <w:p w14:paraId="412B9451" w14:textId="77777777" w:rsidR="001B3014" w:rsidRPr="008A1772" w:rsidRDefault="001B3014" w:rsidP="00AF3379">
            <w:pPr>
              <w:rPr>
                <w:rFonts w:ascii="Arial" w:hAnsi="Arial" w:cs="Arial"/>
                <w:sz w:val="20"/>
                <w:lang w:val="sl-SI"/>
              </w:rPr>
            </w:pPr>
          </w:p>
        </w:tc>
        <w:tc>
          <w:tcPr>
            <w:tcW w:w="3685" w:type="dxa"/>
            <w:shd w:val="clear" w:color="auto" w:fill="DBE5F1" w:themeFill="accent1" w:themeFillTint="33"/>
          </w:tcPr>
          <w:p w14:paraId="39ECB8DC" w14:textId="77777777" w:rsidR="008A1772" w:rsidRDefault="008A1772" w:rsidP="00AF3379">
            <w:pPr>
              <w:rPr>
                <w:rFonts w:ascii="Arial" w:hAnsi="Arial" w:cs="Arial"/>
                <w:sz w:val="20"/>
                <w:lang w:val="sl-SI"/>
              </w:rPr>
            </w:pPr>
            <w:r w:rsidRPr="008A1772">
              <w:rPr>
                <w:rFonts w:ascii="Arial" w:hAnsi="Arial" w:cs="Arial"/>
                <w:sz w:val="20"/>
                <w:highlight w:val="green"/>
                <w:lang w:val="sl-SI"/>
              </w:rPr>
              <w:t>SPREJETO</w:t>
            </w:r>
          </w:p>
          <w:p w14:paraId="6B3FCA5E" w14:textId="74C76EF4" w:rsidR="00A17419" w:rsidRPr="008A1772" w:rsidRDefault="00A17419" w:rsidP="00AF3379">
            <w:pPr>
              <w:rPr>
                <w:rFonts w:ascii="Arial" w:hAnsi="Arial" w:cs="Arial"/>
                <w:sz w:val="20"/>
                <w:lang w:val="it-IT"/>
              </w:rPr>
            </w:pPr>
          </w:p>
        </w:tc>
      </w:tr>
      <w:tr w:rsidR="001B3014" w:rsidRPr="00A671ED" w14:paraId="11731405" w14:textId="77777777" w:rsidTr="00A95A10">
        <w:trPr>
          <w:jc w:val="center"/>
        </w:trPr>
        <w:tc>
          <w:tcPr>
            <w:tcW w:w="421" w:type="dxa"/>
            <w:shd w:val="clear" w:color="auto" w:fill="00FF00"/>
          </w:tcPr>
          <w:p w14:paraId="775C80B1" w14:textId="77777777" w:rsidR="001B3014" w:rsidRPr="00E72971" w:rsidRDefault="001B3014" w:rsidP="00AF3379">
            <w:pPr>
              <w:pStyle w:val="Odstavekseznama"/>
              <w:numPr>
                <w:ilvl w:val="0"/>
                <w:numId w:val="1"/>
              </w:numPr>
              <w:rPr>
                <w:rFonts w:ascii="Arial" w:hAnsi="Arial" w:cs="Arial"/>
                <w:sz w:val="20"/>
                <w:lang w:val="sl-SI"/>
              </w:rPr>
            </w:pPr>
          </w:p>
        </w:tc>
        <w:tc>
          <w:tcPr>
            <w:tcW w:w="850" w:type="dxa"/>
          </w:tcPr>
          <w:p w14:paraId="32C1F0DA" w14:textId="77777777" w:rsidR="001B3014" w:rsidRDefault="001B3014" w:rsidP="00AF3379">
            <w:pPr>
              <w:rPr>
                <w:rFonts w:ascii="Arial" w:hAnsi="Arial" w:cs="Arial"/>
                <w:sz w:val="20"/>
                <w:lang w:val="sl-SI"/>
              </w:rPr>
            </w:pPr>
            <w:r>
              <w:rPr>
                <w:rFonts w:ascii="Arial" w:hAnsi="Arial" w:cs="Arial"/>
                <w:sz w:val="20"/>
                <w:lang w:val="sl-SI"/>
              </w:rPr>
              <w:t>Celoten dokument</w:t>
            </w:r>
          </w:p>
        </w:tc>
        <w:tc>
          <w:tcPr>
            <w:tcW w:w="1134" w:type="dxa"/>
          </w:tcPr>
          <w:p w14:paraId="55419A0F" w14:textId="4FED6354" w:rsidR="001B3014" w:rsidRDefault="001B3014" w:rsidP="00AF3379">
            <w:pPr>
              <w:rPr>
                <w:rFonts w:ascii="Arial" w:hAnsi="Arial" w:cs="Arial"/>
                <w:sz w:val="20"/>
                <w:lang w:val="sl-SI"/>
              </w:rPr>
            </w:pPr>
            <w:r>
              <w:rPr>
                <w:rFonts w:ascii="Arial" w:hAnsi="Arial" w:cs="Arial"/>
                <w:sz w:val="20"/>
                <w:lang w:val="sl-SI"/>
              </w:rPr>
              <w:t xml:space="preserve">Poglavja </w:t>
            </w:r>
            <w:r w:rsidR="00062781">
              <w:rPr>
                <w:rFonts w:ascii="Arial" w:hAnsi="Arial" w:cs="Arial"/>
                <w:sz w:val="20"/>
                <w:lang w:val="sl-SI"/>
              </w:rPr>
              <w:t>VF</w:t>
            </w:r>
            <w:r>
              <w:rPr>
                <w:rFonts w:ascii="Arial" w:hAnsi="Arial" w:cs="Arial"/>
                <w:sz w:val="20"/>
                <w:lang w:val="sl-SI"/>
              </w:rPr>
              <w:t xml:space="preserve">8, </w:t>
            </w:r>
            <w:r w:rsidR="00062781">
              <w:rPr>
                <w:rFonts w:ascii="Arial" w:hAnsi="Arial" w:cs="Arial"/>
                <w:sz w:val="20"/>
                <w:lang w:val="sl-SI"/>
              </w:rPr>
              <w:t>VF</w:t>
            </w:r>
            <w:r>
              <w:rPr>
                <w:rFonts w:ascii="Arial" w:hAnsi="Arial" w:cs="Arial"/>
                <w:sz w:val="20"/>
                <w:lang w:val="sl-SI"/>
              </w:rPr>
              <w:t xml:space="preserve">11, </w:t>
            </w:r>
            <w:r w:rsidR="00062781">
              <w:rPr>
                <w:rFonts w:ascii="Arial" w:hAnsi="Arial" w:cs="Arial"/>
                <w:sz w:val="20"/>
                <w:lang w:val="sl-SI"/>
              </w:rPr>
              <w:t>VF</w:t>
            </w:r>
            <w:r>
              <w:rPr>
                <w:rFonts w:ascii="Arial" w:hAnsi="Arial" w:cs="Arial"/>
                <w:sz w:val="20"/>
                <w:lang w:val="sl-SI"/>
              </w:rPr>
              <w:t xml:space="preserve">16 </w:t>
            </w:r>
          </w:p>
        </w:tc>
        <w:tc>
          <w:tcPr>
            <w:tcW w:w="3402" w:type="dxa"/>
          </w:tcPr>
          <w:p w14:paraId="50C01A7F" w14:textId="77777777" w:rsidR="001B3014" w:rsidRPr="00F31775" w:rsidRDefault="001B3014" w:rsidP="00AF3379">
            <w:pPr>
              <w:pStyle w:val="SlogArialObojestranskoPred6pt"/>
              <w:spacing w:before="0"/>
              <w:jc w:val="left"/>
              <w:rPr>
                <w:sz w:val="20"/>
              </w:rPr>
            </w:pPr>
            <w:r w:rsidRPr="00752000">
              <w:rPr>
                <w:sz w:val="20"/>
              </w:rPr>
              <w:t>Proizvodnj</w:t>
            </w:r>
            <w:r>
              <w:rPr>
                <w:sz w:val="20"/>
              </w:rPr>
              <w:t xml:space="preserve">a </w:t>
            </w:r>
            <w:r w:rsidRPr="00752000">
              <w:rPr>
                <w:sz w:val="20"/>
              </w:rPr>
              <w:t>radioaktivnih odpadkov</w:t>
            </w:r>
            <w:r>
              <w:rPr>
                <w:sz w:val="20"/>
              </w:rPr>
              <w:t xml:space="preserve">. </w:t>
            </w:r>
          </w:p>
        </w:tc>
        <w:tc>
          <w:tcPr>
            <w:tcW w:w="2835" w:type="dxa"/>
          </w:tcPr>
          <w:p w14:paraId="74C56D4C" w14:textId="24A3C131" w:rsidR="001B3014" w:rsidRDefault="001B3014" w:rsidP="00AF3379">
            <w:pPr>
              <w:rPr>
                <w:rFonts w:ascii="Arial" w:hAnsi="Arial" w:cs="Arial"/>
                <w:sz w:val="20"/>
                <w:lang w:val="sl-SI"/>
              </w:rPr>
            </w:pPr>
            <w:r>
              <w:rPr>
                <w:rFonts w:ascii="Arial" w:hAnsi="Arial" w:cs="Arial"/>
                <w:sz w:val="20"/>
                <w:lang w:val="sl-SI"/>
              </w:rPr>
              <w:t xml:space="preserve">Predlagamo raje uporabo besedne zveze nastajanja </w:t>
            </w:r>
            <w:r w:rsidRPr="00852AB7">
              <w:rPr>
                <w:rFonts w:ascii="Arial" w:hAnsi="Arial" w:cs="Arial"/>
                <w:sz w:val="20"/>
                <w:lang w:val="sl-SI"/>
              </w:rPr>
              <w:t>radioaktivnih odpadkov</w:t>
            </w:r>
            <w:r>
              <w:rPr>
                <w:rFonts w:ascii="Arial" w:hAnsi="Arial" w:cs="Arial"/>
                <w:sz w:val="20"/>
                <w:lang w:val="sl-SI"/>
              </w:rPr>
              <w:t xml:space="preserve"> v skladu z ZVISJV-1 in ReNPRRO16-25 in uskladitev v celotnem </w:t>
            </w:r>
            <w:r w:rsidR="00062781">
              <w:rPr>
                <w:rFonts w:ascii="Arial" w:hAnsi="Arial" w:cs="Arial"/>
                <w:sz w:val="20"/>
                <w:lang w:val="sl-SI"/>
              </w:rPr>
              <w:t>dokumentu</w:t>
            </w:r>
            <w:r>
              <w:rPr>
                <w:rFonts w:ascii="Arial" w:hAnsi="Arial" w:cs="Arial"/>
                <w:sz w:val="20"/>
                <w:lang w:val="sl-SI"/>
              </w:rPr>
              <w:t xml:space="preserve">. </w:t>
            </w:r>
          </w:p>
        </w:tc>
        <w:tc>
          <w:tcPr>
            <w:tcW w:w="1843" w:type="dxa"/>
          </w:tcPr>
          <w:p w14:paraId="54FF03C7" w14:textId="0AAEBF1C" w:rsidR="001B3014" w:rsidRDefault="001B3014" w:rsidP="00AF3379">
            <w:pPr>
              <w:rPr>
                <w:rFonts w:ascii="Arial" w:hAnsi="Arial" w:cs="Arial"/>
                <w:sz w:val="20"/>
                <w:lang w:val="sl-SI"/>
              </w:rPr>
            </w:pPr>
            <w:r>
              <w:rPr>
                <w:rFonts w:ascii="Arial" w:hAnsi="Arial" w:cs="Arial"/>
                <w:sz w:val="20"/>
                <w:lang w:val="sl-SI"/>
              </w:rPr>
              <w:t xml:space="preserve">Z upravljanjem in obratovanjem jedrskih ali sevalnih objektov RAO ne proizvajamo, proizvajamo pa npr. električno energijo, pri čemer kot posledica te dejavnosti nastajajo RAO in IG, podobno nastajajo RAO ob dejavnostih </w:t>
            </w:r>
            <w:r>
              <w:rPr>
                <w:rFonts w:ascii="Arial" w:hAnsi="Arial" w:cs="Arial"/>
                <w:sz w:val="20"/>
                <w:lang w:val="sl-SI"/>
              </w:rPr>
              <w:lastRenderedPageBreak/>
              <w:t>skladiščenja ali odlaganja RAO, ob razgradnji ter zapiranju objektov, ...</w:t>
            </w:r>
          </w:p>
        </w:tc>
        <w:tc>
          <w:tcPr>
            <w:tcW w:w="3685" w:type="dxa"/>
            <w:shd w:val="clear" w:color="auto" w:fill="DBE5F1" w:themeFill="accent1" w:themeFillTint="33"/>
          </w:tcPr>
          <w:p w14:paraId="5640DD35" w14:textId="1A5BEDB8" w:rsidR="001B3014" w:rsidRPr="00A671ED" w:rsidRDefault="001B3014" w:rsidP="00AF3379">
            <w:pPr>
              <w:rPr>
                <w:rFonts w:ascii="Arial" w:hAnsi="Arial" w:cs="Arial"/>
                <w:sz w:val="20"/>
                <w:lang w:val="sl-SI"/>
              </w:rPr>
            </w:pPr>
            <w:r w:rsidRPr="008D3EB4">
              <w:rPr>
                <w:rFonts w:ascii="Arial" w:hAnsi="Arial" w:cs="Arial"/>
                <w:sz w:val="20"/>
                <w:highlight w:val="green"/>
                <w:lang w:val="sl-SI"/>
              </w:rPr>
              <w:lastRenderedPageBreak/>
              <w:t>SPREJETO</w:t>
            </w:r>
          </w:p>
        </w:tc>
      </w:tr>
      <w:tr w:rsidR="001B3014" w:rsidRPr="001D410B" w14:paraId="28298923" w14:textId="77777777" w:rsidTr="00A95A10">
        <w:trPr>
          <w:jc w:val="center"/>
        </w:trPr>
        <w:tc>
          <w:tcPr>
            <w:tcW w:w="421" w:type="dxa"/>
            <w:shd w:val="clear" w:color="auto" w:fill="00FF00"/>
          </w:tcPr>
          <w:p w14:paraId="06D3CE86" w14:textId="77777777" w:rsidR="001B3014" w:rsidRPr="00E72971" w:rsidRDefault="001B3014" w:rsidP="00AF3379">
            <w:pPr>
              <w:pStyle w:val="Odstavekseznama"/>
              <w:numPr>
                <w:ilvl w:val="0"/>
                <w:numId w:val="1"/>
              </w:numPr>
              <w:rPr>
                <w:rFonts w:ascii="Arial" w:hAnsi="Arial" w:cs="Arial"/>
                <w:sz w:val="20"/>
                <w:lang w:val="sl-SI"/>
              </w:rPr>
            </w:pPr>
          </w:p>
        </w:tc>
        <w:tc>
          <w:tcPr>
            <w:tcW w:w="850" w:type="dxa"/>
          </w:tcPr>
          <w:p w14:paraId="06A6A1D5" w14:textId="77777777" w:rsidR="001B3014" w:rsidRDefault="001B3014" w:rsidP="00AF3379">
            <w:pPr>
              <w:rPr>
                <w:rFonts w:ascii="Arial" w:hAnsi="Arial" w:cs="Arial"/>
                <w:sz w:val="20"/>
                <w:lang w:val="sl-SI"/>
              </w:rPr>
            </w:pPr>
            <w:r>
              <w:rPr>
                <w:rFonts w:ascii="Arial" w:hAnsi="Arial" w:cs="Arial"/>
                <w:sz w:val="20"/>
                <w:lang w:val="sl-SI"/>
              </w:rPr>
              <w:t>6/48, 32/48</w:t>
            </w:r>
          </w:p>
        </w:tc>
        <w:tc>
          <w:tcPr>
            <w:tcW w:w="1134" w:type="dxa"/>
          </w:tcPr>
          <w:p w14:paraId="419B0FDE" w14:textId="77777777" w:rsidR="001B3014" w:rsidRDefault="001B3014" w:rsidP="00AF3379">
            <w:pPr>
              <w:pStyle w:val="Odstavekseznama"/>
              <w:ind w:left="0"/>
              <w:rPr>
                <w:rFonts w:ascii="Arial" w:hAnsi="Arial" w:cs="Arial"/>
                <w:sz w:val="20"/>
                <w:lang w:val="sl-SI"/>
              </w:rPr>
            </w:pPr>
            <w:r>
              <w:rPr>
                <w:rFonts w:ascii="Arial" w:hAnsi="Arial" w:cs="Arial"/>
                <w:sz w:val="20"/>
                <w:lang w:val="sl-SI"/>
              </w:rPr>
              <w:t>III. obseg in vsebina</w:t>
            </w:r>
          </w:p>
          <w:p w14:paraId="74BC86EB" w14:textId="77777777" w:rsidR="001B3014" w:rsidRDefault="001B3014" w:rsidP="00AF3379">
            <w:pPr>
              <w:rPr>
                <w:rFonts w:ascii="Arial" w:hAnsi="Arial" w:cs="Arial"/>
                <w:sz w:val="20"/>
                <w:lang w:val="sl-SI"/>
              </w:rPr>
            </w:pPr>
          </w:p>
        </w:tc>
        <w:tc>
          <w:tcPr>
            <w:tcW w:w="3402" w:type="dxa"/>
          </w:tcPr>
          <w:p w14:paraId="7F90EC50" w14:textId="21C0289C" w:rsidR="001B3014" w:rsidRPr="00752000" w:rsidRDefault="00062781" w:rsidP="00AF3379">
            <w:pPr>
              <w:pStyle w:val="SlogArialObojestranskoPred6pt"/>
              <w:spacing w:before="0"/>
              <w:jc w:val="left"/>
              <w:rPr>
                <w:sz w:val="20"/>
              </w:rPr>
            </w:pPr>
            <w:r>
              <w:rPr>
                <w:rFonts w:cs="Arial"/>
                <w:sz w:val="20"/>
              </w:rPr>
              <w:t>VF</w:t>
            </w:r>
            <w:r w:rsidR="001B3014" w:rsidRPr="004044EA">
              <w:rPr>
                <w:rFonts w:cs="Arial"/>
                <w:sz w:val="20"/>
              </w:rPr>
              <w:t>14</w:t>
            </w:r>
            <w:r w:rsidR="009C47C5">
              <w:rPr>
                <w:rFonts w:cs="Arial"/>
                <w:sz w:val="20"/>
              </w:rPr>
              <w:t xml:space="preserve"> </w:t>
            </w:r>
            <w:r w:rsidR="001B3014" w:rsidRPr="004044EA">
              <w:rPr>
                <w:rFonts w:cs="Arial"/>
                <w:sz w:val="20"/>
              </w:rPr>
              <w:t>Načrt zaščite in reševanja</w:t>
            </w:r>
          </w:p>
        </w:tc>
        <w:tc>
          <w:tcPr>
            <w:tcW w:w="2835" w:type="dxa"/>
          </w:tcPr>
          <w:p w14:paraId="75C6BE82" w14:textId="5416F045" w:rsidR="001B3014" w:rsidRDefault="001B3014" w:rsidP="00AF3379">
            <w:pPr>
              <w:rPr>
                <w:rFonts w:ascii="Arial" w:hAnsi="Arial" w:cs="Arial"/>
                <w:sz w:val="20"/>
                <w:lang w:val="sl-SI"/>
              </w:rPr>
            </w:pPr>
            <w:r>
              <w:rPr>
                <w:rFonts w:ascii="Arial" w:hAnsi="Arial" w:cs="Arial"/>
                <w:sz w:val="20"/>
                <w:lang w:val="sl-SI"/>
              </w:rPr>
              <w:t>Ukrepanje v primeru izrednega dogodka (</w:t>
            </w:r>
            <w:r w:rsidRPr="000A182C">
              <w:rPr>
                <w:rFonts w:ascii="Arial" w:hAnsi="Arial" w:cs="Arial"/>
                <w:sz w:val="20"/>
                <w:lang w:val="sl-SI"/>
              </w:rPr>
              <w:t>načrt zaščite in reševanja ali navodila za ukrepanje ob</w:t>
            </w:r>
            <w:r>
              <w:rPr>
                <w:rFonts w:ascii="Arial" w:hAnsi="Arial" w:cs="Arial"/>
                <w:sz w:val="20"/>
                <w:lang w:val="sl-SI"/>
              </w:rPr>
              <w:t xml:space="preserve"> </w:t>
            </w:r>
            <w:r w:rsidRPr="000A182C">
              <w:rPr>
                <w:rFonts w:ascii="Arial" w:hAnsi="Arial" w:cs="Arial"/>
                <w:sz w:val="20"/>
                <w:lang w:val="sl-SI"/>
              </w:rPr>
              <w:t>izrednem dogodku</w:t>
            </w:r>
            <w:r>
              <w:rPr>
                <w:rFonts w:ascii="Arial" w:hAnsi="Arial" w:cs="Arial"/>
                <w:sz w:val="20"/>
                <w:lang w:val="sl-SI"/>
              </w:rPr>
              <w:t>)</w:t>
            </w:r>
          </w:p>
        </w:tc>
        <w:tc>
          <w:tcPr>
            <w:tcW w:w="1843" w:type="dxa"/>
          </w:tcPr>
          <w:p w14:paraId="64876E65" w14:textId="77777777" w:rsidR="001B3014" w:rsidRDefault="001B3014" w:rsidP="00AF3379">
            <w:pPr>
              <w:rPr>
                <w:rFonts w:ascii="Arial" w:hAnsi="Arial" w:cs="Arial"/>
                <w:sz w:val="20"/>
                <w:lang w:val="sl-SI"/>
              </w:rPr>
            </w:pPr>
            <w:r>
              <w:rPr>
                <w:rFonts w:ascii="Arial" w:hAnsi="Arial" w:cs="Arial"/>
                <w:sz w:val="20"/>
                <w:lang w:val="sl-SI"/>
              </w:rPr>
              <w:t xml:space="preserve">Po ZVISJV-1 sta možna dva dokumenta, predlagamo da se vsebina temu prilagodi </w:t>
            </w:r>
          </w:p>
        </w:tc>
        <w:tc>
          <w:tcPr>
            <w:tcW w:w="3685" w:type="dxa"/>
            <w:shd w:val="clear" w:color="auto" w:fill="DBE5F1" w:themeFill="accent1" w:themeFillTint="33"/>
          </w:tcPr>
          <w:p w14:paraId="3AA30B8F" w14:textId="77777777" w:rsidR="001B3014" w:rsidRDefault="001B3014" w:rsidP="00AF3379">
            <w:pPr>
              <w:rPr>
                <w:rFonts w:ascii="Arial" w:hAnsi="Arial" w:cs="Arial"/>
                <w:sz w:val="20"/>
                <w:lang w:val="sl-SI"/>
              </w:rPr>
            </w:pPr>
            <w:r>
              <w:rPr>
                <w:rFonts w:ascii="Arial" w:hAnsi="Arial" w:cs="Arial"/>
                <w:sz w:val="20"/>
                <w:lang w:val="sl-SI"/>
              </w:rPr>
              <w:t xml:space="preserve">ZVISJV-1, 130. člen, </w:t>
            </w:r>
            <w:r w:rsidRPr="00421B63">
              <w:rPr>
                <w:rFonts w:ascii="Arial" w:hAnsi="Arial" w:cs="Arial"/>
                <w:sz w:val="20"/>
                <w:lang w:val="sl-SI"/>
              </w:rPr>
              <w:t>(1) Upravljavec sevalnega ali jedrskega objekta, ki bi s svojo dejavnostjo lahko povzročil nesrečo, izdela oceno ogroženosti in načrt zaščite in reševanja ob jedrski ali radiološki nesreči skladno s predpisi s področja varstva pred naravnimi in drugimi nesrečami. Upravljavci drugih sevalnih ali jedrskih objektov in izvajalci sevalne dejavnosti izdelajo navodilo za ukrepanje ob izrednem dogodku.</w:t>
            </w:r>
            <w:r>
              <w:rPr>
                <w:rFonts w:ascii="Arial" w:hAnsi="Arial" w:cs="Arial"/>
                <w:sz w:val="20"/>
                <w:lang w:val="sl-SI"/>
              </w:rPr>
              <w:t xml:space="preserve"> V PS 1.01 dodano, da kjer piše NZIR, to velja kot </w:t>
            </w:r>
            <w:r w:rsidRPr="00CD2949">
              <w:rPr>
                <w:rFonts w:ascii="Arial" w:hAnsi="Arial" w:cs="Arial"/>
                <w:sz w:val="20"/>
                <w:lang w:val="sl-SI"/>
              </w:rPr>
              <w:t>»</w:t>
            </w:r>
            <w:bookmarkStart w:id="4" w:name="_Hlk55558392"/>
            <w:r w:rsidRPr="00CD2949">
              <w:rPr>
                <w:rFonts w:ascii="Arial" w:hAnsi="Arial" w:cs="Arial"/>
                <w:sz w:val="20"/>
                <w:lang w:val="sl-SI"/>
              </w:rPr>
              <w:t>načrt zaščite in reševanja ali navodila za ukrepanje ob izrednem dogodku</w:t>
            </w:r>
            <w:bookmarkEnd w:id="4"/>
            <w:r w:rsidRPr="00CD2949">
              <w:rPr>
                <w:rFonts w:ascii="Arial" w:hAnsi="Arial" w:cs="Arial"/>
                <w:sz w:val="20"/>
                <w:lang w:val="sl-SI"/>
              </w:rPr>
              <w:t>«</w:t>
            </w:r>
            <w:r>
              <w:rPr>
                <w:rFonts w:ascii="Arial" w:hAnsi="Arial" w:cs="Arial"/>
                <w:sz w:val="20"/>
                <w:lang w:val="sl-SI"/>
              </w:rPr>
              <w:t>. Nekatere določbe PS 1.01 za takšna navodila niso relevantne, zato se uporabi stopenjski pristop pri pripravi programa PSR3.</w:t>
            </w:r>
          </w:p>
          <w:p w14:paraId="1BFF31E3" w14:textId="09B62360" w:rsidR="001B3014" w:rsidRPr="00A671ED" w:rsidRDefault="001B3014" w:rsidP="00AF3379">
            <w:pPr>
              <w:rPr>
                <w:rFonts w:ascii="Arial" w:hAnsi="Arial" w:cs="Arial"/>
                <w:sz w:val="20"/>
                <w:lang w:val="sl-SI"/>
              </w:rPr>
            </w:pPr>
            <w:r w:rsidRPr="00A23567">
              <w:rPr>
                <w:rFonts w:ascii="Arial" w:hAnsi="Arial" w:cs="Arial"/>
                <w:sz w:val="20"/>
                <w:highlight w:val="green"/>
                <w:lang w:val="sl-SI"/>
              </w:rPr>
              <w:t xml:space="preserve">SPREJETO, </w:t>
            </w:r>
            <w:r w:rsidR="00A663D5" w:rsidRPr="00A23567">
              <w:rPr>
                <w:rFonts w:ascii="Arial" w:hAnsi="Arial" w:cs="Arial"/>
                <w:sz w:val="20"/>
                <w:highlight w:val="green"/>
                <w:lang w:val="sl-SI"/>
              </w:rPr>
              <w:t>DODA</w:t>
            </w:r>
            <w:r w:rsidR="00A96E93">
              <w:rPr>
                <w:rFonts w:ascii="Arial" w:hAnsi="Arial" w:cs="Arial"/>
                <w:sz w:val="20"/>
                <w:highlight w:val="green"/>
                <w:lang w:val="sl-SI"/>
              </w:rPr>
              <w:t>NA</w:t>
            </w:r>
            <w:r w:rsidR="00A663D5" w:rsidRPr="00A23567">
              <w:rPr>
                <w:rFonts w:ascii="Arial" w:hAnsi="Arial" w:cs="Arial"/>
                <w:sz w:val="20"/>
                <w:highlight w:val="green"/>
                <w:lang w:val="sl-SI"/>
              </w:rPr>
              <w:t xml:space="preserve"> </w:t>
            </w:r>
            <w:r w:rsidR="00A663D5">
              <w:rPr>
                <w:rFonts w:ascii="Arial" w:hAnsi="Arial" w:cs="Arial"/>
                <w:sz w:val="20"/>
                <w:highlight w:val="green"/>
                <w:lang w:val="sl-SI"/>
              </w:rPr>
              <w:t>OPOMB</w:t>
            </w:r>
            <w:r w:rsidR="00A96E93">
              <w:rPr>
                <w:rFonts w:ascii="Arial" w:hAnsi="Arial" w:cs="Arial"/>
                <w:sz w:val="20"/>
                <w:highlight w:val="green"/>
                <w:lang w:val="sl-SI"/>
              </w:rPr>
              <w:t>A</w:t>
            </w:r>
            <w:r w:rsidR="00A663D5" w:rsidRPr="00A23567">
              <w:rPr>
                <w:rFonts w:ascii="Arial" w:hAnsi="Arial" w:cs="Arial"/>
                <w:sz w:val="20"/>
                <w:highlight w:val="green"/>
                <w:lang w:val="sl-SI"/>
              </w:rPr>
              <w:t xml:space="preserve"> V </w:t>
            </w:r>
            <w:r w:rsidRPr="00A23567">
              <w:rPr>
                <w:rFonts w:ascii="Arial" w:hAnsi="Arial" w:cs="Arial"/>
                <w:sz w:val="20"/>
                <w:highlight w:val="green"/>
                <w:lang w:val="sl-SI"/>
              </w:rPr>
              <w:t>PS 1.01</w:t>
            </w:r>
          </w:p>
        </w:tc>
      </w:tr>
      <w:tr w:rsidR="001B3014" w:rsidRPr="001D410B" w14:paraId="4BC97ADD" w14:textId="77777777" w:rsidTr="008461F5">
        <w:trPr>
          <w:jc w:val="center"/>
        </w:trPr>
        <w:tc>
          <w:tcPr>
            <w:tcW w:w="421" w:type="dxa"/>
            <w:shd w:val="clear" w:color="auto" w:fill="00FF00"/>
          </w:tcPr>
          <w:p w14:paraId="5C7EDBFB" w14:textId="77777777" w:rsidR="001B3014" w:rsidRPr="00E72971" w:rsidRDefault="001B3014" w:rsidP="00AF3379">
            <w:pPr>
              <w:pStyle w:val="Odstavekseznama"/>
              <w:numPr>
                <w:ilvl w:val="0"/>
                <w:numId w:val="1"/>
              </w:numPr>
              <w:rPr>
                <w:rFonts w:ascii="Arial" w:hAnsi="Arial" w:cs="Arial"/>
                <w:sz w:val="20"/>
                <w:lang w:val="sl-SI"/>
              </w:rPr>
            </w:pPr>
          </w:p>
        </w:tc>
        <w:tc>
          <w:tcPr>
            <w:tcW w:w="850" w:type="dxa"/>
          </w:tcPr>
          <w:p w14:paraId="09CA04FA" w14:textId="77777777" w:rsidR="001B3014" w:rsidRPr="00E72971" w:rsidRDefault="001B3014" w:rsidP="00AF3379">
            <w:pPr>
              <w:rPr>
                <w:rFonts w:ascii="Arial" w:hAnsi="Arial" w:cs="Arial"/>
                <w:sz w:val="20"/>
                <w:lang w:val="sl-SI"/>
              </w:rPr>
            </w:pPr>
            <w:r>
              <w:rPr>
                <w:rFonts w:ascii="Arial" w:hAnsi="Arial" w:cs="Arial"/>
                <w:sz w:val="20"/>
                <w:lang w:val="sl-SI"/>
              </w:rPr>
              <w:t>8/48</w:t>
            </w:r>
          </w:p>
        </w:tc>
        <w:tc>
          <w:tcPr>
            <w:tcW w:w="1134" w:type="dxa"/>
          </w:tcPr>
          <w:p w14:paraId="262DA7AA" w14:textId="074FC38B" w:rsidR="001B3014" w:rsidRDefault="00062781" w:rsidP="00AF3379">
            <w:pPr>
              <w:pStyle w:val="Odstavekseznama"/>
              <w:ind w:left="0"/>
              <w:rPr>
                <w:rFonts w:ascii="Arial" w:hAnsi="Arial" w:cs="Arial"/>
                <w:sz w:val="20"/>
                <w:lang w:val="sl-SI"/>
              </w:rPr>
            </w:pPr>
            <w:r>
              <w:rPr>
                <w:rFonts w:ascii="Arial" w:hAnsi="Arial" w:cs="Arial"/>
                <w:sz w:val="20"/>
                <w:lang w:val="sl-SI"/>
              </w:rPr>
              <w:t>VF</w:t>
            </w:r>
            <w:r w:rsidR="001B3014">
              <w:rPr>
                <w:rFonts w:ascii="Arial" w:hAnsi="Arial" w:cs="Arial"/>
                <w:sz w:val="20"/>
                <w:lang w:val="sl-SI"/>
              </w:rPr>
              <w:t>1</w:t>
            </w:r>
            <w:r w:rsidR="009C47C5">
              <w:rPr>
                <w:rFonts w:ascii="Arial" w:hAnsi="Arial" w:cs="Arial"/>
                <w:sz w:val="20"/>
                <w:lang w:val="sl-SI"/>
              </w:rPr>
              <w:t xml:space="preserve"> </w:t>
            </w:r>
            <w:r w:rsidR="001B3014">
              <w:rPr>
                <w:rFonts w:ascii="Arial" w:hAnsi="Arial" w:cs="Arial"/>
                <w:sz w:val="20"/>
                <w:lang w:val="sl-SI"/>
              </w:rPr>
              <w:t>Projekt objekta/</w:t>
            </w:r>
          </w:p>
          <w:p w14:paraId="4085EB1E" w14:textId="77777777" w:rsidR="001B3014" w:rsidRPr="00E72971" w:rsidRDefault="001B3014" w:rsidP="00AF3379">
            <w:pPr>
              <w:pStyle w:val="Odstavekseznama"/>
              <w:ind w:left="0"/>
              <w:rPr>
                <w:rFonts w:ascii="Arial" w:hAnsi="Arial" w:cs="Arial"/>
                <w:sz w:val="20"/>
                <w:lang w:val="sl-SI"/>
              </w:rPr>
            </w:pPr>
            <w:r>
              <w:rPr>
                <w:rFonts w:ascii="Arial" w:hAnsi="Arial" w:cs="Arial"/>
                <w:sz w:val="20"/>
                <w:lang w:val="sl-SI"/>
              </w:rPr>
              <w:t>Metodologija</w:t>
            </w:r>
          </w:p>
        </w:tc>
        <w:tc>
          <w:tcPr>
            <w:tcW w:w="3402" w:type="dxa"/>
          </w:tcPr>
          <w:p w14:paraId="6C99A6E0" w14:textId="77777777" w:rsidR="001B3014" w:rsidRPr="00A95816" w:rsidRDefault="001B3014" w:rsidP="00AF3379">
            <w:pPr>
              <w:pStyle w:val="SlogArialObojestranskoPred6pt"/>
              <w:spacing w:before="0"/>
              <w:jc w:val="left"/>
              <w:rPr>
                <w:rFonts w:eastAsiaTheme="minorHAnsi" w:cs="Arial"/>
                <w:sz w:val="20"/>
              </w:rPr>
            </w:pPr>
            <w:r w:rsidRPr="00A95816">
              <w:rPr>
                <w:sz w:val="20"/>
              </w:rPr>
              <w:t xml:space="preserve">V nekaterih primerih je primerjavo z zahtevami in standardi smiselno izvesti s pregledom </w:t>
            </w:r>
            <w:r w:rsidRPr="00A81F3F">
              <w:rPr>
                <w:sz w:val="20"/>
              </w:rPr>
              <w:t>visokonivojskih dokumentov in programov</w:t>
            </w:r>
            <w:r w:rsidRPr="00A95816">
              <w:rPr>
                <w:sz w:val="20"/>
              </w:rPr>
              <w:t xml:space="preserve">. Uporabo takšnega pristopa je potrebno določiti v programu občasnega varnostnega pregleda in to dogovoriti z URSJV. </w:t>
            </w:r>
          </w:p>
        </w:tc>
        <w:tc>
          <w:tcPr>
            <w:tcW w:w="2835" w:type="dxa"/>
          </w:tcPr>
          <w:p w14:paraId="32656732" w14:textId="77777777" w:rsidR="001B3014" w:rsidRDefault="008461F5" w:rsidP="00AF3379">
            <w:pPr>
              <w:rPr>
                <w:rFonts w:ascii="Arial" w:hAnsi="Arial" w:cs="Arial"/>
                <w:sz w:val="20"/>
                <w:lang w:val="sl-SI"/>
              </w:rPr>
            </w:pPr>
            <w:r>
              <w:rPr>
                <w:rFonts w:ascii="Arial" w:hAnsi="Arial" w:cs="Arial"/>
                <w:sz w:val="20"/>
                <w:lang w:val="sl-SI"/>
              </w:rPr>
              <w:t>Dodati v sprotne opombe:</w:t>
            </w:r>
          </w:p>
          <w:p w14:paraId="5DA3DC6E" w14:textId="561228E6" w:rsidR="008461F5" w:rsidRPr="00E72971" w:rsidRDefault="008461F5" w:rsidP="00AF3379">
            <w:pPr>
              <w:rPr>
                <w:rFonts w:ascii="Arial" w:hAnsi="Arial" w:cs="Arial"/>
                <w:sz w:val="20"/>
                <w:lang w:val="sl-SI"/>
              </w:rPr>
            </w:pPr>
            <w:r>
              <w:rPr>
                <w:rFonts w:ascii="Arial" w:hAnsi="Arial" w:cs="Arial"/>
                <w:sz w:val="20"/>
                <w:lang w:val="sl-SI"/>
              </w:rPr>
              <w:t>»Visokonivojski dokumenti in programi vključujejo tudi varnostno poročilo, obratovalne pogoje in omejitve, oceno varstva pred sevanji, načrt zaščite in reševanja, dokumentacijo sistema vodenja, programe povezani s posameznimi varnostnimi vsebinami itd.«</w:t>
            </w:r>
          </w:p>
        </w:tc>
        <w:tc>
          <w:tcPr>
            <w:tcW w:w="1843" w:type="dxa"/>
          </w:tcPr>
          <w:p w14:paraId="724C47F1" w14:textId="77777777" w:rsidR="001B3014" w:rsidRPr="00E72971" w:rsidRDefault="001B3014" w:rsidP="00AF3379">
            <w:pPr>
              <w:rPr>
                <w:rFonts w:ascii="Arial" w:hAnsi="Arial" w:cs="Arial"/>
                <w:sz w:val="20"/>
                <w:lang w:val="sl-SI"/>
              </w:rPr>
            </w:pPr>
            <w:r>
              <w:rPr>
                <w:rFonts w:ascii="Arial" w:hAnsi="Arial" w:cs="Arial"/>
                <w:sz w:val="20"/>
                <w:lang w:val="sl-SI"/>
              </w:rPr>
              <w:t>Definicija kaj so »visokonivojski dokumenti in programi«</w:t>
            </w:r>
          </w:p>
        </w:tc>
        <w:tc>
          <w:tcPr>
            <w:tcW w:w="3685" w:type="dxa"/>
            <w:shd w:val="clear" w:color="auto" w:fill="DBE5F1" w:themeFill="accent1" w:themeFillTint="33"/>
          </w:tcPr>
          <w:p w14:paraId="70D1B529" w14:textId="0D340FC2" w:rsidR="00A663D5" w:rsidRDefault="001B3014" w:rsidP="00AF3379">
            <w:pPr>
              <w:rPr>
                <w:rFonts w:ascii="Arial" w:hAnsi="Arial" w:cs="Arial"/>
                <w:sz w:val="20"/>
                <w:lang w:val="sl-SI"/>
              </w:rPr>
            </w:pPr>
            <w:r>
              <w:rPr>
                <w:rFonts w:ascii="Arial" w:hAnsi="Arial" w:cs="Arial"/>
                <w:sz w:val="20"/>
                <w:lang w:val="sl-SI"/>
              </w:rPr>
              <w:t xml:space="preserve">Takšne definicije se ne da pripraviti vnaprej za različne objekte. </w:t>
            </w:r>
            <w:r w:rsidR="00A663D5">
              <w:rPr>
                <w:rFonts w:ascii="Arial" w:hAnsi="Arial" w:cs="Arial"/>
                <w:sz w:val="20"/>
                <w:lang w:val="sl-SI"/>
              </w:rPr>
              <w:t>Nabor teh dokumentov se določi v programu PSR.</w:t>
            </w:r>
            <w:r>
              <w:rPr>
                <w:rFonts w:ascii="Arial" w:hAnsi="Arial" w:cs="Arial"/>
                <w:sz w:val="20"/>
                <w:lang w:val="sl-SI"/>
              </w:rPr>
              <w:t xml:space="preserve"> </w:t>
            </w:r>
            <w:r w:rsidR="008461F5">
              <w:rPr>
                <w:rFonts w:ascii="Arial" w:hAnsi="Arial" w:cs="Arial"/>
                <w:sz w:val="20"/>
                <w:lang w:val="sl-SI"/>
              </w:rPr>
              <w:t>V PS 1.01 pa se za pojasnilo doda opombo, kot je navedena v 4. stolpcu.</w:t>
            </w:r>
          </w:p>
          <w:p w14:paraId="7370DC89" w14:textId="7E9A2C45" w:rsidR="001B3014" w:rsidRPr="00A671ED" w:rsidRDefault="008461F5" w:rsidP="00AF3379">
            <w:pPr>
              <w:rPr>
                <w:rFonts w:ascii="Arial" w:hAnsi="Arial" w:cs="Arial"/>
                <w:sz w:val="20"/>
                <w:lang w:val="sl-SI"/>
              </w:rPr>
            </w:pPr>
            <w:r w:rsidRPr="00A23567">
              <w:rPr>
                <w:rFonts w:ascii="Arial" w:hAnsi="Arial" w:cs="Arial"/>
                <w:sz w:val="20"/>
                <w:highlight w:val="green"/>
                <w:lang w:val="sl-SI"/>
              </w:rPr>
              <w:t>SPREJETO, DODA</w:t>
            </w:r>
            <w:r>
              <w:rPr>
                <w:rFonts w:ascii="Arial" w:hAnsi="Arial" w:cs="Arial"/>
                <w:sz w:val="20"/>
                <w:highlight w:val="green"/>
                <w:lang w:val="sl-SI"/>
              </w:rPr>
              <w:t>NA</w:t>
            </w:r>
            <w:r w:rsidRPr="00A23567">
              <w:rPr>
                <w:rFonts w:ascii="Arial" w:hAnsi="Arial" w:cs="Arial"/>
                <w:sz w:val="20"/>
                <w:highlight w:val="green"/>
                <w:lang w:val="sl-SI"/>
              </w:rPr>
              <w:t xml:space="preserve"> </w:t>
            </w:r>
            <w:r>
              <w:rPr>
                <w:rFonts w:ascii="Arial" w:hAnsi="Arial" w:cs="Arial"/>
                <w:sz w:val="20"/>
                <w:highlight w:val="green"/>
                <w:lang w:val="sl-SI"/>
              </w:rPr>
              <w:t>OPOMBA</w:t>
            </w:r>
            <w:r w:rsidRPr="00A23567">
              <w:rPr>
                <w:rFonts w:ascii="Arial" w:hAnsi="Arial" w:cs="Arial"/>
                <w:sz w:val="20"/>
                <w:highlight w:val="green"/>
                <w:lang w:val="sl-SI"/>
              </w:rPr>
              <w:t xml:space="preserve"> V PS 1.01</w:t>
            </w:r>
            <w:r>
              <w:rPr>
                <w:rFonts w:ascii="Arial" w:hAnsi="Arial" w:cs="Arial"/>
                <w:sz w:val="20"/>
                <w:lang w:val="sl-SI"/>
              </w:rPr>
              <w:t xml:space="preserve"> </w:t>
            </w:r>
            <w:r w:rsidR="00A96E93">
              <w:rPr>
                <w:rFonts w:ascii="Arial" w:hAnsi="Arial" w:cs="Arial"/>
                <w:sz w:val="20"/>
                <w:lang w:val="sl-SI"/>
              </w:rPr>
              <w:t>(TN)</w:t>
            </w:r>
          </w:p>
        </w:tc>
      </w:tr>
      <w:tr w:rsidR="001B3014" w:rsidRPr="00A23567" w14:paraId="2F280EAA" w14:textId="77777777" w:rsidTr="00A95A10">
        <w:trPr>
          <w:jc w:val="center"/>
        </w:trPr>
        <w:tc>
          <w:tcPr>
            <w:tcW w:w="421" w:type="dxa"/>
            <w:shd w:val="clear" w:color="auto" w:fill="00FF00"/>
          </w:tcPr>
          <w:p w14:paraId="0B7B5D4F" w14:textId="77777777" w:rsidR="001B3014" w:rsidRPr="00E72971" w:rsidRDefault="001B3014" w:rsidP="00AF3379">
            <w:pPr>
              <w:pStyle w:val="Odstavekseznama"/>
              <w:numPr>
                <w:ilvl w:val="0"/>
                <w:numId w:val="1"/>
              </w:numPr>
              <w:rPr>
                <w:rFonts w:ascii="Arial" w:hAnsi="Arial" w:cs="Arial"/>
                <w:sz w:val="20"/>
                <w:lang w:val="sl-SI"/>
              </w:rPr>
            </w:pPr>
          </w:p>
        </w:tc>
        <w:tc>
          <w:tcPr>
            <w:tcW w:w="850" w:type="dxa"/>
          </w:tcPr>
          <w:p w14:paraId="16B75E31" w14:textId="77777777" w:rsidR="001B3014" w:rsidRPr="00E72971" w:rsidRDefault="001B3014" w:rsidP="00AF3379">
            <w:pPr>
              <w:rPr>
                <w:rFonts w:ascii="Arial" w:hAnsi="Arial" w:cs="Arial"/>
                <w:sz w:val="20"/>
                <w:lang w:val="sl-SI"/>
              </w:rPr>
            </w:pPr>
            <w:r>
              <w:rPr>
                <w:rFonts w:ascii="Arial" w:hAnsi="Arial" w:cs="Arial"/>
                <w:sz w:val="20"/>
                <w:lang w:val="sl-SI"/>
              </w:rPr>
              <w:t>6/48, 32/48</w:t>
            </w:r>
          </w:p>
        </w:tc>
        <w:tc>
          <w:tcPr>
            <w:tcW w:w="1134" w:type="dxa"/>
          </w:tcPr>
          <w:p w14:paraId="13A54403" w14:textId="77777777" w:rsidR="001B3014" w:rsidRDefault="001B3014" w:rsidP="00AF3379">
            <w:pPr>
              <w:pStyle w:val="Odstavekseznama"/>
              <w:ind w:left="0"/>
              <w:rPr>
                <w:rFonts w:ascii="Arial" w:hAnsi="Arial" w:cs="Arial"/>
                <w:sz w:val="20"/>
                <w:lang w:val="sl-SI"/>
              </w:rPr>
            </w:pPr>
            <w:r>
              <w:rPr>
                <w:rFonts w:ascii="Arial" w:hAnsi="Arial" w:cs="Arial"/>
                <w:sz w:val="20"/>
                <w:lang w:val="sl-SI"/>
              </w:rPr>
              <w:t>III. obseg in vsebina</w:t>
            </w:r>
          </w:p>
          <w:p w14:paraId="462EE222" w14:textId="77777777" w:rsidR="001B3014" w:rsidRPr="00E72971" w:rsidRDefault="001B3014" w:rsidP="00AF3379">
            <w:pPr>
              <w:pStyle w:val="Odstavekseznama"/>
              <w:ind w:left="0"/>
              <w:rPr>
                <w:rFonts w:ascii="Arial" w:hAnsi="Arial" w:cs="Arial"/>
                <w:sz w:val="20"/>
                <w:lang w:val="sl-SI"/>
              </w:rPr>
            </w:pPr>
          </w:p>
        </w:tc>
        <w:tc>
          <w:tcPr>
            <w:tcW w:w="3402" w:type="dxa"/>
          </w:tcPr>
          <w:p w14:paraId="0FA6114A" w14:textId="253C7965" w:rsidR="001B3014" w:rsidRPr="00E72971" w:rsidRDefault="00062781" w:rsidP="00AF3379">
            <w:pPr>
              <w:rPr>
                <w:rFonts w:ascii="Arial" w:hAnsi="Arial" w:cs="Arial"/>
                <w:sz w:val="20"/>
                <w:lang w:val="sl-SI"/>
              </w:rPr>
            </w:pPr>
            <w:r>
              <w:rPr>
                <w:rFonts w:ascii="Arial" w:hAnsi="Arial" w:cs="Arial"/>
                <w:sz w:val="20"/>
                <w:lang w:val="sl-SI"/>
              </w:rPr>
              <w:t>VF</w:t>
            </w:r>
            <w:r w:rsidR="001B3014" w:rsidRPr="004044EA">
              <w:rPr>
                <w:rFonts w:ascii="Arial" w:hAnsi="Arial" w:cs="Arial"/>
                <w:sz w:val="20"/>
                <w:lang w:val="sl-SI"/>
              </w:rPr>
              <w:t>14</w:t>
            </w:r>
            <w:r>
              <w:rPr>
                <w:rFonts w:ascii="Arial" w:hAnsi="Arial" w:cs="Arial"/>
                <w:sz w:val="20"/>
                <w:lang w:val="sl-SI"/>
              </w:rPr>
              <w:t xml:space="preserve"> </w:t>
            </w:r>
            <w:r w:rsidR="001B3014" w:rsidRPr="004044EA">
              <w:rPr>
                <w:rFonts w:ascii="Arial" w:hAnsi="Arial" w:cs="Arial"/>
                <w:sz w:val="20"/>
                <w:lang w:val="sl-SI"/>
              </w:rPr>
              <w:t>Načrt zaščite in reševanja</w:t>
            </w:r>
          </w:p>
        </w:tc>
        <w:tc>
          <w:tcPr>
            <w:tcW w:w="2835" w:type="dxa"/>
          </w:tcPr>
          <w:p w14:paraId="70F1FCAD" w14:textId="77777777" w:rsidR="001B3014" w:rsidRPr="00E72971" w:rsidRDefault="001B3014" w:rsidP="00AF3379">
            <w:pPr>
              <w:tabs>
                <w:tab w:val="left" w:pos="34"/>
              </w:tabs>
              <w:rPr>
                <w:rFonts w:ascii="Arial" w:hAnsi="Arial" w:cs="Arial"/>
                <w:sz w:val="20"/>
                <w:lang w:val="sl-SI"/>
              </w:rPr>
            </w:pPr>
            <w:r>
              <w:rPr>
                <w:rFonts w:ascii="Arial" w:hAnsi="Arial" w:cs="Arial"/>
                <w:sz w:val="20"/>
                <w:lang w:val="sl-SI"/>
              </w:rPr>
              <w:t>14. Ukrepanje v primeru izrednega dogodka (</w:t>
            </w:r>
            <w:r w:rsidRPr="000A182C">
              <w:rPr>
                <w:rFonts w:ascii="Arial" w:hAnsi="Arial" w:cs="Arial"/>
                <w:sz w:val="20"/>
                <w:lang w:val="sl-SI"/>
              </w:rPr>
              <w:t>načrt zaščite in reševanja ali navodila za ukrepanje ob</w:t>
            </w:r>
            <w:r>
              <w:rPr>
                <w:rFonts w:ascii="Arial" w:hAnsi="Arial" w:cs="Arial"/>
                <w:sz w:val="20"/>
                <w:lang w:val="sl-SI"/>
              </w:rPr>
              <w:t xml:space="preserve"> </w:t>
            </w:r>
            <w:r w:rsidRPr="000A182C">
              <w:rPr>
                <w:rFonts w:ascii="Arial" w:hAnsi="Arial" w:cs="Arial"/>
                <w:sz w:val="20"/>
                <w:lang w:val="sl-SI"/>
              </w:rPr>
              <w:t>izrednem dogodku</w:t>
            </w:r>
            <w:r>
              <w:rPr>
                <w:rFonts w:ascii="Arial" w:hAnsi="Arial" w:cs="Arial"/>
                <w:sz w:val="20"/>
                <w:lang w:val="sl-SI"/>
              </w:rPr>
              <w:t>)</w:t>
            </w:r>
          </w:p>
        </w:tc>
        <w:tc>
          <w:tcPr>
            <w:tcW w:w="1843" w:type="dxa"/>
          </w:tcPr>
          <w:p w14:paraId="0E776CEA" w14:textId="77777777" w:rsidR="001B3014" w:rsidRPr="00E72971" w:rsidRDefault="001B3014" w:rsidP="00AF3379">
            <w:pPr>
              <w:rPr>
                <w:rFonts w:ascii="Arial" w:hAnsi="Arial" w:cs="Arial"/>
                <w:sz w:val="20"/>
                <w:lang w:val="sl-SI"/>
              </w:rPr>
            </w:pPr>
            <w:r>
              <w:rPr>
                <w:rFonts w:ascii="Arial" w:hAnsi="Arial" w:cs="Arial"/>
                <w:sz w:val="20"/>
                <w:lang w:val="sl-SI"/>
              </w:rPr>
              <w:t xml:space="preserve">Po ZVISJV-1 sta možna dva dokumenta, predlagamo da se vsebina temu prilagodi. </w:t>
            </w:r>
          </w:p>
        </w:tc>
        <w:tc>
          <w:tcPr>
            <w:tcW w:w="3685" w:type="dxa"/>
            <w:shd w:val="clear" w:color="auto" w:fill="DBE5F1" w:themeFill="accent1" w:themeFillTint="33"/>
          </w:tcPr>
          <w:p w14:paraId="169A0E6C" w14:textId="7FD12FE6" w:rsidR="001B3014" w:rsidRPr="00A671ED" w:rsidRDefault="001B3014" w:rsidP="00AF3379">
            <w:pPr>
              <w:rPr>
                <w:rFonts w:ascii="Arial" w:hAnsi="Arial" w:cs="Arial"/>
                <w:sz w:val="20"/>
                <w:lang w:val="sl-SI"/>
              </w:rPr>
            </w:pPr>
            <w:r>
              <w:rPr>
                <w:rFonts w:ascii="Arial" w:hAnsi="Arial" w:cs="Arial"/>
                <w:sz w:val="20"/>
                <w:lang w:val="sl-SI"/>
              </w:rPr>
              <w:t xml:space="preserve">Glej tudi odgovor na pripombo 5. </w:t>
            </w:r>
            <w:r>
              <w:rPr>
                <w:rFonts w:ascii="Arial" w:hAnsi="Arial" w:cs="Arial"/>
                <w:sz w:val="20"/>
                <w:lang w:val="sl-SI"/>
              </w:rPr>
              <w:br/>
              <w:t>Kjer se za jedrsko elektrarno uporablja NZIR, se to s stopenjskim pristopom uporabi kot navodila za ukrepanje ob izrednem dogodku, če je to upravičeno po 130. členu ZVISJV-1.</w:t>
            </w:r>
            <w:r w:rsidRPr="00A23567">
              <w:rPr>
                <w:rFonts w:ascii="Arial" w:hAnsi="Arial" w:cs="Arial"/>
                <w:sz w:val="20"/>
                <w:highlight w:val="green"/>
                <w:lang w:val="sl-SI"/>
              </w:rPr>
              <w:t xml:space="preserve"> SPREJETO, </w:t>
            </w:r>
            <w:r w:rsidR="00A663D5" w:rsidRPr="00A23567">
              <w:rPr>
                <w:rFonts w:ascii="Arial" w:hAnsi="Arial" w:cs="Arial"/>
                <w:sz w:val="20"/>
                <w:highlight w:val="green"/>
                <w:lang w:val="sl-SI"/>
              </w:rPr>
              <w:t>DODA</w:t>
            </w:r>
            <w:r w:rsidR="00A96E93">
              <w:rPr>
                <w:rFonts w:ascii="Arial" w:hAnsi="Arial" w:cs="Arial"/>
                <w:sz w:val="20"/>
                <w:highlight w:val="green"/>
                <w:lang w:val="sl-SI"/>
              </w:rPr>
              <w:t>NA</w:t>
            </w:r>
            <w:r w:rsidR="00A663D5" w:rsidRPr="00A23567">
              <w:rPr>
                <w:rFonts w:ascii="Arial" w:hAnsi="Arial" w:cs="Arial"/>
                <w:sz w:val="20"/>
                <w:highlight w:val="green"/>
                <w:lang w:val="sl-SI"/>
              </w:rPr>
              <w:t xml:space="preserve"> </w:t>
            </w:r>
            <w:r w:rsidR="00A663D5">
              <w:rPr>
                <w:rFonts w:ascii="Arial" w:hAnsi="Arial" w:cs="Arial"/>
                <w:sz w:val="20"/>
                <w:highlight w:val="green"/>
                <w:lang w:val="sl-SI"/>
              </w:rPr>
              <w:t>OPOMB</w:t>
            </w:r>
            <w:r w:rsidR="00A96E93">
              <w:rPr>
                <w:rFonts w:ascii="Arial" w:hAnsi="Arial" w:cs="Arial"/>
                <w:sz w:val="20"/>
                <w:highlight w:val="green"/>
                <w:lang w:val="sl-SI"/>
              </w:rPr>
              <w:t>A</w:t>
            </w:r>
            <w:r w:rsidR="00A663D5" w:rsidRPr="00A23567">
              <w:rPr>
                <w:rFonts w:ascii="Arial" w:hAnsi="Arial" w:cs="Arial"/>
                <w:sz w:val="20"/>
                <w:highlight w:val="green"/>
                <w:lang w:val="sl-SI"/>
              </w:rPr>
              <w:t xml:space="preserve"> V </w:t>
            </w:r>
            <w:r w:rsidRPr="00A23567">
              <w:rPr>
                <w:rFonts w:ascii="Arial" w:hAnsi="Arial" w:cs="Arial"/>
                <w:sz w:val="20"/>
                <w:highlight w:val="green"/>
                <w:lang w:val="sl-SI"/>
              </w:rPr>
              <w:t>PS 1.01</w:t>
            </w:r>
          </w:p>
        </w:tc>
      </w:tr>
      <w:tr w:rsidR="001B3014" w:rsidRPr="00CD2949" w14:paraId="6E1DBC22" w14:textId="77777777" w:rsidTr="0002037B">
        <w:trPr>
          <w:jc w:val="center"/>
        </w:trPr>
        <w:tc>
          <w:tcPr>
            <w:tcW w:w="421" w:type="dxa"/>
            <w:shd w:val="clear" w:color="auto" w:fill="00FFFF"/>
          </w:tcPr>
          <w:p w14:paraId="2EC769E6" w14:textId="77777777" w:rsidR="001B3014" w:rsidRPr="00E72971" w:rsidRDefault="001B3014" w:rsidP="00AF3379">
            <w:pPr>
              <w:pStyle w:val="Odstavekseznama"/>
              <w:numPr>
                <w:ilvl w:val="0"/>
                <w:numId w:val="1"/>
              </w:numPr>
              <w:rPr>
                <w:rFonts w:ascii="Arial" w:hAnsi="Arial" w:cs="Arial"/>
                <w:sz w:val="20"/>
                <w:lang w:val="sl-SI"/>
              </w:rPr>
            </w:pPr>
          </w:p>
        </w:tc>
        <w:tc>
          <w:tcPr>
            <w:tcW w:w="850" w:type="dxa"/>
          </w:tcPr>
          <w:p w14:paraId="333663BD" w14:textId="77777777" w:rsidR="001B3014" w:rsidRPr="00E72971" w:rsidRDefault="001B3014" w:rsidP="00AF3379">
            <w:pPr>
              <w:rPr>
                <w:rFonts w:ascii="Arial" w:hAnsi="Arial" w:cs="Arial"/>
                <w:sz w:val="20"/>
                <w:lang w:val="sl-SI"/>
              </w:rPr>
            </w:pPr>
            <w:r>
              <w:rPr>
                <w:rFonts w:ascii="Arial" w:hAnsi="Arial" w:cs="Arial"/>
                <w:sz w:val="20"/>
                <w:lang w:val="sl-SI"/>
              </w:rPr>
              <w:t>2/48</w:t>
            </w:r>
          </w:p>
        </w:tc>
        <w:tc>
          <w:tcPr>
            <w:tcW w:w="1134" w:type="dxa"/>
          </w:tcPr>
          <w:p w14:paraId="489D1291" w14:textId="77777777" w:rsidR="001B3014" w:rsidRDefault="001B3014" w:rsidP="00AF3379">
            <w:pPr>
              <w:tabs>
                <w:tab w:val="left" w:pos="176"/>
              </w:tabs>
              <w:rPr>
                <w:rFonts w:ascii="Arial" w:hAnsi="Arial" w:cs="Arial"/>
                <w:sz w:val="20"/>
                <w:lang w:val="sl-SI"/>
              </w:rPr>
            </w:pPr>
            <w:r>
              <w:rPr>
                <w:rFonts w:ascii="Arial" w:hAnsi="Arial" w:cs="Arial"/>
                <w:sz w:val="20"/>
                <w:lang w:val="sl-SI"/>
              </w:rPr>
              <w:t xml:space="preserve">Povzetek </w:t>
            </w:r>
          </w:p>
          <w:p w14:paraId="4CDE1466" w14:textId="77777777" w:rsidR="001B3014" w:rsidRPr="00E72971" w:rsidRDefault="001B3014" w:rsidP="00AF3379">
            <w:pPr>
              <w:tabs>
                <w:tab w:val="left" w:pos="176"/>
              </w:tabs>
              <w:rPr>
                <w:rFonts w:ascii="Arial" w:hAnsi="Arial" w:cs="Arial"/>
                <w:sz w:val="20"/>
                <w:lang w:val="sl-SI"/>
              </w:rPr>
            </w:pPr>
            <w:r>
              <w:rPr>
                <w:rFonts w:ascii="Arial" w:hAnsi="Arial" w:cs="Arial"/>
                <w:sz w:val="20"/>
                <w:lang w:val="sl-SI"/>
              </w:rPr>
              <w:t>I. Uvod</w:t>
            </w:r>
          </w:p>
        </w:tc>
        <w:tc>
          <w:tcPr>
            <w:tcW w:w="3402" w:type="dxa"/>
          </w:tcPr>
          <w:p w14:paraId="7EC17115" w14:textId="77777777" w:rsidR="001B3014" w:rsidRPr="00E72971" w:rsidRDefault="001B3014" w:rsidP="00AF3379">
            <w:pPr>
              <w:rPr>
                <w:lang w:val="sl-SI"/>
              </w:rPr>
            </w:pPr>
            <w:r w:rsidRPr="00E9478C">
              <w:rPr>
                <w:rFonts w:ascii="Arial" w:hAnsi="Arial"/>
                <w:sz w:val="20"/>
                <w:lang w:val="sl-SI" w:eastAsia="en-US"/>
              </w:rPr>
              <w:t>Navedene varnostne vsebine, s katerimi sta določena vsebina in obseg občasnega varnostnega pregleda, so prilagojene za občasni varnostni pregled jedrske elektrarne. Za druge vrste sevalnih ali jedrskih objektov je treba obseg in vsebino smiselno prilagoditi ali razširiti, upoštevajoč pomembnost posameznih vsebin za varnost objekta, mednarodno prakso in stopenjski pristop.</w:t>
            </w:r>
          </w:p>
        </w:tc>
        <w:tc>
          <w:tcPr>
            <w:tcW w:w="2835" w:type="dxa"/>
          </w:tcPr>
          <w:p w14:paraId="5E1C1F46" w14:textId="77777777" w:rsidR="001B3014" w:rsidRPr="00E72971" w:rsidRDefault="001B3014" w:rsidP="00AF3379">
            <w:pPr>
              <w:rPr>
                <w:rFonts w:ascii="Arial" w:hAnsi="Arial" w:cs="Arial"/>
                <w:sz w:val="20"/>
                <w:lang w:val="sl-SI"/>
              </w:rPr>
            </w:pPr>
            <w:r>
              <w:rPr>
                <w:rFonts w:ascii="Arial" w:hAnsi="Arial" w:cs="Arial"/>
                <w:sz w:val="20"/>
                <w:lang w:val="sl-SI"/>
              </w:rPr>
              <w:t xml:space="preserve">V priloge dati neko vodilo stopenjskega pristopa za objekte, ki niso jedrske elektrarne. </w:t>
            </w:r>
          </w:p>
        </w:tc>
        <w:tc>
          <w:tcPr>
            <w:tcW w:w="1843" w:type="dxa"/>
          </w:tcPr>
          <w:p w14:paraId="77E8A8F4" w14:textId="77777777" w:rsidR="001B3014" w:rsidRDefault="001B3014" w:rsidP="00AF3379">
            <w:pPr>
              <w:rPr>
                <w:rFonts w:ascii="Arial" w:hAnsi="Arial" w:cs="Arial"/>
                <w:sz w:val="20"/>
                <w:lang w:val="sl-SI"/>
              </w:rPr>
            </w:pPr>
            <w:r>
              <w:rPr>
                <w:rFonts w:ascii="Arial" w:hAnsi="Arial" w:cs="Arial"/>
                <w:sz w:val="20"/>
                <w:lang w:val="sl-SI"/>
              </w:rPr>
              <w:t xml:space="preserve">Operaterjem drugih jedrskih objektov, ki niso jedrske elektrarne bi bilo v pomoč, če bi se stopenjski pristop nekoliko bolj opredelil. Katere vsebine lahko manj obdelamo, morda celo izpustimo. </w:t>
            </w:r>
          </w:p>
          <w:p w14:paraId="33A68164" w14:textId="77777777" w:rsidR="001B3014" w:rsidRPr="00E72971" w:rsidRDefault="001B3014" w:rsidP="00AF3379">
            <w:pPr>
              <w:rPr>
                <w:rFonts w:ascii="Arial" w:hAnsi="Arial" w:cs="Arial"/>
                <w:sz w:val="20"/>
                <w:lang w:val="sl-SI"/>
              </w:rPr>
            </w:pPr>
            <w:r>
              <w:rPr>
                <w:rFonts w:ascii="Arial" w:hAnsi="Arial" w:cs="Arial"/>
                <w:sz w:val="20"/>
                <w:lang w:val="sl-SI"/>
              </w:rPr>
              <w:t>Pri klasifikaciji SSK je to precej jasno pri drugih vsebinah pa manj.</w:t>
            </w:r>
          </w:p>
        </w:tc>
        <w:tc>
          <w:tcPr>
            <w:tcW w:w="3685" w:type="dxa"/>
            <w:shd w:val="clear" w:color="auto" w:fill="DBE5F1" w:themeFill="accent1" w:themeFillTint="33"/>
          </w:tcPr>
          <w:p w14:paraId="15BEB0C6" w14:textId="77777777" w:rsidR="001B3014" w:rsidRDefault="001B3014" w:rsidP="00AF3379">
            <w:pPr>
              <w:rPr>
                <w:rFonts w:ascii="Arial" w:hAnsi="Arial" w:cs="Arial"/>
                <w:sz w:val="20"/>
                <w:lang w:val="sl-SI"/>
              </w:rPr>
            </w:pPr>
            <w:r>
              <w:rPr>
                <w:rFonts w:ascii="Arial" w:hAnsi="Arial" w:cs="Arial"/>
                <w:sz w:val="20"/>
                <w:lang w:val="sl-SI"/>
              </w:rPr>
              <w:t>Glej odgovor na pripombo 2.</w:t>
            </w:r>
            <w:r>
              <w:rPr>
                <w:rFonts w:ascii="Arial" w:hAnsi="Arial" w:cs="Arial"/>
                <w:sz w:val="20"/>
                <w:lang w:val="sl-SI"/>
              </w:rPr>
              <w:br/>
              <w:t>Stvar upravljavca je, da se v svoji vlogi sklicuje na stopenjski pristop in s tem predlaga manjši obseg pregleda v PSR. V primeru utemeljenosti takšnih predlogov pa URSJV to sprejme in odobri, s programom PSR. Ta uporaba stopenjskega pristopa je tako stvar upravnega postopka in ne PS 1.01. Pred začetkom priprave programa PSR lahko upravljavci objektov, ki ni jedrska elektrarna, pridejo na URSJV na delovni sestanek, kjer se pogovorimo o možnostih uporabe stopenjskega pristopa.</w:t>
            </w:r>
          </w:p>
          <w:p w14:paraId="4F904E6E" w14:textId="43CBFA03" w:rsidR="001B3014" w:rsidRPr="00A671ED" w:rsidRDefault="00331F28" w:rsidP="00AF3379">
            <w:pPr>
              <w:rPr>
                <w:rFonts w:ascii="Arial" w:hAnsi="Arial" w:cs="Arial"/>
                <w:sz w:val="20"/>
                <w:lang w:val="sl-SI"/>
              </w:rPr>
            </w:pPr>
            <w:r>
              <w:rPr>
                <w:rFonts w:ascii="Arial" w:hAnsi="Arial" w:cs="Arial"/>
                <w:sz w:val="20"/>
                <w:highlight w:val="cyan"/>
                <w:lang w:val="sl-SI"/>
              </w:rPr>
              <w:t xml:space="preserve">POJASNILO, </w:t>
            </w:r>
            <w:r w:rsidR="001B3014" w:rsidRPr="00045F7E">
              <w:rPr>
                <w:rFonts w:ascii="Arial" w:hAnsi="Arial" w:cs="Arial"/>
                <w:sz w:val="20"/>
                <w:highlight w:val="cyan"/>
                <w:lang w:val="sl-SI"/>
              </w:rPr>
              <w:t>NI SPREMEMBE P</w:t>
            </w:r>
            <w:r w:rsidR="001B3014">
              <w:rPr>
                <w:rFonts w:ascii="Arial" w:hAnsi="Arial" w:cs="Arial"/>
                <w:sz w:val="20"/>
                <w:highlight w:val="cyan"/>
                <w:lang w:val="sl-SI"/>
              </w:rPr>
              <w:t>S 1.01</w:t>
            </w:r>
          </w:p>
        </w:tc>
      </w:tr>
      <w:tr w:rsidR="007F3369" w:rsidRPr="00A671ED" w14:paraId="6534BB9B" w14:textId="77777777" w:rsidTr="002E7597">
        <w:trPr>
          <w:jc w:val="center"/>
        </w:trPr>
        <w:tc>
          <w:tcPr>
            <w:tcW w:w="421" w:type="dxa"/>
            <w:shd w:val="clear" w:color="auto" w:fill="00FF00"/>
          </w:tcPr>
          <w:p w14:paraId="5FFDB705" w14:textId="77777777" w:rsidR="007F3369" w:rsidRPr="00E72971" w:rsidRDefault="007F3369" w:rsidP="007F3369">
            <w:pPr>
              <w:pStyle w:val="Odstavekseznama"/>
              <w:numPr>
                <w:ilvl w:val="0"/>
                <w:numId w:val="1"/>
              </w:numPr>
              <w:rPr>
                <w:rFonts w:ascii="Arial" w:hAnsi="Arial" w:cs="Arial"/>
                <w:sz w:val="20"/>
                <w:lang w:val="sl-SI"/>
              </w:rPr>
            </w:pPr>
          </w:p>
        </w:tc>
        <w:tc>
          <w:tcPr>
            <w:tcW w:w="850" w:type="dxa"/>
          </w:tcPr>
          <w:p w14:paraId="23632B70" w14:textId="77777777" w:rsidR="007F3369" w:rsidRDefault="007F3369" w:rsidP="002E7597">
            <w:pPr>
              <w:rPr>
                <w:rFonts w:ascii="Arial" w:hAnsi="Arial" w:cs="Arial"/>
                <w:sz w:val="20"/>
                <w:lang w:val="sl-SI"/>
              </w:rPr>
            </w:pPr>
            <w:r>
              <w:rPr>
                <w:rFonts w:ascii="Arial" w:hAnsi="Arial" w:cs="Arial"/>
                <w:sz w:val="20"/>
                <w:lang w:val="sl-SI"/>
              </w:rPr>
              <w:t>34/48</w:t>
            </w:r>
          </w:p>
        </w:tc>
        <w:tc>
          <w:tcPr>
            <w:tcW w:w="1134" w:type="dxa"/>
          </w:tcPr>
          <w:p w14:paraId="2E861B64" w14:textId="77777777" w:rsidR="007F3369" w:rsidRPr="0040436E" w:rsidRDefault="007F3369" w:rsidP="002E7597">
            <w:pPr>
              <w:rPr>
                <w:rFonts w:ascii="Arial" w:hAnsi="Arial" w:cs="Arial"/>
                <w:sz w:val="20"/>
                <w:lang w:val="sl-SI"/>
              </w:rPr>
            </w:pPr>
            <w:r>
              <w:rPr>
                <w:rFonts w:ascii="Arial" w:hAnsi="Arial" w:cs="Arial"/>
                <w:sz w:val="20"/>
                <w:lang w:val="sl-SI"/>
              </w:rPr>
              <w:t>VF15 Radiološki vplivi na okolje</w:t>
            </w:r>
          </w:p>
        </w:tc>
        <w:tc>
          <w:tcPr>
            <w:tcW w:w="3402" w:type="dxa"/>
          </w:tcPr>
          <w:p w14:paraId="69D58B8A" w14:textId="77777777" w:rsidR="007F3369" w:rsidRPr="00224DB1" w:rsidRDefault="007F3369" w:rsidP="002E7597">
            <w:pPr>
              <w:pStyle w:val="SlogArialObojestranskoPred6pt"/>
              <w:spacing w:before="0"/>
              <w:jc w:val="left"/>
              <w:rPr>
                <w:sz w:val="20"/>
              </w:rPr>
            </w:pPr>
            <w:r w:rsidRPr="00224DB1">
              <w:rPr>
                <w:sz w:val="20"/>
              </w:rPr>
              <w:t>Pregled mora ugotoviti ali je program monitoringa ustrezen in dovolj celovit. Posebej mora pregled preveriti, da je radiološki vpliv objekta na okolje zanemarljiv glede na vpliv drugih virov sevanja.</w:t>
            </w:r>
          </w:p>
        </w:tc>
        <w:tc>
          <w:tcPr>
            <w:tcW w:w="2835" w:type="dxa"/>
          </w:tcPr>
          <w:p w14:paraId="40572086" w14:textId="77777777" w:rsidR="007F3369" w:rsidRPr="00E72971" w:rsidRDefault="007F3369" w:rsidP="002E7597">
            <w:pPr>
              <w:rPr>
                <w:rFonts w:ascii="Arial" w:hAnsi="Arial" w:cs="Arial"/>
                <w:sz w:val="20"/>
                <w:lang w:val="sl-SI"/>
              </w:rPr>
            </w:pPr>
            <w:r w:rsidRPr="001416B4">
              <w:rPr>
                <w:rFonts w:ascii="Arial" w:hAnsi="Arial" w:cs="Arial"/>
                <w:sz w:val="20"/>
                <w:lang w:val="sl-SI"/>
              </w:rPr>
              <w:t>Zanemarljiv ni ravno dober prevod. Bolje bi bilo</w:t>
            </w:r>
            <w:r w:rsidRPr="00224DB1">
              <w:rPr>
                <w:rFonts w:ascii="Arial" w:hAnsi="Arial" w:cs="Arial"/>
                <w:sz w:val="20"/>
                <w:lang w:val="sl-SI"/>
              </w:rPr>
              <w:t xml:space="preserve">: Vpliv ni znaten v primerjavi z </w:t>
            </w:r>
            <w:r w:rsidRPr="001416B4">
              <w:rPr>
                <w:rFonts w:ascii="Arial" w:hAnsi="Arial" w:cs="Arial"/>
                <w:sz w:val="20"/>
                <w:lang w:val="sl-SI"/>
              </w:rPr>
              <w:t>drugimi viri sevanja«.</w:t>
            </w:r>
          </w:p>
        </w:tc>
        <w:tc>
          <w:tcPr>
            <w:tcW w:w="1843" w:type="dxa"/>
          </w:tcPr>
          <w:p w14:paraId="69878407"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0EE0E819" w14:textId="77777777" w:rsidR="007F3369" w:rsidRPr="00A671ED" w:rsidRDefault="007F3369" w:rsidP="002E7597">
            <w:pPr>
              <w:rPr>
                <w:rFonts w:ascii="Arial" w:hAnsi="Arial" w:cs="Arial"/>
                <w:sz w:val="20"/>
                <w:lang w:val="sl-SI"/>
              </w:rPr>
            </w:pPr>
            <w:r w:rsidRPr="008D3EB4">
              <w:rPr>
                <w:rFonts w:ascii="Arial" w:hAnsi="Arial" w:cs="Arial"/>
                <w:sz w:val="20"/>
                <w:highlight w:val="green"/>
                <w:lang w:val="sl-SI"/>
              </w:rPr>
              <w:t>SPREJETO</w:t>
            </w:r>
          </w:p>
        </w:tc>
      </w:tr>
      <w:tr w:rsidR="007F3369" w:rsidRPr="001416B4" w14:paraId="240C8E9F" w14:textId="77777777" w:rsidTr="002E7597">
        <w:trPr>
          <w:jc w:val="center"/>
        </w:trPr>
        <w:tc>
          <w:tcPr>
            <w:tcW w:w="421" w:type="dxa"/>
            <w:shd w:val="clear" w:color="auto" w:fill="FF33CC"/>
          </w:tcPr>
          <w:p w14:paraId="330E0FD0" w14:textId="77777777" w:rsidR="007F3369" w:rsidRPr="00E72971" w:rsidRDefault="007F3369" w:rsidP="007F3369">
            <w:pPr>
              <w:pStyle w:val="Odstavekseznama"/>
              <w:numPr>
                <w:ilvl w:val="0"/>
                <w:numId w:val="1"/>
              </w:numPr>
              <w:rPr>
                <w:rFonts w:ascii="Arial" w:hAnsi="Arial" w:cs="Arial"/>
                <w:sz w:val="20"/>
                <w:lang w:val="sl-SI"/>
              </w:rPr>
            </w:pPr>
          </w:p>
        </w:tc>
        <w:tc>
          <w:tcPr>
            <w:tcW w:w="850" w:type="dxa"/>
          </w:tcPr>
          <w:p w14:paraId="3D81649F" w14:textId="77777777" w:rsidR="007F3369" w:rsidRDefault="007F3369" w:rsidP="002E7597">
            <w:pPr>
              <w:rPr>
                <w:rFonts w:ascii="Arial" w:hAnsi="Arial" w:cs="Arial"/>
                <w:sz w:val="20"/>
                <w:lang w:val="sl-SI"/>
              </w:rPr>
            </w:pPr>
            <w:r>
              <w:rPr>
                <w:rFonts w:ascii="Arial" w:hAnsi="Arial" w:cs="Arial"/>
                <w:sz w:val="20"/>
                <w:lang w:val="sl-SI"/>
              </w:rPr>
              <w:t>40/48</w:t>
            </w:r>
          </w:p>
        </w:tc>
        <w:tc>
          <w:tcPr>
            <w:tcW w:w="1134" w:type="dxa"/>
          </w:tcPr>
          <w:p w14:paraId="27FDFB3C" w14:textId="77777777" w:rsidR="007F3369" w:rsidRDefault="007F3369" w:rsidP="002E7597">
            <w:pPr>
              <w:rPr>
                <w:rFonts w:ascii="Arial" w:hAnsi="Arial" w:cs="Arial"/>
                <w:sz w:val="20"/>
                <w:lang w:val="sl-SI"/>
              </w:rPr>
            </w:pPr>
            <w:r>
              <w:rPr>
                <w:rFonts w:ascii="Arial" w:hAnsi="Arial" w:cs="Arial"/>
                <w:sz w:val="20"/>
                <w:lang w:val="sl-SI"/>
              </w:rPr>
              <w:t>VF18 Varstvo pred sevanji</w:t>
            </w:r>
          </w:p>
        </w:tc>
        <w:tc>
          <w:tcPr>
            <w:tcW w:w="3402" w:type="dxa"/>
          </w:tcPr>
          <w:p w14:paraId="559BED9C" w14:textId="77777777" w:rsidR="007F3369" w:rsidRPr="00224DB1" w:rsidRDefault="007F3369" w:rsidP="002E7597">
            <w:pPr>
              <w:pStyle w:val="SlogArialObojestranskoPred6pt"/>
              <w:spacing w:before="0"/>
              <w:jc w:val="left"/>
              <w:rPr>
                <w:sz w:val="20"/>
              </w:rPr>
            </w:pPr>
            <w:r w:rsidRPr="00224DB1">
              <w:rPr>
                <w:sz w:val="20"/>
              </w:rPr>
              <w:t>e) ocena doz referenčne skupine prebivalstva zaradi obratovanja objekta vključno z oceno modelov razširjanja radioaktivnih snovi in prenosnih poti.</w:t>
            </w:r>
          </w:p>
        </w:tc>
        <w:tc>
          <w:tcPr>
            <w:tcW w:w="2835" w:type="dxa"/>
          </w:tcPr>
          <w:p w14:paraId="59F75815" w14:textId="77777777" w:rsidR="007F3369" w:rsidRPr="001416B4" w:rsidRDefault="007F3369" w:rsidP="002E7597">
            <w:pPr>
              <w:rPr>
                <w:rFonts w:ascii="Arial" w:hAnsi="Arial" w:cs="Arial"/>
                <w:sz w:val="20"/>
                <w:lang w:val="sl-SI"/>
              </w:rPr>
            </w:pPr>
            <w:r w:rsidRPr="001416B4">
              <w:rPr>
                <w:rFonts w:ascii="Arial" w:hAnsi="Arial" w:cs="Arial"/>
                <w:sz w:val="20"/>
                <w:lang w:val="sl-SI"/>
              </w:rPr>
              <w:t xml:space="preserve">Ta alineja sodi v poglavje 15, saj se tam »pregleduje« monitoring radioaktivnosti in v okviru tega programa se računa doze prebivalstva. V Poglavju Varstvo pred </w:t>
            </w:r>
            <w:r w:rsidRPr="001416B4">
              <w:rPr>
                <w:rFonts w:ascii="Arial" w:hAnsi="Arial" w:cs="Arial"/>
                <w:sz w:val="20"/>
                <w:lang w:val="sl-SI"/>
              </w:rPr>
              <w:lastRenderedPageBreak/>
              <w:t>sevanji, kot ga berem, pa gre bolj za varstvo delavcev.</w:t>
            </w:r>
          </w:p>
        </w:tc>
        <w:tc>
          <w:tcPr>
            <w:tcW w:w="1843" w:type="dxa"/>
          </w:tcPr>
          <w:p w14:paraId="00FAF261"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36311110" w14:textId="77777777" w:rsidR="007F3369" w:rsidRPr="00B41B7A" w:rsidRDefault="007F3369" w:rsidP="002E7597">
            <w:pPr>
              <w:rPr>
                <w:rFonts w:ascii="Arial" w:hAnsi="Arial" w:cs="Arial"/>
                <w:sz w:val="20"/>
                <w:lang w:val="sl-SI"/>
              </w:rPr>
            </w:pPr>
            <w:r>
              <w:rPr>
                <w:rFonts w:ascii="Arial" w:hAnsi="Arial" w:cs="Arial"/>
                <w:sz w:val="20"/>
                <w:lang w:val="sl-SI"/>
              </w:rPr>
              <w:t xml:space="preserve">URSJV je na podlagi sprememb pravilnika JV9 dodal tri nove varnostne vsebine, med drugim tudi VF18 Varstvo pred sevanji. S tem se bodo v VF18 prestavile vse vsebine, ki obravnavajo doze za osebje in tudi prebivalce. </w:t>
            </w:r>
            <w:r w:rsidRPr="00B41B7A">
              <w:rPr>
                <w:rFonts w:ascii="Arial" w:hAnsi="Arial" w:cs="Arial"/>
                <w:sz w:val="20"/>
                <w:lang w:val="sl-SI"/>
              </w:rPr>
              <w:t xml:space="preserve">V </w:t>
            </w:r>
            <w:r>
              <w:rPr>
                <w:rFonts w:ascii="Arial" w:hAnsi="Arial" w:cs="Arial"/>
                <w:sz w:val="20"/>
                <w:lang w:val="sl-SI"/>
              </w:rPr>
              <w:t>V</w:t>
            </w:r>
            <w:r w:rsidRPr="00B41B7A">
              <w:rPr>
                <w:rFonts w:ascii="Arial" w:hAnsi="Arial" w:cs="Arial"/>
                <w:sz w:val="20"/>
                <w:lang w:val="sl-SI"/>
              </w:rPr>
              <w:t xml:space="preserve">F15 </w:t>
            </w:r>
            <w:r>
              <w:rPr>
                <w:rFonts w:ascii="Arial" w:hAnsi="Arial" w:cs="Arial"/>
                <w:sz w:val="20"/>
                <w:lang w:val="sl-SI"/>
              </w:rPr>
              <w:t xml:space="preserve">pa se </w:t>
            </w:r>
            <w:r w:rsidRPr="00B41B7A">
              <w:rPr>
                <w:rFonts w:ascii="Arial" w:hAnsi="Arial" w:cs="Arial"/>
                <w:sz w:val="20"/>
                <w:lang w:val="sl-SI"/>
              </w:rPr>
              <w:t xml:space="preserve">bodo </w:t>
            </w:r>
            <w:r>
              <w:rPr>
                <w:rFonts w:ascii="Arial" w:hAnsi="Arial" w:cs="Arial"/>
                <w:sz w:val="20"/>
                <w:lang w:val="sl-SI"/>
              </w:rPr>
              <w:lastRenderedPageBreak/>
              <w:t xml:space="preserve">obravnavali </w:t>
            </w:r>
            <w:r w:rsidRPr="00B41B7A">
              <w:rPr>
                <w:rFonts w:ascii="Arial" w:hAnsi="Arial" w:cs="Arial"/>
                <w:sz w:val="20"/>
                <w:lang w:val="sl-SI"/>
              </w:rPr>
              <w:t>samo izpusti</w:t>
            </w:r>
            <w:r>
              <w:rPr>
                <w:rFonts w:ascii="Arial" w:hAnsi="Arial" w:cs="Arial"/>
                <w:sz w:val="20"/>
                <w:lang w:val="sl-SI"/>
              </w:rPr>
              <w:t>,</w:t>
            </w:r>
            <w:r w:rsidRPr="00B41B7A">
              <w:rPr>
                <w:rFonts w:ascii="Arial" w:hAnsi="Arial" w:cs="Arial"/>
                <w:sz w:val="20"/>
                <w:lang w:val="sl-SI"/>
              </w:rPr>
              <w:t xml:space="preserve"> </w:t>
            </w:r>
            <w:r>
              <w:rPr>
                <w:rFonts w:ascii="Arial" w:hAnsi="Arial" w:cs="Arial"/>
                <w:sz w:val="20"/>
                <w:lang w:val="sl-SI"/>
              </w:rPr>
              <w:t xml:space="preserve">ki so vhodni podatki za </w:t>
            </w:r>
            <w:r w:rsidRPr="00B41B7A">
              <w:rPr>
                <w:rFonts w:ascii="Arial" w:hAnsi="Arial" w:cs="Arial"/>
                <w:sz w:val="20"/>
                <w:lang w:val="sl-SI"/>
              </w:rPr>
              <w:t xml:space="preserve"> to poglavje.</w:t>
            </w:r>
            <w:r>
              <w:rPr>
                <w:rFonts w:ascii="Arial" w:hAnsi="Arial" w:cs="Arial"/>
                <w:sz w:val="20"/>
                <w:lang w:val="sl-SI"/>
              </w:rPr>
              <w:t xml:space="preserve"> Tako bodo v</w:t>
            </w:r>
            <w:r w:rsidRPr="00B41B7A">
              <w:rPr>
                <w:rFonts w:ascii="Arial" w:hAnsi="Arial" w:cs="Arial"/>
                <w:sz w:val="20"/>
                <w:lang w:val="sl-SI"/>
              </w:rPr>
              <w:t xml:space="preserve">se doze </w:t>
            </w:r>
            <w:r>
              <w:rPr>
                <w:rFonts w:ascii="Arial" w:hAnsi="Arial" w:cs="Arial"/>
                <w:sz w:val="20"/>
                <w:lang w:val="sl-SI"/>
              </w:rPr>
              <w:t xml:space="preserve">obravnavane </w:t>
            </w:r>
            <w:r w:rsidRPr="00B41B7A">
              <w:rPr>
                <w:rFonts w:ascii="Arial" w:hAnsi="Arial" w:cs="Arial"/>
                <w:sz w:val="20"/>
                <w:lang w:val="sl-SI"/>
              </w:rPr>
              <w:t>na enem mestu</w:t>
            </w:r>
            <w:r>
              <w:rPr>
                <w:rFonts w:ascii="Arial" w:hAnsi="Arial" w:cs="Arial"/>
                <w:sz w:val="20"/>
                <w:lang w:val="sl-SI"/>
              </w:rPr>
              <w:t xml:space="preserve"> v VF18.</w:t>
            </w:r>
          </w:p>
          <w:p w14:paraId="13685188" w14:textId="77777777" w:rsidR="007F3369" w:rsidRPr="008D3EB4" w:rsidRDefault="007F3369" w:rsidP="002E7597">
            <w:pPr>
              <w:rPr>
                <w:rFonts w:ascii="Arial" w:hAnsi="Arial" w:cs="Arial"/>
                <w:sz w:val="20"/>
                <w:highlight w:val="green"/>
                <w:lang w:val="sl-SI"/>
              </w:rPr>
            </w:pPr>
            <w:r w:rsidRPr="00BA01EE">
              <w:rPr>
                <w:rFonts w:ascii="Arial" w:hAnsi="Arial" w:cs="Arial"/>
                <w:sz w:val="20"/>
                <w:highlight w:val="magenta"/>
                <w:lang w:val="sl-SI"/>
              </w:rPr>
              <w:t>ZAVRNJENO</w:t>
            </w:r>
          </w:p>
        </w:tc>
      </w:tr>
      <w:tr w:rsidR="007F3369" w:rsidRPr="001416B4" w14:paraId="66503EA8" w14:textId="77777777" w:rsidTr="002E7597">
        <w:trPr>
          <w:jc w:val="center"/>
        </w:trPr>
        <w:tc>
          <w:tcPr>
            <w:tcW w:w="421" w:type="dxa"/>
            <w:shd w:val="clear" w:color="auto" w:fill="FF33CC"/>
          </w:tcPr>
          <w:p w14:paraId="10C836CB" w14:textId="77777777" w:rsidR="007F3369" w:rsidRPr="00E72971" w:rsidRDefault="007F3369" w:rsidP="007F3369">
            <w:pPr>
              <w:pStyle w:val="Odstavekseznama"/>
              <w:numPr>
                <w:ilvl w:val="0"/>
                <w:numId w:val="1"/>
              </w:numPr>
              <w:rPr>
                <w:rFonts w:ascii="Arial" w:hAnsi="Arial" w:cs="Arial"/>
                <w:sz w:val="20"/>
                <w:lang w:val="sl-SI"/>
              </w:rPr>
            </w:pPr>
          </w:p>
        </w:tc>
        <w:tc>
          <w:tcPr>
            <w:tcW w:w="850" w:type="dxa"/>
          </w:tcPr>
          <w:p w14:paraId="6BEAB2BB" w14:textId="77777777" w:rsidR="007F3369" w:rsidRDefault="007F3369" w:rsidP="002E7597">
            <w:pPr>
              <w:rPr>
                <w:rFonts w:ascii="Arial" w:hAnsi="Arial" w:cs="Arial"/>
                <w:sz w:val="20"/>
                <w:lang w:val="sl-SI"/>
              </w:rPr>
            </w:pPr>
            <w:r>
              <w:rPr>
                <w:rFonts w:ascii="Arial" w:hAnsi="Arial" w:cs="Arial"/>
                <w:sz w:val="20"/>
                <w:lang w:val="sl-SI"/>
              </w:rPr>
              <w:t>40/48</w:t>
            </w:r>
          </w:p>
        </w:tc>
        <w:tc>
          <w:tcPr>
            <w:tcW w:w="1134" w:type="dxa"/>
          </w:tcPr>
          <w:p w14:paraId="25D7977D" w14:textId="77777777" w:rsidR="007F3369" w:rsidRDefault="007F3369" w:rsidP="002E7597">
            <w:pPr>
              <w:rPr>
                <w:rFonts w:ascii="Arial" w:hAnsi="Arial" w:cs="Arial"/>
                <w:sz w:val="20"/>
                <w:lang w:val="sl-SI"/>
              </w:rPr>
            </w:pPr>
            <w:r>
              <w:rPr>
                <w:rFonts w:ascii="Arial" w:hAnsi="Arial" w:cs="Arial"/>
                <w:sz w:val="20"/>
                <w:lang w:val="sl-SI"/>
              </w:rPr>
              <w:t>VF18 Varstvo pred sevanji</w:t>
            </w:r>
          </w:p>
        </w:tc>
        <w:tc>
          <w:tcPr>
            <w:tcW w:w="3402" w:type="dxa"/>
          </w:tcPr>
          <w:p w14:paraId="5ADB4B15" w14:textId="77777777" w:rsidR="007F3369" w:rsidRPr="00224DB1" w:rsidRDefault="007F3369" w:rsidP="002E7597">
            <w:pPr>
              <w:pStyle w:val="SlogArialObojestranskoPred6pt"/>
              <w:spacing w:before="0"/>
              <w:jc w:val="left"/>
              <w:rPr>
                <w:sz w:val="20"/>
              </w:rPr>
            </w:pPr>
            <w:r w:rsidRPr="00224DB1">
              <w:rPr>
                <w:sz w:val="20"/>
              </w:rPr>
              <w:t>Potrebno je narediti analizo trendov izpostavljenosti, tako kolektivne kot za posameznike, in sicer za delavce upravljavca objekta, zunanje izvajalce, obiskovalce in prebivalstvo.</w:t>
            </w:r>
          </w:p>
        </w:tc>
        <w:tc>
          <w:tcPr>
            <w:tcW w:w="2835" w:type="dxa"/>
          </w:tcPr>
          <w:p w14:paraId="29DC5912" w14:textId="77777777" w:rsidR="007F3369" w:rsidRPr="001416B4" w:rsidRDefault="007F3369" w:rsidP="002E7597">
            <w:pPr>
              <w:rPr>
                <w:rFonts w:ascii="Arial" w:hAnsi="Arial" w:cs="Arial"/>
                <w:sz w:val="20"/>
                <w:lang w:val="sl-SI"/>
              </w:rPr>
            </w:pPr>
            <w:r w:rsidRPr="001416B4">
              <w:rPr>
                <w:rFonts w:ascii="Arial" w:hAnsi="Arial" w:cs="Arial"/>
                <w:sz w:val="20"/>
                <w:lang w:val="sl-SI"/>
              </w:rPr>
              <w:t>Sodi v poglavje 15.</w:t>
            </w:r>
          </w:p>
        </w:tc>
        <w:tc>
          <w:tcPr>
            <w:tcW w:w="1843" w:type="dxa"/>
          </w:tcPr>
          <w:p w14:paraId="0551C55C"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2D0D0848" w14:textId="77777777" w:rsidR="007F3369" w:rsidRDefault="007F3369" w:rsidP="002E7597">
            <w:pPr>
              <w:rPr>
                <w:rFonts w:ascii="Arial" w:hAnsi="Arial" w:cs="Arial"/>
                <w:sz w:val="20"/>
                <w:highlight w:val="magenta"/>
                <w:lang w:val="sl-SI"/>
              </w:rPr>
            </w:pPr>
            <w:r>
              <w:rPr>
                <w:rFonts w:ascii="Arial" w:hAnsi="Arial" w:cs="Arial"/>
                <w:sz w:val="20"/>
                <w:lang w:val="sl-SI"/>
              </w:rPr>
              <w:t>Glej razlago zgoraj. V</w:t>
            </w:r>
            <w:r w:rsidRPr="00B41B7A">
              <w:rPr>
                <w:rFonts w:ascii="Arial" w:hAnsi="Arial" w:cs="Arial"/>
                <w:sz w:val="20"/>
                <w:lang w:val="sl-SI"/>
              </w:rPr>
              <w:t xml:space="preserve">se doze </w:t>
            </w:r>
            <w:r>
              <w:rPr>
                <w:rFonts w:ascii="Arial" w:hAnsi="Arial" w:cs="Arial"/>
                <w:sz w:val="20"/>
                <w:lang w:val="sl-SI"/>
              </w:rPr>
              <w:t xml:space="preserve">bodo obravnavane </w:t>
            </w:r>
            <w:r w:rsidRPr="00B41B7A">
              <w:rPr>
                <w:rFonts w:ascii="Arial" w:hAnsi="Arial" w:cs="Arial"/>
                <w:sz w:val="20"/>
                <w:lang w:val="sl-SI"/>
              </w:rPr>
              <w:t>na enem mestu</w:t>
            </w:r>
            <w:r>
              <w:rPr>
                <w:rFonts w:ascii="Arial" w:hAnsi="Arial" w:cs="Arial"/>
                <w:sz w:val="20"/>
                <w:lang w:val="sl-SI"/>
              </w:rPr>
              <w:t xml:space="preserve"> v VF18.</w:t>
            </w:r>
          </w:p>
          <w:p w14:paraId="68036BED" w14:textId="77777777" w:rsidR="007F3369" w:rsidRDefault="007F3369" w:rsidP="002E7597">
            <w:pPr>
              <w:rPr>
                <w:rFonts w:ascii="Arial" w:hAnsi="Arial" w:cs="Arial"/>
                <w:sz w:val="20"/>
                <w:highlight w:val="green"/>
                <w:lang w:val="sl-SI"/>
              </w:rPr>
            </w:pPr>
            <w:r w:rsidRPr="00BA01EE">
              <w:rPr>
                <w:rFonts w:ascii="Arial" w:hAnsi="Arial" w:cs="Arial"/>
                <w:sz w:val="20"/>
                <w:highlight w:val="magenta"/>
                <w:lang w:val="sl-SI"/>
              </w:rPr>
              <w:t>ZAVRNJENO</w:t>
            </w:r>
          </w:p>
        </w:tc>
      </w:tr>
      <w:tr w:rsidR="007F3369" w:rsidRPr="001D410B" w14:paraId="58CDF1CD" w14:textId="77777777" w:rsidTr="002E7597">
        <w:trPr>
          <w:jc w:val="center"/>
        </w:trPr>
        <w:tc>
          <w:tcPr>
            <w:tcW w:w="421" w:type="dxa"/>
          </w:tcPr>
          <w:p w14:paraId="3B6F0623"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2D4B48BA" w14:textId="77777777" w:rsidR="007F3369" w:rsidRDefault="007F3369" w:rsidP="002E7597">
            <w:pPr>
              <w:rPr>
                <w:rFonts w:ascii="Arial" w:hAnsi="Arial" w:cs="Arial"/>
                <w:sz w:val="20"/>
                <w:lang w:val="sl-SI"/>
              </w:rPr>
            </w:pPr>
          </w:p>
        </w:tc>
        <w:tc>
          <w:tcPr>
            <w:tcW w:w="1134" w:type="dxa"/>
          </w:tcPr>
          <w:p w14:paraId="3C31E382" w14:textId="77777777" w:rsidR="007F3369" w:rsidRDefault="007F3369" w:rsidP="002E7597">
            <w:pPr>
              <w:rPr>
                <w:rFonts w:ascii="Arial" w:hAnsi="Arial" w:cs="Arial"/>
                <w:sz w:val="20"/>
                <w:lang w:val="sl-SI"/>
              </w:rPr>
            </w:pPr>
            <w:r>
              <w:rPr>
                <w:rFonts w:ascii="Arial" w:hAnsi="Arial" w:cs="Arial"/>
                <w:sz w:val="20"/>
                <w:lang w:val="sl-SI"/>
              </w:rPr>
              <w:t>Splošno</w:t>
            </w:r>
          </w:p>
          <w:p w14:paraId="60F1C732" w14:textId="77777777" w:rsidR="007F3369" w:rsidRDefault="007F3369" w:rsidP="002E7597">
            <w:pPr>
              <w:rPr>
                <w:rFonts w:ascii="Arial" w:hAnsi="Arial" w:cs="Arial"/>
                <w:sz w:val="20"/>
                <w:lang w:val="sl-SI"/>
              </w:rPr>
            </w:pPr>
            <w:r w:rsidRPr="005D795F">
              <w:rPr>
                <w:rFonts w:ascii="Arial" w:hAnsi="Arial" w:cs="Arial"/>
                <w:sz w:val="20"/>
                <w:lang w:val="sl-SI"/>
              </w:rPr>
              <w:t>Str. 7/48</w:t>
            </w:r>
          </w:p>
          <w:p w14:paraId="3673A241" w14:textId="77777777" w:rsidR="007F3369" w:rsidRDefault="007F3369" w:rsidP="002E7597">
            <w:pPr>
              <w:rPr>
                <w:rFonts w:ascii="Arial" w:hAnsi="Arial" w:cs="Arial"/>
                <w:sz w:val="20"/>
                <w:lang w:val="sl-SI"/>
              </w:rPr>
            </w:pPr>
          </w:p>
          <w:p w14:paraId="0D247055" w14:textId="77777777" w:rsidR="007F3369" w:rsidRDefault="007F3369" w:rsidP="002E7597">
            <w:pPr>
              <w:rPr>
                <w:rFonts w:ascii="Arial" w:hAnsi="Arial" w:cs="Arial"/>
                <w:sz w:val="20"/>
                <w:lang w:val="sl-SI"/>
              </w:rPr>
            </w:pPr>
          </w:p>
          <w:p w14:paraId="49F622C1" w14:textId="77777777" w:rsidR="007F3369" w:rsidRDefault="007F3369" w:rsidP="002E7597">
            <w:pPr>
              <w:rPr>
                <w:rFonts w:ascii="Arial" w:hAnsi="Arial" w:cs="Arial"/>
                <w:sz w:val="20"/>
                <w:lang w:val="sl-SI"/>
              </w:rPr>
            </w:pPr>
          </w:p>
          <w:p w14:paraId="02A01099" w14:textId="77777777" w:rsidR="007F3369" w:rsidRDefault="007F3369" w:rsidP="002E7597">
            <w:pPr>
              <w:rPr>
                <w:rFonts w:ascii="Arial" w:hAnsi="Arial" w:cs="Arial"/>
                <w:sz w:val="20"/>
                <w:lang w:val="sl-SI"/>
              </w:rPr>
            </w:pPr>
            <w:r w:rsidRPr="005D795F">
              <w:rPr>
                <w:rFonts w:ascii="Arial" w:hAnsi="Arial" w:cs="Arial"/>
                <w:sz w:val="20"/>
                <w:lang w:val="sl-SI"/>
              </w:rPr>
              <w:t>Str. 9/48</w:t>
            </w:r>
          </w:p>
          <w:p w14:paraId="51A95FD3" w14:textId="77777777" w:rsidR="007F3369" w:rsidRDefault="007F3369" w:rsidP="002E7597">
            <w:pPr>
              <w:rPr>
                <w:rFonts w:ascii="Arial" w:hAnsi="Arial" w:cs="Arial"/>
                <w:sz w:val="20"/>
                <w:lang w:val="sl-SI"/>
              </w:rPr>
            </w:pPr>
          </w:p>
          <w:p w14:paraId="69CDFBDE" w14:textId="77777777" w:rsidR="007F3369" w:rsidRDefault="007F3369" w:rsidP="002E7597">
            <w:pPr>
              <w:rPr>
                <w:rFonts w:ascii="Arial" w:hAnsi="Arial" w:cs="Arial"/>
                <w:sz w:val="20"/>
                <w:lang w:val="sl-SI"/>
              </w:rPr>
            </w:pPr>
          </w:p>
          <w:p w14:paraId="1E4458CE" w14:textId="77777777" w:rsidR="007F3369" w:rsidRDefault="007F3369" w:rsidP="002E7597">
            <w:pPr>
              <w:rPr>
                <w:rFonts w:ascii="Arial" w:hAnsi="Arial" w:cs="Arial"/>
                <w:sz w:val="20"/>
                <w:lang w:val="sl-SI"/>
              </w:rPr>
            </w:pPr>
          </w:p>
          <w:p w14:paraId="3F0F928E" w14:textId="77777777" w:rsidR="007F3369" w:rsidRDefault="007F3369" w:rsidP="002E7597">
            <w:pPr>
              <w:rPr>
                <w:rFonts w:ascii="Arial" w:hAnsi="Arial" w:cs="Arial"/>
                <w:sz w:val="20"/>
                <w:lang w:val="sl-SI"/>
              </w:rPr>
            </w:pPr>
          </w:p>
          <w:p w14:paraId="53762282" w14:textId="77777777" w:rsidR="007F3369" w:rsidRDefault="007F3369" w:rsidP="002E7597">
            <w:pPr>
              <w:rPr>
                <w:rFonts w:ascii="Arial" w:hAnsi="Arial" w:cs="Arial"/>
                <w:sz w:val="20"/>
                <w:lang w:val="sl-SI"/>
              </w:rPr>
            </w:pPr>
            <w:r w:rsidRPr="005D795F">
              <w:rPr>
                <w:rFonts w:ascii="Arial" w:hAnsi="Arial" w:cs="Arial"/>
                <w:sz w:val="20"/>
                <w:lang w:val="sl-SI"/>
              </w:rPr>
              <w:t>Str. 22/48 in 23/48:</w:t>
            </w:r>
          </w:p>
        </w:tc>
        <w:tc>
          <w:tcPr>
            <w:tcW w:w="3402" w:type="dxa"/>
          </w:tcPr>
          <w:p w14:paraId="7616B5A8" w14:textId="77777777" w:rsidR="007F3369" w:rsidRPr="009D6133" w:rsidRDefault="007F3369" w:rsidP="002E7597">
            <w:pPr>
              <w:rPr>
                <w:rFonts w:ascii="Arial" w:hAnsi="Arial" w:cs="Arial"/>
                <w:sz w:val="20"/>
                <w:lang w:val="sl-SI"/>
              </w:rPr>
            </w:pPr>
            <w:r w:rsidRPr="009D6133">
              <w:rPr>
                <w:rFonts w:ascii="Arial" w:hAnsi="Arial" w:cs="Arial"/>
                <w:sz w:val="20"/>
                <w:lang w:val="sl-SI"/>
              </w:rPr>
              <w:t xml:space="preserve">VF1 h) </w:t>
            </w:r>
            <w:bookmarkStart w:id="5" w:name="_Hlk56111708"/>
            <w:r w:rsidRPr="009D6133">
              <w:rPr>
                <w:rFonts w:ascii="Arial" w:hAnsi="Arial" w:cs="Arial"/>
                <w:sz w:val="20"/>
                <w:lang w:val="sl-SI"/>
              </w:rPr>
              <w:t>Pregled strategije za hrambo izrabljenega goriva in izvedba inženirske ocene stanja v skladiščnih objektih, ravnanja z zapisi in veljavnega nadzora.</w:t>
            </w:r>
            <w:bookmarkEnd w:id="5"/>
          </w:p>
          <w:p w14:paraId="6043E577" w14:textId="77777777" w:rsidR="007F3369" w:rsidRPr="009D6133" w:rsidRDefault="007F3369" w:rsidP="002E7597">
            <w:pPr>
              <w:rPr>
                <w:rFonts w:ascii="Arial" w:hAnsi="Arial" w:cs="Arial"/>
                <w:sz w:val="20"/>
                <w:lang w:val="sl-SI"/>
              </w:rPr>
            </w:pPr>
            <w:r w:rsidRPr="009D6133">
              <w:rPr>
                <w:rFonts w:ascii="Arial" w:hAnsi="Arial" w:cs="Arial"/>
                <w:sz w:val="20"/>
                <w:lang w:val="sl-SI"/>
              </w:rPr>
              <w:t xml:space="preserve">VF2 l) </w:t>
            </w:r>
            <w:bookmarkStart w:id="6" w:name="_Hlk56111720"/>
            <w:r w:rsidRPr="009D6133">
              <w:rPr>
                <w:rFonts w:ascii="Arial" w:hAnsi="Arial" w:cs="Arial"/>
                <w:sz w:val="20"/>
                <w:lang w:val="sl-SI"/>
              </w:rPr>
              <w:t>Stanje in obratovanje skladišč za izrabljeno gorivo in njihov učinek na strategijo skladiščenja izrabljenega goriva za objekt;</w:t>
            </w:r>
            <w:bookmarkEnd w:id="6"/>
          </w:p>
          <w:p w14:paraId="27C6F4C0" w14:textId="77777777" w:rsidR="007F3369" w:rsidRPr="009D6133" w:rsidRDefault="007F3369" w:rsidP="002E7597">
            <w:pPr>
              <w:rPr>
                <w:rFonts w:ascii="Arial" w:hAnsi="Arial" w:cs="Arial"/>
                <w:sz w:val="20"/>
                <w:lang w:val="sl-SI"/>
              </w:rPr>
            </w:pPr>
            <w:r w:rsidRPr="009D6133">
              <w:rPr>
                <w:rFonts w:ascii="Arial" w:hAnsi="Arial" w:cs="Arial"/>
                <w:sz w:val="20"/>
                <w:lang w:val="sl-SI"/>
              </w:rPr>
              <w:t>VF8 Obseg:</w:t>
            </w:r>
          </w:p>
          <w:p w14:paraId="16A84085" w14:textId="77777777" w:rsidR="007F3369" w:rsidRPr="005D795F" w:rsidRDefault="007F3369" w:rsidP="002E7597">
            <w:pPr>
              <w:rPr>
                <w:rFonts w:ascii="Arial" w:hAnsi="Arial" w:cs="Arial"/>
                <w:sz w:val="20"/>
                <w:lang w:val="sl-SI"/>
              </w:rPr>
            </w:pPr>
            <w:r w:rsidRPr="009D6133">
              <w:rPr>
                <w:rFonts w:ascii="Arial" w:hAnsi="Arial" w:cs="Arial"/>
                <w:sz w:val="20"/>
                <w:lang w:val="sl-SI"/>
              </w:rPr>
              <w:t>g. Izpostavljenost delavcev in zunanjih izvajalcev;</w:t>
            </w:r>
          </w:p>
          <w:p w14:paraId="4FBFEED4" w14:textId="77777777" w:rsidR="007F3369" w:rsidRPr="001603C6" w:rsidRDefault="007F3369" w:rsidP="002E7597">
            <w:pPr>
              <w:rPr>
                <w:rFonts w:ascii="Arial" w:hAnsi="Arial" w:cs="Arial"/>
                <w:sz w:val="20"/>
                <w:highlight w:val="magenta"/>
                <w:lang w:val="sl-SI"/>
              </w:rPr>
            </w:pPr>
            <w:r w:rsidRPr="001603C6">
              <w:rPr>
                <w:rFonts w:ascii="Arial" w:hAnsi="Arial" w:cs="Arial"/>
                <w:sz w:val="20"/>
                <w:highlight w:val="magenta"/>
                <w:lang w:val="sl-SI"/>
              </w:rPr>
              <w:t>h. Kontaminacijo in nivoje sevanja izven lokacije objekta;</w:t>
            </w:r>
          </w:p>
          <w:p w14:paraId="113A23EB" w14:textId="77777777" w:rsidR="007F3369" w:rsidRPr="005D795F" w:rsidRDefault="007F3369" w:rsidP="002E7597">
            <w:pPr>
              <w:rPr>
                <w:rFonts w:ascii="Arial" w:hAnsi="Arial" w:cs="Arial"/>
                <w:sz w:val="20"/>
                <w:lang w:val="sl-SI"/>
              </w:rPr>
            </w:pPr>
            <w:r w:rsidRPr="001603C6">
              <w:rPr>
                <w:rFonts w:ascii="Arial" w:hAnsi="Arial" w:cs="Arial"/>
                <w:sz w:val="20"/>
                <w:highlight w:val="magenta"/>
                <w:lang w:val="sl-SI"/>
              </w:rPr>
              <w:t>i. Izpuste radioaktivnih snovi v okolje;</w:t>
            </w:r>
          </w:p>
          <w:p w14:paraId="7E80AD3C" w14:textId="77777777" w:rsidR="007F3369" w:rsidRDefault="007F3369" w:rsidP="002E7597">
            <w:pPr>
              <w:rPr>
                <w:rFonts w:ascii="Arial" w:hAnsi="Arial" w:cs="Arial"/>
                <w:sz w:val="20"/>
                <w:lang w:val="sl-SI"/>
              </w:rPr>
            </w:pPr>
            <w:r w:rsidRPr="009D6133">
              <w:rPr>
                <w:rFonts w:ascii="Arial" w:hAnsi="Arial" w:cs="Arial"/>
                <w:sz w:val="20"/>
                <w:lang w:val="sl-SI"/>
              </w:rPr>
              <w:t>j</w:t>
            </w:r>
            <w:bookmarkStart w:id="7" w:name="_Hlk56117769"/>
            <w:r w:rsidRPr="009D6133">
              <w:rPr>
                <w:rFonts w:ascii="Arial" w:hAnsi="Arial" w:cs="Arial"/>
                <w:sz w:val="20"/>
                <w:lang w:val="sl-SI"/>
              </w:rPr>
              <w:t>. Proizvodnjo radioaktivnih odpadkov;</w:t>
            </w:r>
            <w:bookmarkEnd w:id="7"/>
          </w:p>
          <w:p w14:paraId="2982BFD9" w14:textId="77777777" w:rsidR="007F3369" w:rsidRPr="005D795F" w:rsidRDefault="007F3369" w:rsidP="002E7597">
            <w:pPr>
              <w:rPr>
                <w:rFonts w:ascii="Arial" w:hAnsi="Arial" w:cs="Arial"/>
                <w:sz w:val="20"/>
                <w:lang w:val="sl-SI"/>
              </w:rPr>
            </w:pPr>
            <w:r>
              <w:rPr>
                <w:rFonts w:ascii="Arial" w:hAnsi="Arial" w:cs="Arial"/>
                <w:sz w:val="20"/>
                <w:lang w:val="sl-SI"/>
              </w:rPr>
              <w:t xml:space="preserve">VF8 </w:t>
            </w:r>
            <w:r w:rsidRPr="005D795F">
              <w:rPr>
                <w:rFonts w:ascii="Arial" w:hAnsi="Arial" w:cs="Arial"/>
                <w:sz w:val="20"/>
                <w:lang w:val="sl-SI"/>
              </w:rPr>
              <w:t>Metodologija:</w:t>
            </w:r>
          </w:p>
          <w:p w14:paraId="1806B4C9" w14:textId="77777777" w:rsidR="007F3369" w:rsidRPr="005D795F" w:rsidRDefault="007F3369" w:rsidP="002E7597">
            <w:pPr>
              <w:rPr>
                <w:rFonts w:ascii="Arial" w:hAnsi="Arial" w:cs="Arial"/>
                <w:sz w:val="20"/>
                <w:lang w:val="sl-SI"/>
              </w:rPr>
            </w:pPr>
            <w:bookmarkStart w:id="8" w:name="_Hlk56118647"/>
            <w:r w:rsidRPr="001603C6">
              <w:rPr>
                <w:rFonts w:ascii="Arial" w:hAnsi="Arial" w:cs="Arial"/>
                <w:sz w:val="20"/>
                <w:lang w:val="sl-SI"/>
              </w:rPr>
              <w:t xml:space="preserve">- Zapisi o dozah zaradi sevanja </w:t>
            </w:r>
            <w:r w:rsidRPr="001603C6">
              <w:rPr>
                <w:rFonts w:ascii="Arial" w:hAnsi="Arial" w:cs="Arial"/>
                <w:sz w:val="20"/>
                <w:highlight w:val="magenta"/>
                <w:lang w:val="sl-SI"/>
              </w:rPr>
              <w:t>ter o radioaktivnih izpustih</w:t>
            </w:r>
            <w:r w:rsidRPr="001603C6">
              <w:rPr>
                <w:rFonts w:ascii="Arial" w:hAnsi="Arial" w:cs="Arial"/>
                <w:sz w:val="20"/>
                <w:lang w:val="sl-SI"/>
              </w:rPr>
              <w:t>,</w:t>
            </w:r>
          </w:p>
          <w:bookmarkEnd w:id="8"/>
          <w:p w14:paraId="54524B66" w14:textId="77777777" w:rsidR="007F3369" w:rsidRPr="005D795F" w:rsidRDefault="007F3369" w:rsidP="002E7597">
            <w:pPr>
              <w:rPr>
                <w:rFonts w:ascii="Arial" w:hAnsi="Arial" w:cs="Arial"/>
                <w:sz w:val="20"/>
                <w:lang w:val="sl-SI"/>
              </w:rPr>
            </w:pPr>
            <w:r w:rsidRPr="001603C6">
              <w:rPr>
                <w:rFonts w:ascii="Arial" w:hAnsi="Arial" w:cs="Arial"/>
                <w:sz w:val="20"/>
                <w:highlight w:val="magenta"/>
                <w:lang w:val="sl-SI"/>
              </w:rPr>
              <w:t>- Kontaminacija in nivoji sevanja na lokaciji objekta in v okolici lokacije,</w:t>
            </w:r>
          </w:p>
          <w:p w14:paraId="742373B9" w14:textId="77777777" w:rsidR="007F3369" w:rsidRPr="005D795F" w:rsidRDefault="007F3369" w:rsidP="002E7597">
            <w:pPr>
              <w:rPr>
                <w:rFonts w:ascii="Arial" w:hAnsi="Arial" w:cs="Arial"/>
                <w:sz w:val="20"/>
                <w:lang w:val="sl-SI"/>
              </w:rPr>
            </w:pPr>
            <w:r w:rsidRPr="005D795F">
              <w:rPr>
                <w:rFonts w:ascii="Arial" w:hAnsi="Arial" w:cs="Arial"/>
                <w:sz w:val="20"/>
                <w:lang w:val="sl-SI"/>
              </w:rPr>
              <w:t>-</w:t>
            </w:r>
            <w:r>
              <w:rPr>
                <w:rFonts w:ascii="Arial" w:hAnsi="Arial" w:cs="Arial"/>
                <w:sz w:val="20"/>
                <w:lang w:val="sl-SI"/>
              </w:rPr>
              <w:t xml:space="preserve"> </w:t>
            </w:r>
            <w:r w:rsidRPr="005D795F">
              <w:rPr>
                <w:rFonts w:ascii="Arial" w:hAnsi="Arial" w:cs="Arial"/>
                <w:sz w:val="20"/>
                <w:lang w:val="sl-SI"/>
              </w:rPr>
              <w:t>Kopičenje radioaktivnih odpadkov,</w:t>
            </w:r>
          </w:p>
        </w:tc>
        <w:tc>
          <w:tcPr>
            <w:tcW w:w="2835" w:type="dxa"/>
          </w:tcPr>
          <w:p w14:paraId="0F1B8116" w14:textId="77777777" w:rsidR="007F3369" w:rsidRPr="00E72971" w:rsidRDefault="007F3369" w:rsidP="002E7597">
            <w:pPr>
              <w:rPr>
                <w:rFonts w:ascii="Arial" w:hAnsi="Arial" w:cs="Arial"/>
                <w:sz w:val="20"/>
                <w:lang w:val="sl-SI"/>
              </w:rPr>
            </w:pPr>
            <w:r w:rsidRPr="004077BA">
              <w:rPr>
                <w:rFonts w:ascii="Arial" w:hAnsi="Arial" w:cs="Arial"/>
                <w:sz w:val="20"/>
                <w:lang w:val="sl-SI"/>
              </w:rPr>
              <w:t>Obseg za VF16 (Radioaktivni odpadki in izrabljeno jedrsko gorivo) in VF18 (Varstvo pred sevanji) je v IAEA SSG-25 obravnavan v sklopu VF1, VF2 in VF8. Skladno s tem, potrebno je del zahtevanega obsega in metodologije iz VF1, VF2 in VF8 odstraniti.</w:t>
            </w:r>
          </w:p>
        </w:tc>
        <w:tc>
          <w:tcPr>
            <w:tcW w:w="1843" w:type="dxa"/>
          </w:tcPr>
          <w:p w14:paraId="2D33ECA7" w14:textId="77777777" w:rsidR="007F3369" w:rsidRDefault="007F3369" w:rsidP="002E7597">
            <w:pPr>
              <w:rPr>
                <w:rFonts w:ascii="Arial" w:hAnsi="Arial" w:cs="Arial"/>
                <w:sz w:val="20"/>
                <w:lang w:val="sl-SI"/>
              </w:rPr>
            </w:pPr>
            <w:r>
              <w:rPr>
                <w:rFonts w:ascii="Arial" w:hAnsi="Arial" w:cs="Arial"/>
                <w:sz w:val="20"/>
                <w:lang w:val="sl-SI"/>
              </w:rPr>
              <w:t>VF8</w:t>
            </w:r>
          </w:p>
          <w:p w14:paraId="3C0A9D55" w14:textId="77777777" w:rsidR="007F3369" w:rsidRPr="005D795F" w:rsidRDefault="007F3369" w:rsidP="002E7597">
            <w:pPr>
              <w:rPr>
                <w:rFonts w:ascii="Arial" w:hAnsi="Arial" w:cs="Arial"/>
                <w:sz w:val="20"/>
                <w:lang w:val="sl-SI"/>
              </w:rPr>
            </w:pPr>
            <w:r w:rsidRPr="005D795F">
              <w:rPr>
                <w:rFonts w:ascii="Arial" w:hAnsi="Arial" w:cs="Arial"/>
                <w:sz w:val="20"/>
                <w:lang w:val="sl-SI"/>
              </w:rPr>
              <w:t>h.</w:t>
            </w:r>
            <w:r>
              <w:rPr>
                <w:rFonts w:ascii="Arial" w:hAnsi="Arial" w:cs="Arial"/>
                <w:sz w:val="20"/>
                <w:lang w:val="sl-SI"/>
              </w:rPr>
              <w:t xml:space="preserve"> </w:t>
            </w:r>
            <w:r w:rsidRPr="005D795F">
              <w:rPr>
                <w:rFonts w:ascii="Arial" w:hAnsi="Arial" w:cs="Arial"/>
                <w:sz w:val="20"/>
                <w:lang w:val="sl-SI"/>
              </w:rPr>
              <w:t>Kontaminacijo in nivoje sevanja izven lokacije objekta;</w:t>
            </w:r>
          </w:p>
          <w:p w14:paraId="7E429779" w14:textId="77777777" w:rsidR="007F3369" w:rsidRPr="005D795F" w:rsidRDefault="007F3369" w:rsidP="002E7597">
            <w:pPr>
              <w:rPr>
                <w:rFonts w:ascii="Arial" w:hAnsi="Arial" w:cs="Arial"/>
                <w:sz w:val="20"/>
                <w:lang w:val="sl-SI"/>
              </w:rPr>
            </w:pPr>
            <w:r w:rsidRPr="005D795F">
              <w:rPr>
                <w:rFonts w:ascii="Arial" w:hAnsi="Arial" w:cs="Arial"/>
                <w:sz w:val="20"/>
                <w:lang w:val="sl-SI"/>
              </w:rPr>
              <w:t>i.</w:t>
            </w:r>
            <w:r>
              <w:rPr>
                <w:rFonts w:ascii="Arial" w:hAnsi="Arial" w:cs="Arial"/>
                <w:sz w:val="20"/>
                <w:lang w:val="sl-SI"/>
              </w:rPr>
              <w:t xml:space="preserve"> </w:t>
            </w:r>
            <w:r w:rsidRPr="005D795F">
              <w:rPr>
                <w:rFonts w:ascii="Arial" w:hAnsi="Arial" w:cs="Arial"/>
                <w:sz w:val="20"/>
                <w:lang w:val="sl-SI"/>
              </w:rPr>
              <w:t>Izpuste radioaktivnih snovi v okolje;</w:t>
            </w:r>
          </w:p>
          <w:p w14:paraId="5BB9F5BD" w14:textId="77777777" w:rsidR="007F3369" w:rsidRDefault="007F3369" w:rsidP="002E7597">
            <w:pPr>
              <w:rPr>
                <w:rFonts w:ascii="Arial" w:hAnsi="Arial" w:cs="Arial"/>
                <w:sz w:val="20"/>
                <w:lang w:val="sl-SI"/>
              </w:rPr>
            </w:pPr>
          </w:p>
          <w:p w14:paraId="08154C60" w14:textId="77777777" w:rsidR="007F3369" w:rsidRDefault="007F3369" w:rsidP="002E7597">
            <w:pPr>
              <w:rPr>
                <w:rFonts w:ascii="Arial" w:hAnsi="Arial" w:cs="Arial"/>
                <w:sz w:val="20"/>
                <w:lang w:val="sl-SI"/>
              </w:rPr>
            </w:pPr>
            <w:r>
              <w:rPr>
                <w:rFonts w:ascii="Arial" w:hAnsi="Arial" w:cs="Arial"/>
                <w:sz w:val="20"/>
                <w:lang w:val="sl-SI"/>
              </w:rPr>
              <w:t>Čeprav se te točke nanašajo na VF15, pa se ne prestavijo iz VF8 v VF15, saj to ni nova varnostna vsebina. Tudi v IAEA SSG-25 je vključeno v VF8 in VF15. Različni VF se lahko med seboj delno prekrivajo. Tako je bilo tudi v PSR2.</w:t>
            </w:r>
          </w:p>
        </w:tc>
        <w:tc>
          <w:tcPr>
            <w:tcW w:w="3685" w:type="dxa"/>
            <w:shd w:val="clear" w:color="auto" w:fill="DBE5F1" w:themeFill="accent1" w:themeFillTint="33"/>
          </w:tcPr>
          <w:p w14:paraId="341FA3E4" w14:textId="77777777" w:rsidR="007F3369" w:rsidRPr="008912F0" w:rsidRDefault="007F3369" w:rsidP="002E7597">
            <w:pPr>
              <w:rPr>
                <w:rFonts w:ascii="Arial" w:hAnsi="Arial" w:cs="Arial"/>
                <w:sz w:val="20"/>
                <w:lang w:val="sl-SI"/>
              </w:rPr>
            </w:pPr>
            <w:bookmarkStart w:id="9" w:name="_Hlk56120391"/>
            <w:r>
              <w:rPr>
                <w:rFonts w:ascii="Arial" w:hAnsi="Arial" w:cs="Arial"/>
                <w:sz w:val="20"/>
                <w:lang w:val="sl-SI"/>
              </w:rPr>
              <w:t>Vsebine prestavljene iz VF1, VF2 in VF8 v VF 16 oz. VF18.</w:t>
            </w:r>
          </w:p>
          <w:p w14:paraId="3CDF3154" w14:textId="77777777" w:rsidR="007F3369" w:rsidRDefault="007F3369" w:rsidP="002E7597">
            <w:pPr>
              <w:rPr>
                <w:rFonts w:ascii="Arial" w:hAnsi="Arial" w:cs="Arial"/>
                <w:sz w:val="20"/>
                <w:highlight w:val="green"/>
                <w:lang w:val="sl-SI"/>
              </w:rPr>
            </w:pPr>
            <w:r w:rsidRPr="008D3EB4">
              <w:rPr>
                <w:rFonts w:ascii="Arial" w:hAnsi="Arial" w:cs="Arial"/>
                <w:sz w:val="20"/>
                <w:highlight w:val="green"/>
                <w:lang w:val="sl-SI"/>
              </w:rPr>
              <w:t>SPREJETO</w:t>
            </w:r>
            <w:r>
              <w:rPr>
                <w:rFonts w:ascii="Arial" w:hAnsi="Arial" w:cs="Arial"/>
                <w:sz w:val="20"/>
                <w:highlight w:val="green"/>
                <w:lang w:val="sl-SI"/>
              </w:rPr>
              <w:t>. USKLADITI V VF16</w:t>
            </w:r>
          </w:p>
          <w:p w14:paraId="597432A4" w14:textId="77777777" w:rsidR="007F3369" w:rsidRDefault="007F3369" w:rsidP="002E7597">
            <w:pPr>
              <w:rPr>
                <w:rFonts w:ascii="Arial" w:hAnsi="Arial" w:cs="Arial"/>
                <w:sz w:val="20"/>
                <w:lang w:val="sl-SI"/>
              </w:rPr>
            </w:pPr>
          </w:p>
          <w:p w14:paraId="59C79039" w14:textId="77777777" w:rsidR="007F3369" w:rsidRPr="008912F0" w:rsidRDefault="007F3369" w:rsidP="002E7597">
            <w:pPr>
              <w:rPr>
                <w:rFonts w:ascii="Arial" w:hAnsi="Arial" w:cs="Arial"/>
                <w:sz w:val="20"/>
                <w:lang w:val="sl-SI"/>
              </w:rPr>
            </w:pPr>
            <w:r w:rsidRPr="008912F0">
              <w:rPr>
                <w:rFonts w:ascii="Arial" w:hAnsi="Arial" w:cs="Arial"/>
                <w:sz w:val="20"/>
                <w:lang w:val="sl-SI"/>
              </w:rPr>
              <w:t>Vsebine iz VF8</w:t>
            </w:r>
            <w:r>
              <w:rPr>
                <w:rFonts w:ascii="Arial" w:hAnsi="Arial" w:cs="Arial"/>
                <w:sz w:val="20"/>
                <w:lang w:val="sl-SI"/>
              </w:rPr>
              <w:t>, ki so že v</w:t>
            </w:r>
            <w:r w:rsidRPr="008912F0">
              <w:rPr>
                <w:rFonts w:ascii="Arial" w:hAnsi="Arial" w:cs="Arial"/>
                <w:sz w:val="20"/>
                <w:lang w:val="sl-SI"/>
              </w:rPr>
              <w:t xml:space="preserve"> </w:t>
            </w:r>
            <w:r>
              <w:rPr>
                <w:rFonts w:ascii="Arial" w:hAnsi="Arial" w:cs="Arial"/>
                <w:sz w:val="20"/>
                <w:lang w:val="sl-SI"/>
              </w:rPr>
              <w:t xml:space="preserve">VF16 in </w:t>
            </w:r>
            <w:r w:rsidRPr="008912F0">
              <w:rPr>
                <w:rFonts w:ascii="Arial" w:hAnsi="Arial" w:cs="Arial"/>
                <w:sz w:val="20"/>
                <w:lang w:val="sl-SI"/>
              </w:rPr>
              <w:t>VF1</w:t>
            </w:r>
            <w:r>
              <w:rPr>
                <w:rFonts w:ascii="Arial" w:hAnsi="Arial" w:cs="Arial"/>
                <w:sz w:val="20"/>
                <w:lang w:val="sl-SI"/>
              </w:rPr>
              <w:t>8, se odstranijo iz VF8</w:t>
            </w:r>
            <w:r w:rsidRPr="008912F0">
              <w:rPr>
                <w:rFonts w:ascii="Arial" w:hAnsi="Arial" w:cs="Arial"/>
                <w:sz w:val="20"/>
                <w:lang w:val="sl-SI"/>
              </w:rPr>
              <w:t>.</w:t>
            </w:r>
          </w:p>
          <w:p w14:paraId="57F4C1F5" w14:textId="77777777" w:rsidR="007F3369" w:rsidRDefault="007F3369" w:rsidP="002E7597">
            <w:pPr>
              <w:rPr>
                <w:rFonts w:ascii="Arial" w:hAnsi="Arial" w:cs="Arial"/>
                <w:sz w:val="20"/>
                <w:highlight w:val="green"/>
                <w:lang w:val="sl-SI"/>
              </w:rPr>
            </w:pPr>
            <w:r>
              <w:rPr>
                <w:rFonts w:ascii="Arial" w:hAnsi="Arial" w:cs="Arial"/>
                <w:sz w:val="20"/>
                <w:highlight w:val="green"/>
                <w:lang w:val="sl-SI"/>
              </w:rPr>
              <w:t>IZBRISANO</w:t>
            </w:r>
          </w:p>
          <w:bookmarkEnd w:id="9"/>
          <w:p w14:paraId="63C1B961" w14:textId="77777777" w:rsidR="007F3369" w:rsidRDefault="007F3369" w:rsidP="002E7597">
            <w:pPr>
              <w:rPr>
                <w:rFonts w:ascii="Arial" w:hAnsi="Arial" w:cs="Arial"/>
                <w:sz w:val="20"/>
                <w:highlight w:val="green"/>
                <w:lang w:val="sl-SI"/>
              </w:rPr>
            </w:pPr>
          </w:p>
          <w:p w14:paraId="19F1B53A" w14:textId="77777777" w:rsidR="007F3369" w:rsidRPr="008912F0" w:rsidRDefault="007F3369" w:rsidP="002E7597">
            <w:pPr>
              <w:rPr>
                <w:rFonts w:ascii="Arial" w:hAnsi="Arial" w:cs="Arial"/>
                <w:sz w:val="20"/>
                <w:lang w:val="sl-SI"/>
              </w:rPr>
            </w:pPr>
            <w:r w:rsidRPr="008912F0">
              <w:rPr>
                <w:rFonts w:ascii="Arial" w:hAnsi="Arial" w:cs="Arial"/>
                <w:sz w:val="20"/>
                <w:lang w:val="sl-SI"/>
              </w:rPr>
              <w:t>Vsebine iz VF8 se ne prestavijo v VF15.</w:t>
            </w:r>
            <w:r>
              <w:rPr>
                <w:rFonts w:ascii="Arial" w:hAnsi="Arial" w:cs="Arial"/>
                <w:sz w:val="20"/>
                <w:lang w:val="sl-SI"/>
              </w:rPr>
              <w:t xml:space="preserve"> </w:t>
            </w:r>
            <w:r w:rsidRPr="008461F5">
              <w:rPr>
                <w:rFonts w:ascii="Arial" w:hAnsi="Arial" w:cs="Arial"/>
                <w:sz w:val="20"/>
                <w:lang w:val="sl-SI"/>
              </w:rPr>
              <w:t>Čeprav se te točke nanašajo na VF15, pa se ne prestavijo iz VF8 v VF15, saj to ni nov</w:t>
            </w:r>
            <w:r>
              <w:rPr>
                <w:rFonts w:ascii="Arial" w:hAnsi="Arial" w:cs="Arial"/>
                <w:sz w:val="20"/>
                <w:lang w:val="sl-SI"/>
              </w:rPr>
              <w:t>o uvedena</w:t>
            </w:r>
            <w:r w:rsidRPr="008461F5">
              <w:rPr>
                <w:rFonts w:ascii="Arial" w:hAnsi="Arial" w:cs="Arial"/>
                <w:sz w:val="20"/>
                <w:lang w:val="sl-SI"/>
              </w:rPr>
              <w:t xml:space="preserve"> varnostna vsebina</w:t>
            </w:r>
            <w:r>
              <w:rPr>
                <w:rFonts w:ascii="Arial" w:hAnsi="Arial" w:cs="Arial"/>
                <w:sz w:val="20"/>
                <w:lang w:val="sl-SI"/>
              </w:rPr>
              <w:t xml:space="preserve"> in jo SSG-25 določa v takem obsegu, zato se ne upošteva.</w:t>
            </w:r>
          </w:p>
          <w:p w14:paraId="68C236A1" w14:textId="77777777" w:rsidR="007F3369" w:rsidRDefault="007F3369" w:rsidP="002E7597">
            <w:pPr>
              <w:rPr>
                <w:rFonts w:ascii="Arial" w:hAnsi="Arial" w:cs="Arial"/>
                <w:sz w:val="20"/>
                <w:lang w:val="sl-SI"/>
              </w:rPr>
            </w:pPr>
            <w:r>
              <w:rPr>
                <w:rFonts w:ascii="Arial" w:hAnsi="Arial" w:cs="Arial"/>
                <w:sz w:val="20"/>
                <w:highlight w:val="magenta"/>
                <w:lang w:val="sl-SI"/>
              </w:rPr>
              <w:t>ZAVRNJENO</w:t>
            </w:r>
          </w:p>
          <w:p w14:paraId="7DB6A00B" w14:textId="77777777" w:rsidR="007F3369" w:rsidRDefault="007F3369" w:rsidP="002E7597">
            <w:pPr>
              <w:rPr>
                <w:rFonts w:ascii="Arial" w:hAnsi="Arial" w:cs="Arial"/>
                <w:sz w:val="20"/>
                <w:highlight w:val="green"/>
                <w:lang w:val="sl-SI"/>
              </w:rPr>
            </w:pPr>
          </w:p>
          <w:p w14:paraId="6226B2DD" w14:textId="77777777" w:rsidR="007F3369" w:rsidRDefault="007F3369" w:rsidP="002E7597">
            <w:pPr>
              <w:rPr>
                <w:rFonts w:ascii="Arial" w:hAnsi="Arial" w:cs="Arial"/>
                <w:sz w:val="20"/>
                <w:highlight w:val="green"/>
                <w:lang w:val="sl-SI"/>
              </w:rPr>
            </w:pPr>
          </w:p>
          <w:p w14:paraId="01A8C5A5" w14:textId="77777777" w:rsidR="007F3369" w:rsidRDefault="007F3369" w:rsidP="002E7597">
            <w:pPr>
              <w:rPr>
                <w:rFonts w:ascii="Arial" w:hAnsi="Arial" w:cs="Arial"/>
                <w:sz w:val="20"/>
                <w:highlight w:val="green"/>
                <w:lang w:val="sl-SI"/>
              </w:rPr>
            </w:pPr>
          </w:p>
          <w:p w14:paraId="42B2F9FF" w14:textId="77777777" w:rsidR="007F3369" w:rsidRPr="00EB1950" w:rsidRDefault="007F3369" w:rsidP="002E7597">
            <w:pPr>
              <w:rPr>
                <w:rFonts w:ascii="Arial" w:hAnsi="Arial" w:cs="Arial"/>
                <w:b/>
                <w:sz w:val="20"/>
                <w:lang w:val="sl-SI"/>
              </w:rPr>
            </w:pPr>
            <w:r w:rsidRPr="00EB1950">
              <w:rPr>
                <w:rFonts w:ascii="Arial" w:hAnsi="Arial" w:cs="Arial"/>
                <w:b/>
                <w:sz w:val="20"/>
                <w:lang w:val="sl-SI"/>
              </w:rPr>
              <w:t>OPOMBA:</w:t>
            </w:r>
          </w:p>
          <w:p w14:paraId="672D882C" w14:textId="77777777" w:rsidR="007F3369" w:rsidRPr="00D032FF" w:rsidRDefault="007F3369" w:rsidP="002E7597">
            <w:pPr>
              <w:rPr>
                <w:rFonts w:ascii="Arial" w:hAnsi="Arial" w:cs="Arial"/>
                <w:i/>
                <w:sz w:val="20"/>
                <w:highlight w:val="green"/>
                <w:lang w:val="sl-SI"/>
              </w:rPr>
            </w:pPr>
            <w:r w:rsidRPr="00D032FF">
              <w:rPr>
                <w:rFonts w:ascii="Arial" w:hAnsi="Arial" w:cs="Arial"/>
                <w:i/>
                <w:sz w:val="20"/>
                <w:lang w:val="sl-SI"/>
              </w:rPr>
              <w:t xml:space="preserve">Kar je v četrtem stolpcu pobarvano v </w:t>
            </w:r>
            <w:r w:rsidRPr="00D032FF">
              <w:rPr>
                <w:rFonts w:ascii="Arial" w:hAnsi="Arial" w:cs="Arial"/>
                <w:i/>
                <w:sz w:val="20"/>
                <w:highlight w:val="magenta"/>
                <w:lang w:val="sl-SI"/>
              </w:rPr>
              <w:t>vijolično</w:t>
            </w:r>
            <w:r w:rsidRPr="00D032FF">
              <w:rPr>
                <w:rFonts w:ascii="Arial" w:hAnsi="Arial" w:cs="Arial"/>
                <w:i/>
                <w:sz w:val="20"/>
                <w:lang w:val="sl-SI"/>
              </w:rPr>
              <w:t>, se ohrani v PS 1.01 in se ne prenese v VF15.</w:t>
            </w:r>
          </w:p>
        </w:tc>
      </w:tr>
      <w:tr w:rsidR="007F3369" w:rsidRPr="00A663D5" w14:paraId="2A0513CB" w14:textId="77777777" w:rsidTr="002E7597">
        <w:trPr>
          <w:jc w:val="center"/>
        </w:trPr>
        <w:tc>
          <w:tcPr>
            <w:tcW w:w="421" w:type="dxa"/>
            <w:shd w:val="clear" w:color="auto" w:fill="00FF00"/>
          </w:tcPr>
          <w:p w14:paraId="6FC21BF0"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04B6B78F" w14:textId="77777777" w:rsidR="007F3369" w:rsidRDefault="007F3369" w:rsidP="002E7597">
            <w:pPr>
              <w:rPr>
                <w:rFonts w:ascii="Arial" w:hAnsi="Arial" w:cs="Arial"/>
                <w:sz w:val="20"/>
                <w:lang w:val="sl-SI"/>
              </w:rPr>
            </w:pPr>
          </w:p>
        </w:tc>
        <w:tc>
          <w:tcPr>
            <w:tcW w:w="1134" w:type="dxa"/>
          </w:tcPr>
          <w:p w14:paraId="70AC95AE" w14:textId="77777777" w:rsidR="007F3369" w:rsidRDefault="007F3369" w:rsidP="002E7597">
            <w:pPr>
              <w:rPr>
                <w:rFonts w:ascii="Arial" w:hAnsi="Arial" w:cs="Arial"/>
                <w:sz w:val="20"/>
                <w:lang w:val="sl-SI"/>
              </w:rPr>
            </w:pPr>
            <w:r>
              <w:rPr>
                <w:rFonts w:ascii="Arial" w:hAnsi="Arial" w:cs="Arial"/>
                <w:sz w:val="20"/>
                <w:lang w:val="sl-SI"/>
              </w:rPr>
              <w:t>Splošno</w:t>
            </w:r>
          </w:p>
          <w:p w14:paraId="27F71EE9" w14:textId="77777777" w:rsidR="007F3369" w:rsidRDefault="007F3369" w:rsidP="002E7597">
            <w:pPr>
              <w:rPr>
                <w:rFonts w:ascii="Arial" w:hAnsi="Arial" w:cs="Arial"/>
                <w:sz w:val="20"/>
                <w:lang w:val="sl-SI"/>
              </w:rPr>
            </w:pPr>
            <w:r>
              <w:rPr>
                <w:rFonts w:ascii="Arial" w:hAnsi="Arial" w:cs="Arial"/>
                <w:sz w:val="20"/>
                <w:lang w:val="sl-SI"/>
              </w:rPr>
              <w:t>VF12</w:t>
            </w:r>
          </w:p>
        </w:tc>
        <w:tc>
          <w:tcPr>
            <w:tcW w:w="3402" w:type="dxa"/>
          </w:tcPr>
          <w:p w14:paraId="4E699D4C" w14:textId="77777777" w:rsidR="007F3369" w:rsidRPr="00A95816" w:rsidRDefault="007F3369" w:rsidP="002E7597">
            <w:pPr>
              <w:pStyle w:val="SlogArialObojestranskoPred6pt"/>
              <w:spacing w:before="0"/>
              <w:jc w:val="left"/>
              <w:rPr>
                <w:sz w:val="20"/>
              </w:rPr>
            </w:pPr>
          </w:p>
        </w:tc>
        <w:tc>
          <w:tcPr>
            <w:tcW w:w="2835" w:type="dxa"/>
          </w:tcPr>
          <w:p w14:paraId="44C43F7B" w14:textId="77777777" w:rsidR="007F3369" w:rsidRPr="00E72971" w:rsidRDefault="007F3369" w:rsidP="002E7597">
            <w:pPr>
              <w:rPr>
                <w:rFonts w:ascii="Arial" w:hAnsi="Arial" w:cs="Arial"/>
                <w:sz w:val="20"/>
                <w:lang w:val="sl-SI"/>
              </w:rPr>
            </w:pPr>
            <w:r w:rsidRPr="005D795F">
              <w:rPr>
                <w:rFonts w:ascii="Arial" w:hAnsi="Arial" w:cs="Arial"/>
                <w:sz w:val="20"/>
                <w:lang w:val="sl-SI"/>
              </w:rPr>
              <w:t>Postopki vezani za VF16 in VF18, ki se obravnavajo v sklopu VF12, se lahko obravnavajo v sklopu obsega VF</w:t>
            </w:r>
            <w:r>
              <w:rPr>
                <w:rFonts w:ascii="Arial" w:hAnsi="Arial" w:cs="Arial"/>
                <w:sz w:val="20"/>
                <w:lang w:val="sl-SI"/>
              </w:rPr>
              <w:t>1</w:t>
            </w:r>
            <w:r w:rsidRPr="005D795F">
              <w:rPr>
                <w:rFonts w:ascii="Arial" w:hAnsi="Arial" w:cs="Arial"/>
                <w:sz w:val="20"/>
                <w:lang w:val="sl-SI"/>
              </w:rPr>
              <w:t>6 in VF18</w:t>
            </w:r>
          </w:p>
        </w:tc>
        <w:tc>
          <w:tcPr>
            <w:tcW w:w="1843" w:type="dxa"/>
          </w:tcPr>
          <w:p w14:paraId="37C4277A" w14:textId="77777777" w:rsidR="007F3369" w:rsidRDefault="007F3369" w:rsidP="002E7597">
            <w:pPr>
              <w:pStyle w:val="SlogArialObojestranskoPred6pt"/>
              <w:spacing w:before="0"/>
              <w:jc w:val="left"/>
              <w:rPr>
                <w:sz w:val="20"/>
              </w:rPr>
            </w:pPr>
            <w:r>
              <w:rPr>
                <w:sz w:val="20"/>
              </w:rPr>
              <w:t xml:space="preserve">- </w:t>
            </w:r>
            <w:r w:rsidRPr="00944752">
              <w:rPr>
                <w:sz w:val="20"/>
              </w:rPr>
              <w:t>Postopki za varstvo pred sevanji</w:t>
            </w:r>
          </w:p>
          <w:p w14:paraId="7B2B4C55" w14:textId="77777777" w:rsidR="007F3369" w:rsidRPr="00944752" w:rsidRDefault="007F3369" w:rsidP="002E7597">
            <w:pPr>
              <w:pStyle w:val="SlogArialObojestranskoPred6pt"/>
              <w:spacing w:before="0"/>
              <w:jc w:val="left"/>
              <w:rPr>
                <w:sz w:val="20"/>
              </w:rPr>
            </w:pPr>
            <w:r>
              <w:rPr>
                <w:sz w:val="20"/>
              </w:rPr>
              <w:t>-</w:t>
            </w:r>
            <w:r w:rsidRPr="00944752">
              <w:rPr>
                <w:sz w:val="20"/>
              </w:rPr>
              <w:t xml:space="preserve"> </w:t>
            </w:r>
            <w:bookmarkStart w:id="10" w:name="_Hlk56119684"/>
            <w:r>
              <w:rPr>
                <w:sz w:val="20"/>
              </w:rPr>
              <w:t>P</w:t>
            </w:r>
            <w:r w:rsidRPr="00944752">
              <w:rPr>
                <w:sz w:val="20"/>
              </w:rPr>
              <w:t>ostopki za prevoz radioaktivnih snovi na lokaciji</w:t>
            </w:r>
            <w:bookmarkEnd w:id="10"/>
            <w:r w:rsidRPr="00944752">
              <w:rPr>
                <w:sz w:val="20"/>
              </w:rPr>
              <w:t>;</w:t>
            </w:r>
          </w:p>
          <w:p w14:paraId="471C50FD" w14:textId="77777777" w:rsidR="007F3369" w:rsidRDefault="007F3369" w:rsidP="002E7597">
            <w:pPr>
              <w:rPr>
                <w:rFonts w:ascii="Arial" w:hAnsi="Arial" w:cs="Arial"/>
                <w:sz w:val="20"/>
                <w:lang w:val="sl-SI"/>
              </w:rPr>
            </w:pPr>
            <w:r w:rsidRPr="00944752">
              <w:rPr>
                <w:rFonts w:ascii="Arial" w:hAnsi="Arial"/>
                <w:sz w:val="20"/>
                <w:lang w:val="sl-SI" w:eastAsia="en-US"/>
              </w:rPr>
              <w:t xml:space="preserve">- Postopki </w:t>
            </w:r>
            <w:bookmarkStart w:id="11" w:name="_Hlk56119667"/>
            <w:r w:rsidRPr="00944752">
              <w:rPr>
                <w:rFonts w:ascii="Arial" w:hAnsi="Arial"/>
                <w:sz w:val="20"/>
                <w:lang w:val="sl-SI" w:eastAsia="en-US"/>
              </w:rPr>
              <w:t>za upravljanje z odpadki</w:t>
            </w:r>
            <w:bookmarkEnd w:id="11"/>
            <w:r w:rsidRPr="00944752">
              <w:rPr>
                <w:rFonts w:ascii="Arial" w:hAnsi="Arial"/>
                <w:sz w:val="20"/>
                <w:lang w:val="sl-SI" w:eastAsia="en-US"/>
              </w:rPr>
              <w:t>.</w:t>
            </w:r>
          </w:p>
        </w:tc>
        <w:tc>
          <w:tcPr>
            <w:tcW w:w="3685" w:type="dxa"/>
            <w:shd w:val="clear" w:color="auto" w:fill="DBE5F1" w:themeFill="accent1" w:themeFillTint="33"/>
          </w:tcPr>
          <w:p w14:paraId="245BDA58" w14:textId="77777777" w:rsidR="007F3369" w:rsidRPr="008912F0" w:rsidRDefault="007F3369" w:rsidP="002E7597">
            <w:pPr>
              <w:rPr>
                <w:rFonts w:ascii="Arial" w:hAnsi="Arial" w:cs="Arial"/>
                <w:sz w:val="20"/>
                <w:lang w:val="sl-SI"/>
              </w:rPr>
            </w:pPr>
            <w:r>
              <w:rPr>
                <w:rFonts w:ascii="Arial" w:hAnsi="Arial" w:cs="Arial"/>
                <w:sz w:val="20"/>
                <w:lang w:val="sl-SI"/>
              </w:rPr>
              <w:t>Vsebine prestavljene iz VF12 v VF 16.</w:t>
            </w:r>
          </w:p>
          <w:p w14:paraId="72D4330A" w14:textId="77777777" w:rsidR="007F3369" w:rsidRPr="00A96E93" w:rsidRDefault="007F3369" w:rsidP="002E7597">
            <w:pPr>
              <w:rPr>
                <w:rFonts w:ascii="Arial" w:hAnsi="Arial" w:cs="Arial"/>
                <w:sz w:val="20"/>
                <w:highlight w:val="green"/>
                <w:lang w:val="sl-SI"/>
              </w:rPr>
            </w:pPr>
            <w:r w:rsidRPr="008D3EB4">
              <w:rPr>
                <w:rFonts w:ascii="Arial" w:hAnsi="Arial" w:cs="Arial"/>
                <w:sz w:val="20"/>
                <w:highlight w:val="green"/>
                <w:lang w:val="sl-SI"/>
              </w:rPr>
              <w:t>SPREJETO</w:t>
            </w:r>
          </w:p>
          <w:p w14:paraId="51B6F500" w14:textId="77777777" w:rsidR="007F3369" w:rsidRDefault="007F3369" w:rsidP="002E7597">
            <w:pPr>
              <w:rPr>
                <w:rFonts w:ascii="Arial" w:hAnsi="Arial" w:cs="Arial"/>
                <w:sz w:val="20"/>
                <w:lang w:val="sl-SI"/>
              </w:rPr>
            </w:pPr>
          </w:p>
          <w:p w14:paraId="72E1F044" w14:textId="77777777" w:rsidR="007F3369" w:rsidRPr="008912F0" w:rsidRDefault="007F3369" w:rsidP="002E7597">
            <w:pPr>
              <w:rPr>
                <w:rFonts w:ascii="Arial" w:hAnsi="Arial" w:cs="Arial"/>
                <w:sz w:val="20"/>
                <w:lang w:val="sl-SI"/>
              </w:rPr>
            </w:pPr>
            <w:r>
              <w:rPr>
                <w:rFonts w:ascii="Arial" w:hAnsi="Arial" w:cs="Arial"/>
                <w:sz w:val="20"/>
                <w:lang w:val="sl-SI"/>
              </w:rPr>
              <w:t>Navedba postopkov</w:t>
            </w:r>
            <w:r w:rsidRPr="008912F0">
              <w:rPr>
                <w:rFonts w:ascii="Arial" w:hAnsi="Arial" w:cs="Arial"/>
                <w:sz w:val="20"/>
                <w:lang w:val="sl-SI"/>
              </w:rPr>
              <w:t xml:space="preserve"> iz VF</w:t>
            </w:r>
            <w:r>
              <w:rPr>
                <w:rFonts w:ascii="Arial" w:hAnsi="Arial" w:cs="Arial"/>
                <w:sz w:val="20"/>
                <w:lang w:val="sl-SI"/>
              </w:rPr>
              <w:t>12, ki so že v</w:t>
            </w:r>
            <w:r w:rsidRPr="008912F0">
              <w:rPr>
                <w:rFonts w:ascii="Arial" w:hAnsi="Arial" w:cs="Arial"/>
                <w:sz w:val="20"/>
                <w:lang w:val="sl-SI"/>
              </w:rPr>
              <w:t xml:space="preserve"> VF1</w:t>
            </w:r>
            <w:r>
              <w:rPr>
                <w:rFonts w:ascii="Arial" w:hAnsi="Arial" w:cs="Arial"/>
                <w:sz w:val="20"/>
                <w:lang w:val="sl-SI"/>
              </w:rPr>
              <w:t>8, se odstranijo iz VF12</w:t>
            </w:r>
            <w:r w:rsidRPr="008912F0">
              <w:rPr>
                <w:rFonts w:ascii="Arial" w:hAnsi="Arial" w:cs="Arial"/>
                <w:sz w:val="20"/>
                <w:lang w:val="sl-SI"/>
              </w:rPr>
              <w:t>.</w:t>
            </w:r>
          </w:p>
          <w:p w14:paraId="60CB56CA" w14:textId="77777777" w:rsidR="007F3369" w:rsidRDefault="007F3369" w:rsidP="002E7597">
            <w:pPr>
              <w:rPr>
                <w:rFonts w:ascii="Arial" w:hAnsi="Arial" w:cs="Arial"/>
                <w:sz w:val="20"/>
                <w:highlight w:val="green"/>
                <w:lang w:val="sl-SI"/>
              </w:rPr>
            </w:pPr>
            <w:r>
              <w:rPr>
                <w:rFonts w:ascii="Arial" w:hAnsi="Arial" w:cs="Arial"/>
                <w:sz w:val="20"/>
                <w:highlight w:val="green"/>
                <w:lang w:val="sl-SI"/>
              </w:rPr>
              <w:t>IZBRISANO</w:t>
            </w:r>
          </w:p>
          <w:p w14:paraId="73CD6769" w14:textId="77777777" w:rsidR="007F3369" w:rsidRPr="008D3EB4" w:rsidRDefault="007F3369" w:rsidP="002E7597">
            <w:pPr>
              <w:rPr>
                <w:rFonts w:ascii="Arial" w:hAnsi="Arial" w:cs="Arial"/>
                <w:sz w:val="20"/>
                <w:highlight w:val="green"/>
                <w:lang w:val="sl-SI"/>
              </w:rPr>
            </w:pPr>
          </w:p>
        </w:tc>
      </w:tr>
      <w:tr w:rsidR="007F3369" w:rsidRPr="001D410B" w14:paraId="1413186C" w14:textId="77777777" w:rsidTr="002E7597">
        <w:trPr>
          <w:jc w:val="center"/>
        </w:trPr>
        <w:tc>
          <w:tcPr>
            <w:tcW w:w="421" w:type="dxa"/>
            <w:shd w:val="clear" w:color="auto" w:fill="FFFF00"/>
          </w:tcPr>
          <w:p w14:paraId="1FD514E9"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4C8FF108" w14:textId="77777777" w:rsidR="007F3369" w:rsidRDefault="007F3369" w:rsidP="002E7597">
            <w:pPr>
              <w:rPr>
                <w:rFonts w:ascii="Arial" w:hAnsi="Arial" w:cs="Arial"/>
                <w:sz w:val="20"/>
                <w:lang w:val="sl-SI"/>
              </w:rPr>
            </w:pPr>
          </w:p>
        </w:tc>
        <w:tc>
          <w:tcPr>
            <w:tcW w:w="1134" w:type="dxa"/>
          </w:tcPr>
          <w:p w14:paraId="491E9733" w14:textId="77777777" w:rsidR="007F3369" w:rsidRDefault="007F3369" w:rsidP="002E7597">
            <w:pPr>
              <w:rPr>
                <w:rFonts w:ascii="Arial" w:hAnsi="Arial" w:cs="Arial"/>
                <w:sz w:val="20"/>
                <w:lang w:val="sl-SI"/>
              </w:rPr>
            </w:pPr>
            <w:r>
              <w:rPr>
                <w:rFonts w:ascii="Arial" w:hAnsi="Arial" w:cs="Arial"/>
                <w:sz w:val="20"/>
                <w:lang w:val="sl-SI"/>
              </w:rPr>
              <w:t>Splošno</w:t>
            </w:r>
          </w:p>
          <w:p w14:paraId="359B4A75" w14:textId="77777777" w:rsidR="007F3369" w:rsidRDefault="007F3369" w:rsidP="002E7597">
            <w:pPr>
              <w:rPr>
                <w:rFonts w:ascii="Arial" w:hAnsi="Arial" w:cs="Arial"/>
                <w:sz w:val="20"/>
                <w:lang w:val="sl-SI"/>
              </w:rPr>
            </w:pPr>
          </w:p>
        </w:tc>
        <w:tc>
          <w:tcPr>
            <w:tcW w:w="3402" w:type="dxa"/>
          </w:tcPr>
          <w:p w14:paraId="2184368F" w14:textId="77777777" w:rsidR="007F3369" w:rsidRPr="00A95816" w:rsidRDefault="007F3369" w:rsidP="002E7597">
            <w:pPr>
              <w:pStyle w:val="SlogArialObojestranskoPred6pt"/>
              <w:spacing w:before="0"/>
              <w:jc w:val="left"/>
              <w:rPr>
                <w:sz w:val="20"/>
              </w:rPr>
            </w:pPr>
          </w:p>
        </w:tc>
        <w:tc>
          <w:tcPr>
            <w:tcW w:w="2835" w:type="dxa"/>
          </w:tcPr>
          <w:p w14:paraId="682DCD6F" w14:textId="77777777" w:rsidR="007F3369" w:rsidRPr="00E72971" w:rsidRDefault="007F3369" w:rsidP="002E7597">
            <w:pPr>
              <w:rPr>
                <w:rFonts w:ascii="Arial" w:hAnsi="Arial" w:cs="Arial"/>
                <w:sz w:val="20"/>
                <w:lang w:val="sl-SI"/>
              </w:rPr>
            </w:pPr>
            <w:r w:rsidRPr="005D795F">
              <w:rPr>
                <w:rFonts w:ascii="Arial" w:hAnsi="Arial" w:cs="Arial"/>
                <w:sz w:val="20"/>
                <w:lang w:val="sl-SI"/>
              </w:rPr>
              <w:t>Smernice niso konsistentne. Vsak varnostni faktor vsebuje obseg in metodologijo. Za VF14, VF16, VF17 manjka podpoglavje metodologija.</w:t>
            </w:r>
          </w:p>
        </w:tc>
        <w:tc>
          <w:tcPr>
            <w:tcW w:w="1843" w:type="dxa"/>
          </w:tcPr>
          <w:p w14:paraId="402F1216" w14:textId="77777777" w:rsidR="007F3369" w:rsidRDefault="007F3369" w:rsidP="002E7597">
            <w:pPr>
              <w:rPr>
                <w:rFonts w:ascii="Arial" w:hAnsi="Arial" w:cs="Arial"/>
                <w:sz w:val="20"/>
                <w:lang w:val="sl-SI"/>
              </w:rPr>
            </w:pPr>
            <w:r>
              <w:rPr>
                <w:rFonts w:ascii="Arial" w:hAnsi="Arial" w:cs="Arial"/>
                <w:sz w:val="20"/>
                <w:lang w:val="sl-SI"/>
              </w:rPr>
              <w:t>VF14 že vsebuje podpoglavje metodologija.</w:t>
            </w:r>
          </w:p>
          <w:p w14:paraId="68D5AC02" w14:textId="77777777" w:rsidR="007F3369" w:rsidRDefault="007F3369" w:rsidP="002E7597">
            <w:pPr>
              <w:rPr>
                <w:rFonts w:ascii="Arial" w:hAnsi="Arial" w:cs="Arial"/>
                <w:sz w:val="20"/>
                <w:lang w:val="sl-SI"/>
              </w:rPr>
            </w:pPr>
            <w:r w:rsidRPr="006904AD">
              <w:rPr>
                <w:rFonts w:ascii="Arial" w:hAnsi="Arial" w:cs="Arial"/>
                <w:sz w:val="20"/>
                <w:lang w:val="sl-SI"/>
              </w:rPr>
              <w:t>Obravnava VF17 je ločena.</w:t>
            </w:r>
          </w:p>
        </w:tc>
        <w:tc>
          <w:tcPr>
            <w:tcW w:w="3685" w:type="dxa"/>
            <w:shd w:val="clear" w:color="auto" w:fill="DBE5F1" w:themeFill="accent1" w:themeFillTint="33"/>
          </w:tcPr>
          <w:p w14:paraId="6834B6A5" w14:textId="77777777" w:rsidR="007F3369" w:rsidRDefault="007F3369" w:rsidP="002E7597">
            <w:pPr>
              <w:rPr>
                <w:rFonts w:ascii="Arial" w:hAnsi="Arial" w:cs="Arial"/>
                <w:sz w:val="20"/>
                <w:lang w:val="sl-SI"/>
              </w:rPr>
            </w:pPr>
            <w:r w:rsidRPr="0024234F">
              <w:rPr>
                <w:rFonts w:ascii="Arial" w:hAnsi="Arial" w:cs="Arial"/>
                <w:sz w:val="20"/>
                <w:lang w:val="sl-SI"/>
              </w:rPr>
              <w:t>VF17 se obravnava posebej</w:t>
            </w:r>
            <w:r>
              <w:rPr>
                <w:rFonts w:ascii="Arial" w:hAnsi="Arial" w:cs="Arial"/>
                <w:sz w:val="20"/>
                <w:lang w:val="sl-SI"/>
              </w:rPr>
              <w:t>, za sedaj se ne bo dodala Metodologija.</w:t>
            </w:r>
          </w:p>
          <w:p w14:paraId="494FC3B0" w14:textId="77777777" w:rsidR="007F3369" w:rsidRPr="008D3EB4" w:rsidRDefault="007F3369" w:rsidP="002E7597">
            <w:pPr>
              <w:rPr>
                <w:rFonts w:ascii="Arial" w:hAnsi="Arial" w:cs="Arial"/>
                <w:sz w:val="20"/>
                <w:highlight w:val="green"/>
                <w:lang w:val="sl-SI"/>
              </w:rPr>
            </w:pPr>
            <w:r>
              <w:rPr>
                <w:rFonts w:ascii="Arial" w:hAnsi="Arial" w:cs="Arial"/>
                <w:sz w:val="20"/>
                <w:highlight w:val="green"/>
                <w:lang w:val="sl-SI"/>
              </w:rPr>
              <w:t xml:space="preserve">V </w:t>
            </w:r>
            <w:r w:rsidRPr="00725DF2">
              <w:rPr>
                <w:rFonts w:ascii="Arial" w:hAnsi="Arial" w:cs="Arial"/>
                <w:sz w:val="20"/>
                <w:highlight w:val="green"/>
                <w:lang w:val="sl-SI"/>
              </w:rPr>
              <w:t xml:space="preserve">VF16 </w:t>
            </w:r>
            <w:r w:rsidRPr="00725DF2">
              <w:rPr>
                <w:rFonts w:ascii="Arial" w:hAnsi="Arial" w:cs="Arial"/>
                <w:sz w:val="20"/>
                <w:highlight w:val="green"/>
                <w:shd w:val="clear" w:color="auto" w:fill="FFFF00"/>
                <w:lang w:val="sl-SI"/>
              </w:rPr>
              <w:t>JE DODANO</w:t>
            </w:r>
            <w:r w:rsidRPr="00725DF2">
              <w:rPr>
                <w:rFonts w:ascii="Arial" w:hAnsi="Arial" w:cs="Arial"/>
                <w:sz w:val="20"/>
                <w:highlight w:val="green"/>
                <w:lang w:val="sl-SI"/>
              </w:rPr>
              <w:t xml:space="preserve"> PO</w:t>
            </w:r>
            <w:r>
              <w:rPr>
                <w:rFonts w:ascii="Arial" w:hAnsi="Arial" w:cs="Arial"/>
                <w:sz w:val="20"/>
                <w:highlight w:val="green"/>
                <w:lang w:val="sl-SI"/>
              </w:rPr>
              <w:t>DPOGLAVJE METODOLOGIJA</w:t>
            </w:r>
          </w:p>
        </w:tc>
      </w:tr>
      <w:tr w:rsidR="007F3369" w:rsidRPr="001D410B" w14:paraId="33C9E614" w14:textId="77777777" w:rsidTr="002E7597">
        <w:trPr>
          <w:jc w:val="center"/>
        </w:trPr>
        <w:tc>
          <w:tcPr>
            <w:tcW w:w="421" w:type="dxa"/>
            <w:shd w:val="clear" w:color="auto" w:fill="00FF00"/>
          </w:tcPr>
          <w:p w14:paraId="3B9CA6C6"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03B6D4F9" w14:textId="77777777" w:rsidR="007F3369" w:rsidRDefault="007F3369" w:rsidP="002E7597">
            <w:pPr>
              <w:rPr>
                <w:rFonts w:ascii="Arial" w:hAnsi="Arial" w:cs="Arial"/>
                <w:sz w:val="20"/>
                <w:lang w:val="sl-SI"/>
              </w:rPr>
            </w:pPr>
          </w:p>
        </w:tc>
        <w:tc>
          <w:tcPr>
            <w:tcW w:w="1134" w:type="dxa"/>
            <w:shd w:val="clear" w:color="auto" w:fill="auto"/>
          </w:tcPr>
          <w:p w14:paraId="1814FC2C" w14:textId="77777777" w:rsidR="007F3369" w:rsidRDefault="007F3369" w:rsidP="002E7597">
            <w:pPr>
              <w:rPr>
                <w:rFonts w:ascii="Arial" w:hAnsi="Arial" w:cs="Arial"/>
                <w:sz w:val="20"/>
                <w:lang w:val="sl-SI"/>
              </w:rPr>
            </w:pPr>
            <w:r w:rsidRPr="005D795F">
              <w:rPr>
                <w:rFonts w:ascii="Arial" w:hAnsi="Arial" w:cs="Arial"/>
                <w:sz w:val="20"/>
                <w:lang w:val="sl-SI"/>
              </w:rPr>
              <w:t>VF17 Fizično varovanje</w:t>
            </w:r>
          </w:p>
        </w:tc>
        <w:tc>
          <w:tcPr>
            <w:tcW w:w="3402" w:type="dxa"/>
          </w:tcPr>
          <w:p w14:paraId="781AE1CC" w14:textId="77777777" w:rsidR="007F3369" w:rsidRPr="00A95816" w:rsidRDefault="007F3369" w:rsidP="002E7597">
            <w:pPr>
              <w:pStyle w:val="SlogArialObojestranskoPred6pt"/>
              <w:spacing w:before="0"/>
              <w:jc w:val="left"/>
              <w:rPr>
                <w:sz w:val="20"/>
              </w:rPr>
            </w:pPr>
          </w:p>
        </w:tc>
        <w:tc>
          <w:tcPr>
            <w:tcW w:w="2835" w:type="dxa"/>
          </w:tcPr>
          <w:p w14:paraId="3A5549B1" w14:textId="77777777" w:rsidR="007F3369" w:rsidRPr="00E72971" w:rsidRDefault="007F3369" w:rsidP="002E7597">
            <w:pPr>
              <w:rPr>
                <w:rFonts w:ascii="Arial" w:hAnsi="Arial" w:cs="Arial"/>
                <w:sz w:val="20"/>
                <w:lang w:val="sl-SI"/>
              </w:rPr>
            </w:pPr>
          </w:p>
        </w:tc>
        <w:tc>
          <w:tcPr>
            <w:tcW w:w="1843" w:type="dxa"/>
            <w:shd w:val="clear" w:color="auto" w:fill="auto"/>
          </w:tcPr>
          <w:p w14:paraId="74F8EB6E" w14:textId="4242C04A" w:rsidR="007F3369" w:rsidRDefault="007F3369" w:rsidP="002E7597">
            <w:pPr>
              <w:rPr>
                <w:rFonts w:ascii="Arial" w:hAnsi="Arial" w:cs="Arial"/>
                <w:sz w:val="20"/>
                <w:lang w:val="sl-SI"/>
              </w:rPr>
            </w:pPr>
            <w:r>
              <w:rPr>
                <w:rFonts w:ascii="Arial" w:hAnsi="Arial" w:cs="Arial"/>
                <w:sz w:val="20"/>
                <w:lang w:val="sl-SI"/>
              </w:rPr>
              <w:t>Pripombe na FV se obravnavajo posebej</w:t>
            </w:r>
          </w:p>
        </w:tc>
        <w:tc>
          <w:tcPr>
            <w:tcW w:w="3685" w:type="dxa"/>
            <w:shd w:val="clear" w:color="auto" w:fill="DBE5F1" w:themeFill="accent1" w:themeFillTint="33"/>
          </w:tcPr>
          <w:p w14:paraId="0C6CDCE4" w14:textId="77777777" w:rsidR="007F3369" w:rsidRPr="001D62AF" w:rsidRDefault="007F3369" w:rsidP="002E7597">
            <w:pPr>
              <w:rPr>
                <w:rFonts w:ascii="Arial" w:hAnsi="Arial" w:cs="Arial"/>
                <w:sz w:val="20"/>
                <w:lang w:val="sl-SI"/>
              </w:rPr>
            </w:pPr>
            <w:r w:rsidRPr="001D62AF">
              <w:rPr>
                <w:rFonts w:ascii="Arial" w:hAnsi="Arial" w:cs="Arial"/>
                <w:sz w:val="20"/>
                <w:lang w:val="sl-SI"/>
              </w:rPr>
              <w:t>Razširjen odgovor je podan na zadnji strani</w:t>
            </w:r>
            <w:r>
              <w:rPr>
                <w:rFonts w:ascii="Arial" w:hAnsi="Arial" w:cs="Arial"/>
                <w:sz w:val="20"/>
                <w:lang w:val="sl-SI"/>
              </w:rPr>
              <w:t xml:space="preserve"> teh odgovorov na pripombe</w:t>
            </w:r>
            <w:r w:rsidRPr="001D62AF">
              <w:rPr>
                <w:rFonts w:ascii="Arial" w:hAnsi="Arial" w:cs="Arial"/>
                <w:sz w:val="20"/>
                <w:lang w:val="sl-SI"/>
              </w:rPr>
              <w:t xml:space="preserve">. </w:t>
            </w:r>
          </w:p>
          <w:p w14:paraId="4762C91B" w14:textId="77777777" w:rsidR="007F3369" w:rsidRPr="008D3EB4" w:rsidRDefault="007F3369" w:rsidP="002E7597">
            <w:pPr>
              <w:rPr>
                <w:rFonts w:ascii="Arial" w:hAnsi="Arial" w:cs="Arial"/>
                <w:sz w:val="20"/>
                <w:highlight w:val="green"/>
                <w:lang w:val="sl-SI"/>
              </w:rPr>
            </w:pPr>
            <w:r w:rsidRPr="001D62AF">
              <w:rPr>
                <w:rFonts w:ascii="Arial" w:hAnsi="Arial" w:cs="Arial"/>
                <w:sz w:val="20"/>
                <w:highlight w:val="green"/>
                <w:lang w:val="sl-SI"/>
              </w:rPr>
              <w:t>V UVOD PS 1.01 SO DODANA PRAVILA RAVNANJA ZA PREGLED VF17</w:t>
            </w:r>
          </w:p>
        </w:tc>
      </w:tr>
      <w:tr w:rsidR="007F3369" w:rsidRPr="00A663D5" w14:paraId="07753E0A" w14:textId="77777777" w:rsidTr="002E7597">
        <w:trPr>
          <w:jc w:val="center"/>
        </w:trPr>
        <w:tc>
          <w:tcPr>
            <w:tcW w:w="421" w:type="dxa"/>
            <w:shd w:val="clear" w:color="auto" w:fill="FF33CC"/>
          </w:tcPr>
          <w:p w14:paraId="638C5BDD"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1AAD1BE2" w14:textId="77777777" w:rsidR="007F3369" w:rsidRDefault="007F3369" w:rsidP="002E7597">
            <w:pPr>
              <w:rPr>
                <w:rFonts w:ascii="Arial" w:hAnsi="Arial" w:cs="Arial"/>
                <w:sz w:val="20"/>
                <w:lang w:val="sl-SI"/>
              </w:rPr>
            </w:pPr>
          </w:p>
        </w:tc>
        <w:tc>
          <w:tcPr>
            <w:tcW w:w="1134" w:type="dxa"/>
          </w:tcPr>
          <w:p w14:paraId="7E136478" w14:textId="77777777" w:rsidR="007F3369" w:rsidRDefault="007F3369" w:rsidP="002E7597">
            <w:pPr>
              <w:rPr>
                <w:rFonts w:ascii="Arial" w:hAnsi="Arial" w:cs="Arial"/>
                <w:sz w:val="20"/>
                <w:lang w:val="sl-SI"/>
              </w:rPr>
            </w:pPr>
            <w:r w:rsidRPr="0023594D">
              <w:rPr>
                <w:rFonts w:ascii="Arial" w:hAnsi="Arial" w:cs="Arial"/>
                <w:sz w:val="20"/>
                <w:lang w:val="sl-SI"/>
              </w:rPr>
              <w:t>VF3 Kvalifikacija opreme</w:t>
            </w:r>
          </w:p>
        </w:tc>
        <w:tc>
          <w:tcPr>
            <w:tcW w:w="3402" w:type="dxa"/>
          </w:tcPr>
          <w:p w14:paraId="490258B6" w14:textId="77777777" w:rsidR="007F3369" w:rsidRPr="00A95816" w:rsidRDefault="007F3369" w:rsidP="002E7597">
            <w:pPr>
              <w:pStyle w:val="SlogArialObojestranskoPred6pt"/>
              <w:spacing w:before="0"/>
              <w:jc w:val="left"/>
              <w:rPr>
                <w:sz w:val="20"/>
              </w:rPr>
            </w:pPr>
            <w:r w:rsidRPr="0023594D">
              <w:rPr>
                <w:sz w:val="20"/>
              </w:rPr>
              <w:t>Ti morajo vključevati seizmične pogoje, vibracije, temperaturo, tlak, udar vodnega curka, elektromagnetne motnje, obsevanost, korozivno atmosfero in vlažnost, požar (npr. požar zaradi vžiga vodika) in kombinacije naštetih pogojev ter ostale pričakovane dogodke.</w:t>
            </w:r>
          </w:p>
        </w:tc>
        <w:tc>
          <w:tcPr>
            <w:tcW w:w="2835" w:type="dxa"/>
          </w:tcPr>
          <w:p w14:paraId="7A12278A" w14:textId="77777777" w:rsidR="007F3369" w:rsidRPr="00E72971" w:rsidRDefault="007F3369" w:rsidP="002E7597">
            <w:pPr>
              <w:rPr>
                <w:rFonts w:ascii="Arial" w:hAnsi="Arial" w:cs="Arial"/>
                <w:sz w:val="20"/>
                <w:lang w:val="sl-SI"/>
              </w:rPr>
            </w:pPr>
            <w:r w:rsidRPr="0023594D">
              <w:rPr>
                <w:rFonts w:ascii="Arial" w:hAnsi="Arial" w:cs="Arial"/>
                <w:sz w:val="20"/>
                <w:lang w:val="sl-SI"/>
              </w:rPr>
              <w:t>Pregled kvalifikacije opreme mora vsebovati oceno učinkovitosti kvalifikacijskega programa za SSK. Program mora tako zagotavljati, da je oprema objekta (vključno s kabli) zmožna izpolnjevanja varnostnih funkcij za obdobje do naslednjega občasnega varnostnega pregleda. Prav tako mora pregled obravnavati zahteve glede izvajanja varnostnih funkcij v okoljskih pogojih, ki lahko nastopijo normalnega obratovanja kot tudi ob nesrečah.</w:t>
            </w:r>
          </w:p>
        </w:tc>
        <w:tc>
          <w:tcPr>
            <w:tcW w:w="1843" w:type="dxa"/>
          </w:tcPr>
          <w:p w14:paraId="2583C8C7" w14:textId="77777777" w:rsidR="007F3369" w:rsidRDefault="007F3369" w:rsidP="002E7597">
            <w:pPr>
              <w:rPr>
                <w:rFonts w:ascii="Arial" w:hAnsi="Arial" w:cs="Arial"/>
                <w:sz w:val="20"/>
                <w:lang w:val="sl-SI"/>
              </w:rPr>
            </w:pPr>
            <w:r>
              <w:rPr>
                <w:rFonts w:ascii="Arial" w:hAnsi="Arial" w:cs="Arial"/>
                <w:sz w:val="20"/>
                <w:lang w:val="sl-SI"/>
              </w:rPr>
              <w:t>IAEA SSG-25, 5.39</w:t>
            </w:r>
          </w:p>
        </w:tc>
        <w:tc>
          <w:tcPr>
            <w:tcW w:w="3685" w:type="dxa"/>
            <w:shd w:val="clear" w:color="auto" w:fill="DBE5F1" w:themeFill="accent1" w:themeFillTint="33"/>
          </w:tcPr>
          <w:p w14:paraId="4BBA46A5" w14:textId="4902B1DE" w:rsidR="007F3369" w:rsidRPr="008E5AD8" w:rsidRDefault="00A4713E" w:rsidP="002E7597">
            <w:pPr>
              <w:rPr>
                <w:rFonts w:ascii="Arial" w:hAnsi="Arial" w:cs="Arial"/>
                <w:sz w:val="20"/>
                <w:lang w:val="sl-SI"/>
              </w:rPr>
            </w:pPr>
            <w:r>
              <w:rPr>
                <w:rFonts w:ascii="Arial" w:hAnsi="Arial" w:cs="Arial"/>
                <w:sz w:val="20"/>
                <w:lang w:val="sl-SI"/>
              </w:rPr>
              <w:t>P</w:t>
            </w:r>
            <w:r w:rsidR="007F3369" w:rsidRPr="008E5AD8">
              <w:rPr>
                <w:rFonts w:ascii="Arial" w:hAnsi="Arial" w:cs="Arial"/>
                <w:sz w:val="20"/>
                <w:lang w:val="sl-SI"/>
              </w:rPr>
              <w:t>redl</w:t>
            </w:r>
            <w:r>
              <w:rPr>
                <w:rFonts w:ascii="Arial" w:hAnsi="Arial" w:cs="Arial"/>
                <w:sz w:val="20"/>
                <w:lang w:val="sl-SI"/>
              </w:rPr>
              <w:t>agano je</w:t>
            </w:r>
            <w:r w:rsidR="007F3369" w:rsidRPr="008E5AD8">
              <w:rPr>
                <w:rFonts w:ascii="Arial" w:hAnsi="Arial" w:cs="Arial"/>
                <w:sz w:val="20"/>
                <w:lang w:val="sl-SI"/>
              </w:rPr>
              <w:t xml:space="preserve"> nadomestno besedilo </w:t>
            </w:r>
            <w:r w:rsidR="007F3369">
              <w:rPr>
                <w:rFonts w:ascii="Arial" w:hAnsi="Arial" w:cs="Arial"/>
                <w:sz w:val="20"/>
                <w:lang w:val="sl-SI"/>
              </w:rPr>
              <w:t>(</w:t>
            </w:r>
            <w:r w:rsidR="007F3369" w:rsidRPr="008E5AD8">
              <w:rPr>
                <w:rFonts w:ascii="Arial" w:hAnsi="Arial" w:cs="Arial"/>
                <w:sz w:val="20"/>
                <w:lang w:val="sl-SI"/>
              </w:rPr>
              <w:t>ki je že v VF3 pred tistim besedilom, za katerega predlaga, da se izbriše</w:t>
            </w:r>
            <w:r w:rsidR="007F3369">
              <w:rPr>
                <w:rFonts w:ascii="Arial" w:hAnsi="Arial" w:cs="Arial"/>
                <w:sz w:val="20"/>
                <w:lang w:val="sl-SI"/>
              </w:rPr>
              <w:t>)</w:t>
            </w:r>
            <w:r w:rsidR="007F3369" w:rsidRPr="008E5AD8">
              <w:rPr>
                <w:rFonts w:ascii="Arial" w:hAnsi="Arial" w:cs="Arial"/>
                <w:sz w:val="20"/>
                <w:lang w:val="sl-SI"/>
              </w:rPr>
              <w:t>.</w:t>
            </w:r>
          </w:p>
          <w:p w14:paraId="4435054D" w14:textId="076E69B1" w:rsidR="007F3369" w:rsidRPr="008E5AD8" w:rsidRDefault="007F3369" w:rsidP="002E7597">
            <w:pPr>
              <w:rPr>
                <w:rFonts w:ascii="Arial" w:hAnsi="Arial" w:cs="Arial"/>
                <w:sz w:val="20"/>
                <w:lang w:val="sl-SI"/>
              </w:rPr>
            </w:pPr>
            <w:r w:rsidRPr="008E5AD8">
              <w:rPr>
                <w:rFonts w:ascii="Arial" w:hAnsi="Arial" w:cs="Arial"/>
                <w:sz w:val="20"/>
                <w:lang w:val="sl-SI"/>
              </w:rPr>
              <w:t>Gre za neposreden prevod seznama iz IAEA SSG-25, 5.39. Predlog ni utemeljen</w:t>
            </w:r>
            <w:r>
              <w:rPr>
                <w:rFonts w:ascii="Arial" w:hAnsi="Arial" w:cs="Arial"/>
                <w:sz w:val="20"/>
                <w:lang w:val="sl-SI"/>
              </w:rPr>
              <w:t xml:space="preserve"> </w:t>
            </w:r>
            <w:r w:rsidRPr="008E5AD8">
              <w:rPr>
                <w:rFonts w:ascii="Arial" w:hAnsi="Arial" w:cs="Arial"/>
                <w:sz w:val="20"/>
                <w:lang w:val="sl-SI"/>
              </w:rPr>
              <w:t>in se ga ne upošteva.</w:t>
            </w:r>
          </w:p>
          <w:p w14:paraId="41194140" w14:textId="77777777" w:rsidR="007F3369" w:rsidRDefault="007F3369" w:rsidP="002E7597">
            <w:pPr>
              <w:rPr>
                <w:rFonts w:ascii="Arial" w:hAnsi="Arial" w:cs="Arial"/>
                <w:sz w:val="20"/>
                <w:lang w:val="sl-SI"/>
              </w:rPr>
            </w:pPr>
            <w:bookmarkStart w:id="12" w:name="_Hlk56121701"/>
            <w:r>
              <w:rPr>
                <w:rFonts w:ascii="Arial" w:hAnsi="Arial" w:cs="Arial"/>
                <w:sz w:val="20"/>
                <w:highlight w:val="magenta"/>
                <w:lang w:val="sl-SI"/>
              </w:rPr>
              <w:t>ZAVRNJENO</w:t>
            </w:r>
          </w:p>
          <w:bookmarkEnd w:id="12"/>
          <w:p w14:paraId="00E90BC5" w14:textId="77777777" w:rsidR="007F3369" w:rsidRPr="008D3EB4" w:rsidRDefault="007F3369" w:rsidP="002E7597">
            <w:pPr>
              <w:rPr>
                <w:rFonts w:ascii="Arial" w:hAnsi="Arial" w:cs="Arial"/>
                <w:sz w:val="20"/>
                <w:highlight w:val="green"/>
                <w:lang w:val="sl-SI"/>
              </w:rPr>
            </w:pPr>
          </w:p>
        </w:tc>
      </w:tr>
      <w:tr w:rsidR="007F3369" w:rsidRPr="00A663D5" w14:paraId="14B92945" w14:textId="77777777" w:rsidTr="002E7597">
        <w:trPr>
          <w:jc w:val="center"/>
        </w:trPr>
        <w:tc>
          <w:tcPr>
            <w:tcW w:w="421" w:type="dxa"/>
            <w:shd w:val="clear" w:color="auto" w:fill="FF33CC"/>
          </w:tcPr>
          <w:p w14:paraId="37D9C553"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3873CF44" w14:textId="77777777" w:rsidR="007F3369" w:rsidRDefault="007F3369" w:rsidP="002E7597">
            <w:pPr>
              <w:rPr>
                <w:rFonts w:ascii="Arial" w:hAnsi="Arial" w:cs="Arial"/>
                <w:sz w:val="20"/>
                <w:lang w:val="sl-SI"/>
              </w:rPr>
            </w:pPr>
          </w:p>
        </w:tc>
        <w:tc>
          <w:tcPr>
            <w:tcW w:w="1134" w:type="dxa"/>
          </w:tcPr>
          <w:p w14:paraId="4DE33839" w14:textId="77777777" w:rsidR="007F3369" w:rsidRDefault="007F3369" w:rsidP="002E7597">
            <w:pPr>
              <w:rPr>
                <w:rFonts w:ascii="Arial" w:hAnsi="Arial" w:cs="Arial"/>
                <w:sz w:val="20"/>
                <w:lang w:val="sl-SI"/>
              </w:rPr>
            </w:pPr>
            <w:r w:rsidRPr="0023594D">
              <w:rPr>
                <w:rFonts w:ascii="Arial" w:hAnsi="Arial" w:cs="Arial"/>
                <w:sz w:val="20"/>
                <w:lang w:val="sl-SI"/>
              </w:rPr>
              <w:t>VF</w:t>
            </w:r>
            <w:r>
              <w:rPr>
                <w:rFonts w:ascii="Arial" w:hAnsi="Arial" w:cs="Arial"/>
                <w:sz w:val="20"/>
                <w:lang w:val="sl-SI"/>
              </w:rPr>
              <w:t>3</w:t>
            </w:r>
            <w:r w:rsidRPr="0023594D">
              <w:rPr>
                <w:rFonts w:ascii="Arial" w:hAnsi="Arial" w:cs="Arial"/>
                <w:sz w:val="20"/>
                <w:lang w:val="sl-SI"/>
              </w:rPr>
              <w:t xml:space="preserve"> Kvalifikacija opreme</w:t>
            </w:r>
          </w:p>
        </w:tc>
        <w:tc>
          <w:tcPr>
            <w:tcW w:w="3402" w:type="dxa"/>
          </w:tcPr>
          <w:p w14:paraId="20F0B85A" w14:textId="77777777" w:rsidR="007F3369" w:rsidRPr="00A95816" w:rsidRDefault="007F3369" w:rsidP="002E7597">
            <w:pPr>
              <w:pStyle w:val="SlogArialObojestranskoPred6pt"/>
              <w:spacing w:before="0"/>
              <w:jc w:val="left"/>
              <w:rPr>
                <w:sz w:val="20"/>
              </w:rPr>
            </w:pPr>
            <w:r w:rsidRPr="0023594D">
              <w:rPr>
                <w:sz w:val="20"/>
              </w:rPr>
              <w:t>Pregled mora upoštevati tudi učinke degradacije zaradi staranja opreme med njeno uporabo in možnimi spremembami predvidenih okoljskih pogojev med normalnim obratovanjem in napovedanimi razmerami ob nesreči za obdobje od zasnove programa dalje.</w:t>
            </w:r>
          </w:p>
        </w:tc>
        <w:tc>
          <w:tcPr>
            <w:tcW w:w="2835" w:type="dxa"/>
          </w:tcPr>
          <w:p w14:paraId="4DDD1FC6" w14:textId="77777777" w:rsidR="007F3369" w:rsidRPr="00E72971" w:rsidRDefault="007F3369" w:rsidP="002E7597">
            <w:pPr>
              <w:rPr>
                <w:rFonts w:ascii="Arial" w:hAnsi="Arial" w:cs="Arial"/>
                <w:sz w:val="20"/>
                <w:lang w:val="sl-SI"/>
              </w:rPr>
            </w:pPr>
            <w:r w:rsidRPr="0023594D">
              <w:rPr>
                <w:rFonts w:ascii="Arial" w:hAnsi="Arial" w:cs="Arial"/>
                <w:sz w:val="20"/>
                <w:lang w:val="sl-SI"/>
              </w:rPr>
              <w:t>Pregled mora upoštevati učinke degradacije zaradi staranja opreme med normalnim obratovanjem in med zahtevnejšimi okoljskimi pogoji, ki lahko nastanejo ob nesrečah, za celotno obdobje od začetka obratovanja vgrajene opreme.</w:t>
            </w:r>
          </w:p>
        </w:tc>
        <w:tc>
          <w:tcPr>
            <w:tcW w:w="1843" w:type="dxa"/>
          </w:tcPr>
          <w:p w14:paraId="3718C8EB" w14:textId="77777777" w:rsidR="007F3369" w:rsidRDefault="007F3369" w:rsidP="002E7597">
            <w:pPr>
              <w:rPr>
                <w:rFonts w:ascii="Arial" w:hAnsi="Arial" w:cs="Arial"/>
                <w:sz w:val="20"/>
                <w:lang w:val="sl-SI"/>
              </w:rPr>
            </w:pPr>
            <w:r>
              <w:rPr>
                <w:rFonts w:ascii="Arial" w:hAnsi="Arial" w:cs="Arial"/>
                <w:sz w:val="20"/>
                <w:lang w:val="sl-SI"/>
              </w:rPr>
              <w:t>IAEA SSG-25, 5.39</w:t>
            </w:r>
          </w:p>
        </w:tc>
        <w:tc>
          <w:tcPr>
            <w:tcW w:w="3685" w:type="dxa"/>
            <w:shd w:val="clear" w:color="auto" w:fill="DBE5F1" w:themeFill="accent1" w:themeFillTint="33"/>
          </w:tcPr>
          <w:p w14:paraId="4CE0BEFB" w14:textId="7DED4AE3" w:rsidR="007F3369" w:rsidRDefault="007F3369" w:rsidP="002E7597">
            <w:pPr>
              <w:rPr>
                <w:rFonts w:ascii="Arial" w:hAnsi="Arial" w:cs="Arial"/>
                <w:sz w:val="20"/>
                <w:lang w:val="sl-SI"/>
              </w:rPr>
            </w:pPr>
            <w:r w:rsidRPr="008E5AD8">
              <w:rPr>
                <w:rFonts w:ascii="Arial" w:hAnsi="Arial" w:cs="Arial"/>
                <w:sz w:val="20"/>
                <w:lang w:val="sl-SI"/>
              </w:rPr>
              <w:t xml:space="preserve">Pravilen je prevod </w:t>
            </w:r>
            <w:r>
              <w:rPr>
                <w:rFonts w:ascii="Arial" w:hAnsi="Arial" w:cs="Arial"/>
                <w:sz w:val="20"/>
                <w:lang w:val="sl-SI"/>
              </w:rPr>
              <w:t xml:space="preserve">IAEA SSG-25, kot je zapisan v PS 1.01. </w:t>
            </w:r>
            <w:r w:rsidR="00A4713E">
              <w:rPr>
                <w:rFonts w:ascii="Arial" w:hAnsi="Arial" w:cs="Arial"/>
                <w:sz w:val="20"/>
                <w:lang w:val="sl-SI"/>
              </w:rPr>
              <w:t>Predlog</w:t>
            </w:r>
            <w:r>
              <w:rPr>
                <w:rFonts w:ascii="Arial" w:hAnsi="Arial" w:cs="Arial"/>
                <w:sz w:val="20"/>
                <w:lang w:val="sl-SI"/>
              </w:rPr>
              <w:t xml:space="preserve"> ni utemeljil, zakaj je sprememba potrebna. Ta sprememba je majhna, vendar spremeni obseg pregleda.</w:t>
            </w:r>
          </w:p>
          <w:p w14:paraId="650B7454" w14:textId="77777777" w:rsidR="007F3369" w:rsidRDefault="007F3369" w:rsidP="002E7597">
            <w:pPr>
              <w:rPr>
                <w:rFonts w:ascii="Arial" w:hAnsi="Arial" w:cs="Arial"/>
                <w:sz w:val="20"/>
                <w:lang w:val="sl-SI"/>
              </w:rPr>
            </w:pPr>
            <w:r>
              <w:rPr>
                <w:rFonts w:ascii="Arial" w:hAnsi="Arial" w:cs="Arial"/>
                <w:sz w:val="20"/>
                <w:highlight w:val="magenta"/>
                <w:lang w:val="sl-SI"/>
              </w:rPr>
              <w:t>ZAVRNJENO</w:t>
            </w:r>
          </w:p>
          <w:p w14:paraId="037AAFDB" w14:textId="77777777" w:rsidR="007F3369" w:rsidRPr="008D3EB4" w:rsidRDefault="007F3369" w:rsidP="002E7597">
            <w:pPr>
              <w:rPr>
                <w:rFonts w:ascii="Arial" w:hAnsi="Arial" w:cs="Arial"/>
                <w:sz w:val="20"/>
                <w:highlight w:val="green"/>
                <w:lang w:val="sl-SI"/>
              </w:rPr>
            </w:pPr>
          </w:p>
        </w:tc>
      </w:tr>
      <w:tr w:rsidR="007F3369" w:rsidRPr="00875A7B" w14:paraId="7102293F" w14:textId="77777777" w:rsidTr="002E7597">
        <w:trPr>
          <w:jc w:val="center"/>
        </w:trPr>
        <w:tc>
          <w:tcPr>
            <w:tcW w:w="421" w:type="dxa"/>
            <w:shd w:val="clear" w:color="auto" w:fill="FF33CC"/>
          </w:tcPr>
          <w:p w14:paraId="1E710533"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70E133CA" w14:textId="77777777" w:rsidR="007F3369" w:rsidRDefault="007F3369" w:rsidP="002E7597">
            <w:pPr>
              <w:rPr>
                <w:rFonts w:ascii="Arial" w:hAnsi="Arial" w:cs="Arial"/>
                <w:sz w:val="20"/>
                <w:lang w:val="sl-SI"/>
              </w:rPr>
            </w:pPr>
          </w:p>
        </w:tc>
        <w:tc>
          <w:tcPr>
            <w:tcW w:w="1134" w:type="dxa"/>
          </w:tcPr>
          <w:p w14:paraId="0A8CCA6A" w14:textId="77777777" w:rsidR="007F3369" w:rsidRDefault="007F3369" w:rsidP="002E7597">
            <w:pPr>
              <w:rPr>
                <w:rFonts w:ascii="Arial" w:hAnsi="Arial" w:cs="Arial"/>
                <w:sz w:val="20"/>
                <w:lang w:val="sl-SI"/>
              </w:rPr>
            </w:pPr>
            <w:r w:rsidRPr="0023594D">
              <w:rPr>
                <w:rFonts w:ascii="Arial" w:hAnsi="Arial" w:cs="Arial"/>
                <w:sz w:val="20"/>
                <w:lang w:val="sl-SI"/>
              </w:rPr>
              <w:t>VF3 Kvalifikacija opreme</w:t>
            </w:r>
          </w:p>
        </w:tc>
        <w:tc>
          <w:tcPr>
            <w:tcW w:w="3402" w:type="dxa"/>
          </w:tcPr>
          <w:p w14:paraId="563E0C10" w14:textId="77777777" w:rsidR="007F3369" w:rsidRPr="00A95816" w:rsidRDefault="007F3369" w:rsidP="002E7597">
            <w:pPr>
              <w:pStyle w:val="SlogArialObojestranskoPred6pt"/>
              <w:spacing w:before="0"/>
              <w:jc w:val="left"/>
              <w:rPr>
                <w:sz w:val="20"/>
              </w:rPr>
            </w:pPr>
            <w:r w:rsidRPr="0023594D">
              <w:rPr>
                <w:sz w:val="20"/>
              </w:rPr>
              <w:t xml:space="preserve">Ti morajo vključevati seizmične pogoje, vibracije, temperaturo, tlak, udar vodnega curka, elektromagnetne motnje, obsevanost, korozivno atmosfero in vlažnost, </w:t>
            </w:r>
            <w:r w:rsidRPr="00224DB1">
              <w:rPr>
                <w:sz w:val="20"/>
              </w:rPr>
              <w:t>požar</w:t>
            </w:r>
            <w:r w:rsidRPr="0023594D">
              <w:rPr>
                <w:sz w:val="20"/>
              </w:rPr>
              <w:t>…</w:t>
            </w:r>
          </w:p>
        </w:tc>
        <w:tc>
          <w:tcPr>
            <w:tcW w:w="2835" w:type="dxa"/>
          </w:tcPr>
          <w:p w14:paraId="2561AD90" w14:textId="77777777" w:rsidR="007F3369" w:rsidRPr="00E72971" w:rsidRDefault="007F3369" w:rsidP="002E7597">
            <w:pPr>
              <w:rPr>
                <w:rFonts w:ascii="Arial" w:hAnsi="Arial" w:cs="Arial"/>
                <w:sz w:val="20"/>
                <w:lang w:val="sl-SI"/>
              </w:rPr>
            </w:pPr>
            <w:r w:rsidRPr="0023594D">
              <w:rPr>
                <w:rFonts w:ascii="Arial" w:hAnsi="Arial" w:cs="Arial"/>
                <w:sz w:val="20"/>
                <w:lang w:val="sl-SI"/>
              </w:rPr>
              <w:t>Požar ne sodi v poglavje Kvalifikacija opreme. Oprema razen nekaterih redkih izjem ni kvalificirana na požar, zato to področje ne spada v poglavje kvalifikacij.</w:t>
            </w:r>
          </w:p>
        </w:tc>
        <w:tc>
          <w:tcPr>
            <w:tcW w:w="1843" w:type="dxa"/>
          </w:tcPr>
          <w:p w14:paraId="2F4C286F" w14:textId="77777777" w:rsidR="007F3369" w:rsidRDefault="007F3369" w:rsidP="002E7597">
            <w:pPr>
              <w:rPr>
                <w:rFonts w:ascii="Arial" w:hAnsi="Arial" w:cs="Arial"/>
                <w:sz w:val="20"/>
                <w:lang w:val="sl-SI"/>
              </w:rPr>
            </w:pPr>
            <w:r>
              <w:rPr>
                <w:rFonts w:ascii="Arial" w:hAnsi="Arial" w:cs="Arial"/>
                <w:sz w:val="20"/>
                <w:lang w:val="sl-SI"/>
              </w:rPr>
              <w:t>Navedene so 4 reference IAEA, WENRA in NUREG 800</w:t>
            </w:r>
          </w:p>
        </w:tc>
        <w:tc>
          <w:tcPr>
            <w:tcW w:w="3685" w:type="dxa"/>
            <w:shd w:val="clear" w:color="auto" w:fill="DBE5F1" w:themeFill="accent1" w:themeFillTint="33"/>
          </w:tcPr>
          <w:p w14:paraId="17B7E9DE" w14:textId="135EDD4E" w:rsidR="007F3369" w:rsidRDefault="007F3369" w:rsidP="002E7597">
            <w:pPr>
              <w:rPr>
                <w:rFonts w:ascii="Arial" w:hAnsi="Arial" w:cs="Arial"/>
                <w:sz w:val="20"/>
                <w:lang w:val="sl-SI"/>
              </w:rPr>
            </w:pPr>
            <w:r>
              <w:rPr>
                <w:rFonts w:ascii="Arial" w:hAnsi="Arial" w:cs="Arial"/>
                <w:sz w:val="20"/>
                <w:lang w:val="sl-SI"/>
              </w:rPr>
              <w:t>Trditev je utemeljena. Vendar je v</w:t>
            </w:r>
            <w:r w:rsidRPr="00875A7B">
              <w:rPr>
                <w:rFonts w:ascii="Arial" w:hAnsi="Arial" w:cs="Arial"/>
                <w:sz w:val="20"/>
                <w:lang w:val="sl-SI"/>
              </w:rPr>
              <w:t xml:space="preserve"> primeru težkih nezgod velika verjetnost da pride tudi do požara in dejansko bi morala biti </w:t>
            </w:r>
            <w:r>
              <w:rPr>
                <w:rFonts w:ascii="Arial" w:hAnsi="Arial" w:cs="Arial"/>
                <w:sz w:val="20"/>
                <w:lang w:val="sl-SI"/>
              </w:rPr>
              <w:t xml:space="preserve">oprema </w:t>
            </w:r>
            <w:r w:rsidRPr="00875A7B">
              <w:rPr>
                <w:rFonts w:ascii="Arial" w:hAnsi="Arial" w:cs="Arial"/>
                <w:sz w:val="20"/>
                <w:lang w:val="sl-SI"/>
              </w:rPr>
              <w:t>kvalificirana na požar (v tem primeru je glavni problem visoka temperatura, v primeru eksplozije pa še tlak…).</w:t>
            </w:r>
          </w:p>
          <w:p w14:paraId="05939E54" w14:textId="77777777" w:rsidR="007F3369" w:rsidRDefault="007F3369" w:rsidP="002E7597">
            <w:pPr>
              <w:rPr>
                <w:rFonts w:ascii="Arial" w:hAnsi="Arial" w:cs="Arial"/>
                <w:sz w:val="20"/>
                <w:lang w:val="sl-SI"/>
              </w:rPr>
            </w:pPr>
            <w:r>
              <w:rPr>
                <w:rFonts w:ascii="Arial" w:hAnsi="Arial" w:cs="Arial"/>
                <w:sz w:val="20"/>
                <w:highlight w:val="magenta"/>
                <w:lang w:val="sl-SI"/>
              </w:rPr>
              <w:t>ZAVRNJENO</w:t>
            </w:r>
          </w:p>
          <w:p w14:paraId="0B2DA43B" w14:textId="77777777" w:rsidR="007F3369" w:rsidRPr="007F23AF" w:rsidRDefault="007F3369" w:rsidP="002E7597">
            <w:pPr>
              <w:rPr>
                <w:rFonts w:ascii="Arial" w:hAnsi="Arial" w:cs="Arial"/>
                <w:sz w:val="20"/>
                <w:highlight w:val="yellow"/>
                <w:lang w:val="sl-SI"/>
              </w:rPr>
            </w:pPr>
          </w:p>
        </w:tc>
      </w:tr>
      <w:tr w:rsidR="007F3369" w:rsidRPr="00DC2C25" w14:paraId="14F78383" w14:textId="77777777" w:rsidTr="002E7597">
        <w:trPr>
          <w:jc w:val="center"/>
        </w:trPr>
        <w:tc>
          <w:tcPr>
            <w:tcW w:w="421" w:type="dxa"/>
            <w:shd w:val="clear" w:color="auto" w:fill="FF33CC"/>
          </w:tcPr>
          <w:p w14:paraId="7AF55077"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301CEBBA" w14:textId="77777777" w:rsidR="007F3369" w:rsidRDefault="007F3369" w:rsidP="002E7597">
            <w:pPr>
              <w:rPr>
                <w:rFonts w:ascii="Arial" w:hAnsi="Arial" w:cs="Arial"/>
                <w:sz w:val="20"/>
                <w:lang w:val="sl-SI"/>
              </w:rPr>
            </w:pPr>
          </w:p>
        </w:tc>
        <w:tc>
          <w:tcPr>
            <w:tcW w:w="1134" w:type="dxa"/>
          </w:tcPr>
          <w:p w14:paraId="608C1A35" w14:textId="77777777" w:rsidR="007F3369" w:rsidRDefault="007F3369" w:rsidP="002E7597">
            <w:pPr>
              <w:rPr>
                <w:rFonts w:ascii="Arial" w:hAnsi="Arial" w:cs="Arial"/>
                <w:sz w:val="20"/>
                <w:lang w:val="sl-SI"/>
              </w:rPr>
            </w:pPr>
            <w:r w:rsidRPr="0023594D">
              <w:rPr>
                <w:rFonts w:ascii="Arial" w:hAnsi="Arial" w:cs="Arial"/>
                <w:sz w:val="20"/>
                <w:lang w:val="sl-SI"/>
              </w:rPr>
              <w:t>VF4 Staranje objekta</w:t>
            </w:r>
          </w:p>
        </w:tc>
        <w:tc>
          <w:tcPr>
            <w:tcW w:w="3402" w:type="dxa"/>
          </w:tcPr>
          <w:p w14:paraId="79D642B6" w14:textId="77777777" w:rsidR="007F3369" w:rsidRPr="00A95816" w:rsidRDefault="007F3369" w:rsidP="002E7597">
            <w:pPr>
              <w:pStyle w:val="SlogArialObojestranskoPred6pt"/>
              <w:spacing w:before="0"/>
              <w:jc w:val="left"/>
              <w:rPr>
                <w:sz w:val="20"/>
              </w:rPr>
            </w:pPr>
          </w:p>
        </w:tc>
        <w:tc>
          <w:tcPr>
            <w:tcW w:w="2835" w:type="dxa"/>
          </w:tcPr>
          <w:p w14:paraId="2BCA29B1" w14:textId="77777777" w:rsidR="007F3369" w:rsidRPr="006904AD" w:rsidRDefault="007F3369" w:rsidP="002E7597">
            <w:pPr>
              <w:rPr>
                <w:rFonts w:ascii="Arial" w:hAnsi="Arial" w:cs="Arial"/>
                <w:sz w:val="20"/>
                <w:lang w:val="sl-SI"/>
              </w:rPr>
            </w:pPr>
            <w:r w:rsidRPr="006904AD">
              <w:rPr>
                <w:rFonts w:ascii="Arial" w:hAnsi="Arial" w:cs="Arial"/>
                <w:sz w:val="20"/>
                <w:lang w:val="sl-SI"/>
              </w:rPr>
              <w:t>NEK je US NRC elektrarna in z odobritvijo URSJV uporablja ameriški pristop pri vzpostavitvi in vzdrževanju AMP. Osnovne reference so 10CFR54, RG 1.188, NEI 95-10, Rev.6, NUREG-1800, Rev.2, NUREG-1801, Rev.2. To odraža AMP dokumentacija NEK. V obseg NEK AMP ne sodijo: zastarelost opreme, staranje komponent, ki so pasivne a zamenljive z življenjsko dobo manj kot 40 let, in vse aktivne komponente. Navedeno sodi v obseg točke 2. Dejansko stanje SSK</w:t>
            </w:r>
          </w:p>
        </w:tc>
        <w:tc>
          <w:tcPr>
            <w:tcW w:w="1843" w:type="dxa"/>
          </w:tcPr>
          <w:p w14:paraId="05AE4299" w14:textId="77777777" w:rsidR="007F3369" w:rsidRDefault="007F3369" w:rsidP="002E7597">
            <w:pPr>
              <w:rPr>
                <w:rFonts w:ascii="Arial" w:hAnsi="Arial" w:cs="Arial"/>
                <w:sz w:val="20"/>
                <w:lang w:val="sl-SI"/>
              </w:rPr>
            </w:pPr>
            <w:r>
              <w:rPr>
                <w:rFonts w:ascii="Arial" w:hAnsi="Arial" w:cs="Arial"/>
                <w:sz w:val="20"/>
                <w:lang w:val="sl-SI"/>
              </w:rPr>
              <w:t>V VF2 je zastarelost opreme oz. SSK (tudi v VF8), a v VF4 je zastarelost tehnologije, kar ni isto.</w:t>
            </w:r>
          </w:p>
          <w:p w14:paraId="093D8C27" w14:textId="77777777" w:rsidR="007F3369" w:rsidRDefault="007F3369" w:rsidP="002E7597">
            <w:pPr>
              <w:rPr>
                <w:rFonts w:ascii="Arial" w:hAnsi="Arial" w:cs="Arial"/>
                <w:sz w:val="20"/>
                <w:lang w:val="sl-SI"/>
              </w:rPr>
            </w:pPr>
            <w:r>
              <w:rPr>
                <w:rFonts w:ascii="Arial" w:hAnsi="Arial" w:cs="Arial"/>
                <w:sz w:val="20"/>
                <w:lang w:val="sl-SI"/>
              </w:rPr>
              <w:t>Aktivne komponente niso posebej navedene.</w:t>
            </w:r>
          </w:p>
          <w:p w14:paraId="193659DC" w14:textId="77777777" w:rsidR="007F3369" w:rsidRDefault="007F3369" w:rsidP="002E7597">
            <w:pPr>
              <w:rPr>
                <w:rFonts w:ascii="Arial" w:hAnsi="Arial" w:cs="Arial"/>
                <w:sz w:val="20"/>
                <w:lang w:val="sl-SI"/>
              </w:rPr>
            </w:pPr>
            <w:r>
              <w:rPr>
                <w:rFonts w:ascii="Arial" w:hAnsi="Arial" w:cs="Arial"/>
                <w:sz w:val="20"/>
                <w:lang w:val="sl-SI"/>
              </w:rPr>
              <w:t>AMP vključuje tudi komponente, ki se dajo zamenjati.</w:t>
            </w:r>
          </w:p>
        </w:tc>
        <w:tc>
          <w:tcPr>
            <w:tcW w:w="3685" w:type="dxa"/>
            <w:shd w:val="clear" w:color="auto" w:fill="DBE5F1" w:themeFill="accent1" w:themeFillTint="33"/>
          </w:tcPr>
          <w:p w14:paraId="55220E69" w14:textId="5E9B375F" w:rsidR="007F3369" w:rsidRDefault="007F3369" w:rsidP="002E7597">
            <w:pPr>
              <w:rPr>
                <w:rFonts w:ascii="Arial" w:hAnsi="Arial" w:cs="Arial"/>
                <w:sz w:val="20"/>
                <w:lang w:val="sl-SI"/>
              </w:rPr>
            </w:pPr>
            <w:r>
              <w:rPr>
                <w:rFonts w:ascii="Arial" w:hAnsi="Arial" w:cs="Arial"/>
                <w:sz w:val="20"/>
                <w:lang w:val="sl-SI"/>
              </w:rPr>
              <w:t xml:space="preserve">VF4 skoraj nikjer ne omenja vsebin, ki </w:t>
            </w:r>
            <w:r w:rsidR="00A4713E">
              <w:rPr>
                <w:rFonts w:ascii="Arial" w:hAnsi="Arial" w:cs="Arial"/>
                <w:sz w:val="20"/>
                <w:lang w:val="sl-SI"/>
              </w:rPr>
              <w:t xml:space="preserve">naj bi </w:t>
            </w:r>
            <w:r>
              <w:rPr>
                <w:rFonts w:ascii="Arial" w:hAnsi="Arial" w:cs="Arial"/>
                <w:sz w:val="20"/>
                <w:lang w:val="sl-SI"/>
              </w:rPr>
              <w:t>jih prestavi</w:t>
            </w:r>
            <w:r w:rsidR="00A4713E">
              <w:rPr>
                <w:rFonts w:ascii="Arial" w:hAnsi="Arial" w:cs="Arial"/>
                <w:sz w:val="20"/>
                <w:lang w:val="sl-SI"/>
              </w:rPr>
              <w:t>l</w:t>
            </w:r>
            <w:r>
              <w:rPr>
                <w:rFonts w:ascii="Arial" w:hAnsi="Arial" w:cs="Arial"/>
                <w:sz w:val="20"/>
                <w:lang w:val="sl-SI"/>
              </w:rPr>
              <w:t>i v VF2 (razen zastarelost tehnologije, ki pa ni enako kot zastarelost SSK, ki je že v VF2). Druge pripombe se v VF4 neposredno ne navajajo, prav tako jih ni v VF2. Predlog je neutemeljen. V PSR2 se je že izvajal pregled glede na IAEA smernico glede PSR, tako da se to da izvesti tudi v PSR3.</w:t>
            </w:r>
          </w:p>
          <w:p w14:paraId="168FA28C" w14:textId="77777777" w:rsidR="007F3369" w:rsidRDefault="007F3369" w:rsidP="002E7597">
            <w:pPr>
              <w:rPr>
                <w:rFonts w:ascii="Arial" w:hAnsi="Arial" w:cs="Arial"/>
                <w:sz w:val="20"/>
                <w:lang w:val="sl-SI"/>
              </w:rPr>
            </w:pPr>
            <w:r>
              <w:rPr>
                <w:rFonts w:ascii="Arial" w:hAnsi="Arial" w:cs="Arial"/>
                <w:sz w:val="20"/>
                <w:highlight w:val="magenta"/>
                <w:lang w:val="sl-SI"/>
              </w:rPr>
              <w:t>ZAVRNJENO</w:t>
            </w:r>
          </w:p>
          <w:p w14:paraId="1F5B8484" w14:textId="77777777" w:rsidR="007F3369" w:rsidRPr="008D3EB4" w:rsidRDefault="007F3369" w:rsidP="002E7597">
            <w:pPr>
              <w:rPr>
                <w:rFonts w:ascii="Arial" w:hAnsi="Arial" w:cs="Arial"/>
                <w:sz w:val="20"/>
                <w:highlight w:val="green"/>
                <w:lang w:val="sl-SI"/>
              </w:rPr>
            </w:pPr>
          </w:p>
        </w:tc>
      </w:tr>
      <w:tr w:rsidR="007F3369" w:rsidRPr="008461F5" w14:paraId="2CD13E90" w14:textId="77777777" w:rsidTr="002E7597">
        <w:trPr>
          <w:jc w:val="center"/>
        </w:trPr>
        <w:tc>
          <w:tcPr>
            <w:tcW w:w="421" w:type="dxa"/>
            <w:shd w:val="clear" w:color="auto" w:fill="FF33CC"/>
          </w:tcPr>
          <w:p w14:paraId="767CFDF8"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34281AF1" w14:textId="77777777" w:rsidR="007F3369" w:rsidRDefault="007F3369" w:rsidP="002E7597">
            <w:pPr>
              <w:rPr>
                <w:rFonts w:ascii="Arial" w:hAnsi="Arial" w:cs="Arial"/>
                <w:sz w:val="20"/>
                <w:lang w:val="sl-SI"/>
              </w:rPr>
            </w:pPr>
            <w:r w:rsidRPr="0023594D">
              <w:rPr>
                <w:rFonts w:ascii="Arial" w:hAnsi="Arial" w:cs="Arial"/>
                <w:sz w:val="20"/>
                <w:lang w:val="sl-SI"/>
              </w:rPr>
              <w:t>Stran 13-48</w:t>
            </w:r>
          </w:p>
        </w:tc>
        <w:tc>
          <w:tcPr>
            <w:tcW w:w="1134" w:type="dxa"/>
          </w:tcPr>
          <w:p w14:paraId="019E4F2B" w14:textId="77777777" w:rsidR="007F3369" w:rsidRDefault="007F3369" w:rsidP="002E7597">
            <w:pPr>
              <w:rPr>
                <w:rFonts w:ascii="Arial" w:hAnsi="Arial" w:cs="Arial"/>
                <w:sz w:val="20"/>
                <w:lang w:val="sl-SI"/>
              </w:rPr>
            </w:pPr>
            <w:r w:rsidRPr="0023594D">
              <w:rPr>
                <w:rFonts w:ascii="Arial" w:hAnsi="Arial" w:cs="Arial"/>
                <w:sz w:val="20"/>
                <w:lang w:val="sl-SI"/>
              </w:rPr>
              <w:t>VF4 Staranje objekta</w:t>
            </w:r>
          </w:p>
        </w:tc>
        <w:tc>
          <w:tcPr>
            <w:tcW w:w="3402" w:type="dxa"/>
          </w:tcPr>
          <w:p w14:paraId="314FE044" w14:textId="77777777" w:rsidR="007F3369" w:rsidRPr="00A95816" w:rsidRDefault="007F3369" w:rsidP="002E7597">
            <w:pPr>
              <w:pStyle w:val="SlogArialObojestranskoPred6pt"/>
              <w:spacing w:before="0"/>
              <w:jc w:val="left"/>
              <w:rPr>
                <w:sz w:val="20"/>
              </w:rPr>
            </w:pPr>
          </w:p>
        </w:tc>
        <w:tc>
          <w:tcPr>
            <w:tcW w:w="2835" w:type="dxa"/>
          </w:tcPr>
          <w:p w14:paraId="605B5AA8" w14:textId="77777777" w:rsidR="007F3369" w:rsidRPr="00E72971" w:rsidRDefault="007F3369" w:rsidP="002E7597">
            <w:pPr>
              <w:rPr>
                <w:rFonts w:ascii="Arial" w:hAnsi="Arial" w:cs="Arial"/>
                <w:sz w:val="20"/>
                <w:lang w:val="sl-SI"/>
              </w:rPr>
            </w:pPr>
            <w:r w:rsidRPr="0023594D">
              <w:rPr>
                <w:rFonts w:ascii="Arial" w:hAnsi="Arial" w:cs="Arial"/>
                <w:sz w:val="20"/>
                <w:lang w:val="sl-SI"/>
              </w:rPr>
              <w:t xml:space="preserve">Izbrisati v okviru Obseg, alinejo c. ker sodi v </w:t>
            </w:r>
            <w:r>
              <w:rPr>
                <w:rFonts w:ascii="Arial" w:hAnsi="Arial" w:cs="Arial"/>
                <w:sz w:val="20"/>
                <w:lang w:val="sl-SI"/>
              </w:rPr>
              <w:t>VF</w:t>
            </w:r>
            <w:r w:rsidRPr="0023594D">
              <w:rPr>
                <w:rFonts w:ascii="Arial" w:hAnsi="Arial" w:cs="Arial"/>
                <w:sz w:val="20"/>
                <w:lang w:val="sl-SI"/>
              </w:rPr>
              <w:t>2 Dejansko stanje SSK ali izbrisati del teksta v okviru Obseg, alineja c: »za zamenljive sestavne dele«</w:t>
            </w:r>
          </w:p>
        </w:tc>
        <w:tc>
          <w:tcPr>
            <w:tcW w:w="1843" w:type="dxa"/>
          </w:tcPr>
          <w:p w14:paraId="2BB1CF17"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5F625E4D" w14:textId="77777777" w:rsidR="007F3369" w:rsidRDefault="007F3369" w:rsidP="002E7597">
            <w:pPr>
              <w:rPr>
                <w:rFonts w:ascii="Arial" w:hAnsi="Arial" w:cs="Arial"/>
                <w:sz w:val="20"/>
                <w:lang w:val="sl-SI"/>
              </w:rPr>
            </w:pPr>
            <w:r>
              <w:rPr>
                <w:rFonts w:ascii="Arial" w:hAnsi="Arial" w:cs="Arial"/>
                <w:sz w:val="20"/>
                <w:lang w:val="sl-SI"/>
              </w:rPr>
              <w:t>Gre za isto vsebino, ki je tudi del</w:t>
            </w:r>
            <w:r w:rsidRPr="00BB440C">
              <w:rPr>
                <w:rFonts w:ascii="Arial" w:hAnsi="Arial" w:cs="Arial"/>
                <w:sz w:val="20"/>
                <w:lang w:val="sl-SI"/>
              </w:rPr>
              <w:t xml:space="preserve"> zgornj</w:t>
            </w:r>
            <w:r>
              <w:rPr>
                <w:rFonts w:ascii="Arial" w:hAnsi="Arial" w:cs="Arial"/>
                <w:sz w:val="20"/>
                <w:lang w:val="sl-SI"/>
              </w:rPr>
              <w:t>e</w:t>
            </w:r>
            <w:r w:rsidRPr="00BB440C">
              <w:rPr>
                <w:rFonts w:ascii="Arial" w:hAnsi="Arial" w:cs="Arial"/>
                <w:sz w:val="20"/>
                <w:lang w:val="sl-SI"/>
              </w:rPr>
              <w:t xml:space="preserve"> pripomb</w:t>
            </w:r>
            <w:r>
              <w:rPr>
                <w:rFonts w:ascii="Arial" w:hAnsi="Arial" w:cs="Arial"/>
                <w:sz w:val="20"/>
                <w:lang w:val="sl-SI"/>
              </w:rPr>
              <w:t>e 8 glede pasivnih zamenljivih komponent, tam je podan tudi odgovor</w:t>
            </w:r>
            <w:r w:rsidRPr="00BB440C">
              <w:rPr>
                <w:rFonts w:ascii="Arial" w:hAnsi="Arial" w:cs="Arial"/>
                <w:sz w:val="20"/>
                <w:lang w:val="sl-SI"/>
              </w:rPr>
              <w:t>.</w:t>
            </w:r>
          </w:p>
          <w:p w14:paraId="5BC88B9C" w14:textId="77777777" w:rsidR="007F3369" w:rsidRDefault="007F3369" w:rsidP="002E7597">
            <w:pPr>
              <w:rPr>
                <w:rFonts w:ascii="Arial" w:hAnsi="Arial" w:cs="Arial"/>
                <w:sz w:val="20"/>
                <w:lang w:val="sl-SI"/>
              </w:rPr>
            </w:pPr>
            <w:r>
              <w:rPr>
                <w:rFonts w:ascii="Arial" w:hAnsi="Arial" w:cs="Arial"/>
                <w:sz w:val="20"/>
                <w:highlight w:val="magenta"/>
                <w:lang w:val="sl-SI"/>
              </w:rPr>
              <w:t>ZAVRNJENO</w:t>
            </w:r>
          </w:p>
          <w:p w14:paraId="37A0BF22" w14:textId="77777777" w:rsidR="007F3369" w:rsidRPr="00BB440C" w:rsidRDefault="007F3369" w:rsidP="002E7597">
            <w:pPr>
              <w:rPr>
                <w:rFonts w:ascii="Arial" w:hAnsi="Arial" w:cs="Arial"/>
                <w:sz w:val="20"/>
                <w:lang w:val="sl-SI"/>
              </w:rPr>
            </w:pPr>
          </w:p>
        </w:tc>
      </w:tr>
      <w:tr w:rsidR="007F3369" w:rsidRPr="008461F5" w14:paraId="26942B19" w14:textId="77777777" w:rsidTr="002E7597">
        <w:trPr>
          <w:jc w:val="center"/>
        </w:trPr>
        <w:tc>
          <w:tcPr>
            <w:tcW w:w="421" w:type="dxa"/>
            <w:shd w:val="clear" w:color="auto" w:fill="FF33CC"/>
          </w:tcPr>
          <w:p w14:paraId="7259F187"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7F93B25D" w14:textId="77777777" w:rsidR="007F3369" w:rsidRDefault="007F3369" w:rsidP="002E7597">
            <w:pPr>
              <w:rPr>
                <w:rFonts w:ascii="Arial" w:hAnsi="Arial" w:cs="Arial"/>
                <w:sz w:val="20"/>
                <w:lang w:val="sl-SI"/>
              </w:rPr>
            </w:pPr>
            <w:r w:rsidRPr="0023594D">
              <w:rPr>
                <w:rFonts w:ascii="Arial" w:hAnsi="Arial" w:cs="Arial"/>
                <w:sz w:val="20"/>
                <w:lang w:val="sl-SI"/>
              </w:rPr>
              <w:t>Stran 13-48</w:t>
            </w:r>
          </w:p>
        </w:tc>
        <w:tc>
          <w:tcPr>
            <w:tcW w:w="1134" w:type="dxa"/>
          </w:tcPr>
          <w:p w14:paraId="602E9065" w14:textId="77777777" w:rsidR="007F3369" w:rsidRDefault="007F3369" w:rsidP="002E7597">
            <w:pPr>
              <w:rPr>
                <w:rFonts w:ascii="Arial" w:hAnsi="Arial" w:cs="Arial"/>
                <w:sz w:val="20"/>
                <w:lang w:val="sl-SI"/>
              </w:rPr>
            </w:pPr>
            <w:r w:rsidRPr="0023594D">
              <w:rPr>
                <w:rFonts w:ascii="Arial" w:hAnsi="Arial" w:cs="Arial"/>
                <w:sz w:val="20"/>
                <w:lang w:val="sl-SI"/>
              </w:rPr>
              <w:t>VF4 Staranje objekta</w:t>
            </w:r>
          </w:p>
        </w:tc>
        <w:tc>
          <w:tcPr>
            <w:tcW w:w="3402" w:type="dxa"/>
          </w:tcPr>
          <w:p w14:paraId="75666135" w14:textId="77777777" w:rsidR="007F3369" w:rsidRPr="00A95816" w:rsidRDefault="007F3369" w:rsidP="002E7597">
            <w:pPr>
              <w:pStyle w:val="SlogArialObojestranskoPred6pt"/>
              <w:spacing w:before="0"/>
              <w:jc w:val="left"/>
              <w:rPr>
                <w:sz w:val="20"/>
              </w:rPr>
            </w:pPr>
          </w:p>
        </w:tc>
        <w:tc>
          <w:tcPr>
            <w:tcW w:w="2835" w:type="dxa"/>
          </w:tcPr>
          <w:p w14:paraId="73AC2B62" w14:textId="77777777" w:rsidR="007F3369" w:rsidRPr="00E72971" w:rsidRDefault="007F3369" w:rsidP="002E7597">
            <w:pPr>
              <w:rPr>
                <w:rFonts w:ascii="Arial" w:hAnsi="Arial" w:cs="Arial"/>
                <w:sz w:val="20"/>
                <w:lang w:val="sl-SI"/>
              </w:rPr>
            </w:pPr>
            <w:r w:rsidRPr="0023594D">
              <w:rPr>
                <w:rFonts w:ascii="Arial" w:hAnsi="Arial" w:cs="Arial"/>
                <w:sz w:val="20"/>
                <w:lang w:val="sl-SI"/>
              </w:rPr>
              <w:t xml:space="preserve">Iz seznama tehničnih vidikov izbrisati alinejo p, ki sodi v </w:t>
            </w:r>
            <w:r>
              <w:rPr>
                <w:rFonts w:ascii="Arial" w:hAnsi="Arial" w:cs="Arial"/>
                <w:sz w:val="20"/>
                <w:lang w:val="sl-SI"/>
              </w:rPr>
              <w:t>VF</w:t>
            </w:r>
            <w:r w:rsidRPr="0023594D">
              <w:rPr>
                <w:rFonts w:ascii="Arial" w:hAnsi="Arial" w:cs="Arial"/>
                <w:sz w:val="20"/>
                <w:lang w:val="sl-SI"/>
              </w:rPr>
              <w:t>2 Dejansko stanje SSK (glej splošni komentar 1).</w:t>
            </w:r>
          </w:p>
        </w:tc>
        <w:tc>
          <w:tcPr>
            <w:tcW w:w="1843" w:type="dxa"/>
          </w:tcPr>
          <w:p w14:paraId="2F0935A1"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0F5B320A" w14:textId="77777777" w:rsidR="007F3369" w:rsidRDefault="007F3369" w:rsidP="002E7597">
            <w:pPr>
              <w:rPr>
                <w:rFonts w:ascii="Arial" w:hAnsi="Arial" w:cs="Arial"/>
                <w:sz w:val="20"/>
                <w:lang w:val="sl-SI"/>
              </w:rPr>
            </w:pPr>
            <w:r>
              <w:rPr>
                <w:rFonts w:ascii="Arial" w:hAnsi="Arial" w:cs="Arial"/>
                <w:sz w:val="20"/>
                <w:lang w:val="sl-SI"/>
              </w:rPr>
              <w:t>Gre za isto vsebino, ki je tudi del</w:t>
            </w:r>
            <w:r w:rsidRPr="00BB440C">
              <w:rPr>
                <w:rFonts w:ascii="Arial" w:hAnsi="Arial" w:cs="Arial"/>
                <w:sz w:val="20"/>
                <w:lang w:val="sl-SI"/>
              </w:rPr>
              <w:t xml:space="preserve"> zgornj</w:t>
            </w:r>
            <w:r>
              <w:rPr>
                <w:rFonts w:ascii="Arial" w:hAnsi="Arial" w:cs="Arial"/>
                <w:sz w:val="20"/>
                <w:lang w:val="sl-SI"/>
              </w:rPr>
              <w:t>e</w:t>
            </w:r>
            <w:r w:rsidRPr="00BB440C">
              <w:rPr>
                <w:rFonts w:ascii="Arial" w:hAnsi="Arial" w:cs="Arial"/>
                <w:sz w:val="20"/>
                <w:lang w:val="sl-SI"/>
              </w:rPr>
              <w:t xml:space="preserve"> pripomb</w:t>
            </w:r>
            <w:r>
              <w:rPr>
                <w:rFonts w:ascii="Arial" w:hAnsi="Arial" w:cs="Arial"/>
                <w:sz w:val="20"/>
                <w:lang w:val="sl-SI"/>
              </w:rPr>
              <w:t>e 8 glede zastarelosti tehnologije, tam je podan tudi odgovor</w:t>
            </w:r>
            <w:r w:rsidRPr="00BB440C">
              <w:rPr>
                <w:rFonts w:ascii="Arial" w:hAnsi="Arial" w:cs="Arial"/>
                <w:sz w:val="20"/>
                <w:lang w:val="sl-SI"/>
              </w:rPr>
              <w:t>.</w:t>
            </w:r>
            <w:r>
              <w:rPr>
                <w:rFonts w:ascii="Arial" w:hAnsi="Arial" w:cs="Arial"/>
                <w:sz w:val="20"/>
                <w:lang w:val="sl-SI"/>
              </w:rPr>
              <w:t xml:space="preserve"> Zastarelost tehnologije spada v VF4, medtem ko VF2 obravnava zastarelost SSK, kar pa ni isto. </w:t>
            </w:r>
          </w:p>
          <w:p w14:paraId="389B673A" w14:textId="77777777" w:rsidR="007F3369" w:rsidRDefault="007F3369" w:rsidP="002E7597">
            <w:pPr>
              <w:rPr>
                <w:rFonts w:ascii="Arial" w:hAnsi="Arial" w:cs="Arial"/>
                <w:sz w:val="20"/>
                <w:lang w:val="sl-SI"/>
              </w:rPr>
            </w:pPr>
            <w:r>
              <w:rPr>
                <w:rFonts w:ascii="Arial" w:hAnsi="Arial" w:cs="Arial"/>
                <w:sz w:val="20"/>
                <w:highlight w:val="magenta"/>
                <w:lang w:val="sl-SI"/>
              </w:rPr>
              <w:t>ZAVRNJENO</w:t>
            </w:r>
          </w:p>
          <w:p w14:paraId="3CD3DB63" w14:textId="77777777" w:rsidR="007F3369" w:rsidRPr="00BB440C" w:rsidRDefault="007F3369" w:rsidP="002E7597">
            <w:pPr>
              <w:rPr>
                <w:rFonts w:ascii="Arial" w:hAnsi="Arial" w:cs="Arial"/>
                <w:sz w:val="20"/>
                <w:lang w:val="sl-SI"/>
              </w:rPr>
            </w:pPr>
          </w:p>
        </w:tc>
      </w:tr>
      <w:tr w:rsidR="007F3369" w:rsidRPr="00A663D5" w14:paraId="274006AF" w14:textId="77777777" w:rsidTr="002E7597">
        <w:trPr>
          <w:jc w:val="center"/>
        </w:trPr>
        <w:tc>
          <w:tcPr>
            <w:tcW w:w="421" w:type="dxa"/>
            <w:shd w:val="clear" w:color="auto" w:fill="FF33CC"/>
          </w:tcPr>
          <w:p w14:paraId="1D463886"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29F32960" w14:textId="77777777" w:rsidR="007F3369" w:rsidRDefault="007F3369" w:rsidP="002E7597">
            <w:pPr>
              <w:rPr>
                <w:rFonts w:ascii="Arial" w:hAnsi="Arial" w:cs="Arial"/>
                <w:sz w:val="20"/>
                <w:lang w:val="sl-SI"/>
              </w:rPr>
            </w:pPr>
            <w:r w:rsidRPr="0023594D">
              <w:rPr>
                <w:rFonts w:ascii="Arial" w:hAnsi="Arial" w:cs="Arial"/>
                <w:sz w:val="20"/>
                <w:lang w:val="sl-SI"/>
              </w:rPr>
              <w:t>Str. 15/48</w:t>
            </w:r>
          </w:p>
        </w:tc>
        <w:tc>
          <w:tcPr>
            <w:tcW w:w="1134" w:type="dxa"/>
          </w:tcPr>
          <w:p w14:paraId="7087004B" w14:textId="77777777" w:rsidR="007F3369" w:rsidRDefault="007F3369" w:rsidP="002E7597">
            <w:pPr>
              <w:rPr>
                <w:rFonts w:ascii="Arial" w:hAnsi="Arial" w:cs="Arial"/>
                <w:sz w:val="20"/>
                <w:lang w:val="sl-SI"/>
              </w:rPr>
            </w:pPr>
            <w:r w:rsidRPr="0023594D">
              <w:rPr>
                <w:rFonts w:ascii="Arial" w:hAnsi="Arial" w:cs="Arial"/>
                <w:sz w:val="20"/>
                <w:lang w:val="sl-SI"/>
              </w:rPr>
              <w:t>VF5 Deterministične varnostne analize objekta</w:t>
            </w:r>
          </w:p>
        </w:tc>
        <w:tc>
          <w:tcPr>
            <w:tcW w:w="3402" w:type="dxa"/>
          </w:tcPr>
          <w:p w14:paraId="062334D6" w14:textId="77777777" w:rsidR="007F3369" w:rsidRPr="00A95816" w:rsidRDefault="007F3369" w:rsidP="002E7597">
            <w:pPr>
              <w:pStyle w:val="SlogArialObojestranskoPred6pt"/>
              <w:spacing w:before="0"/>
              <w:jc w:val="left"/>
              <w:rPr>
                <w:sz w:val="20"/>
              </w:rPr>
            </w:pPr>
            <w:r w:rsidRPr="0023594D">
              <w:rPr>
                <w:sz w:val="20"/>
              </w:rPr>
              <w:t xml:space="preserve">Sedanji varnostni standardi in znanje (vključno z rezultati raziskav in </w:t>
            </w:r>
            <w:r w:rsidRPr="00224DB1">
              <w:rPr>
                <w:sz w:val="20"/>
              </w:rPr>
              <w:t>razvoja</w:t>
            </w:r>
            <w:r w:rsidRPr="0023594D">
              <w:rPr>
                <w:sz w:val="20"/>
              </w:rPr>
              <w:t>);</w:t>
            </w:r>
          </w:p>
        </w:tc>
        <w:tc>
          <w:tcPr>
            <w:tcW w:w="2835" w:type="dxa"/>
          </w:tcPr>
          <w:p w14:paraId="0FAEA553" w14:textId="77777777" w:rsidR="007F3369" w:rsidRPr="00E72971" w:rsidRDefault="007F3369" w:rsidP="002E7597">
            <w:pPr>
              <w:rPr>
                <w:rFonts w:ascii="Arial" w:hAnsi="Arial" w:cs="Arial"/>
                <w:sz w:val="20"/>
                <w:lang w:val="sl-SI"/>
              </w:rPr>
            </w:pPr>
            <w:r w:rsidRPr="00625BBF">
              <w:rPr>
                <w:rFonts w:ascii="Arial" w:hAnsi="Arial" w:cs="Arial"/>
                <w:sz w:val="20"/>
                <w:lang w:val="sl-SI"/>
              </w:rPr>
              <w:t xml:space="preserve">Predlaga se dodatni tekst pod zadnjo alinejo "Obstoj in ustreznost varnostnih rezerv" kot sledi: "Pri obravnavi sedanjih determinističnih metod in varnostnih standardov je potrebno upoštevati sorazmernost stroškov, ki bi nastopili z uporabo novejših determinističnih metod oz. varnostnih standardov, glede na pričakovano izboljšanje varnostnih parametrov, potrebno je upoštevati primernost sedanjih determinističnih metod in varnostnih standardov za tip (PWR, BWR, ..) in generacijo jedrskega objekta (t.i. backfitting) ter je potrebno upoštevati stopnjo obveznosti za implementacijo </w:t>
            </w:r>
            <w:r w:rsidRPr="00625BBF">
              <w:rPr>
                <w:rFonts w:ascii="Arial" w:hAnsi="Arial" w:cs="Arial"/>
                <w:sz w:val="20"/>
                <w:lang w:val="sl-SI"/>
              </w:rPr>
              <w:lastRenderedPageBreak/>
              <w:t>novejših determinističnih metod in varnostnih standardov (mandatory, non-mandatory).</w:t>
            </w:r>
          </w:p>
        </w:tc>
        <w:tc>
          <w:tcPr>
            <w:tcW w:w="1843" w:type="dxa"/>
          </w:tcPr>
          <w:p w14:paraId="3A0921BE" w14:textId="77777777" w:rsidR="007F3369" w:rsidRDefault="007F3369" w:rsidP="002E7597">
            <w:pPr>
              <w:rPr>
                <w:rFonts w:ascii="Arial" w:hAnsi="Arial" w:cs="Arial"/>
                <w:sz w:val="20"/>
                <w:lang w:val="sl-SI"/>
              </w:rPr>
            </w:pPr>
            <w:r w:rsidRPr="00625BBF">
              <w:rPr>
                <w:rFonts w:ascii="Arial" w:hAnsi="Arial" w:cs="Arial"/>
                <w:sz w:val="20"/>
                <w:lang w:val="sl-SI"/>
              </w:rPr>
              <w:lastRenderedPageBreak/>
              <w:t xml:space="preserve">Uporaba najnovejših determinističnih metod ter varnostnih standardov je odvisna tudi od tipa elektrarne (PWR, BWR) in od generacije elektrarne (Gen II vs. Gen III). Uporaba najnovejših analitičnih metod lahko da nekonservativne rezultate glede na obstoječe metode, ki so bile originalno uporabljene za objekt, s tem da </w:t>
            </w:r>
            <w:r w:rsidRPr="00625BBF">
              <w:rPr>
                <w:rFonts w:ascii="Arial" w:hAnsi="Arial" w:cs="Arial"/>
                <w:sz w:val="20"/>
                <w:lang w:val="sl-SI"/>
              </w:rPr>
              <w:lastRenderedPageBreak/>
              <w:t>lahko povzroči visok strošek. Nepretehtana implementacija najnovejših varnostni</w:t>
            </w:r>
            <w:r>
              <w:rPr>
                <w:rFonts w:ascii="Arial" w:hAnsi="Arial" w:cs="Arial"/>
                <w:sz w:val="20"/>
                <w:lang w:val="sl-SI"/>
              </w:rPr>
              <w:t>h</w:t>
            </w:r>
            <w:r w:rsidRPr="00625BBF">
              <w:rPr>
                <w:rFonts w:ascii="Arial" w:hAnsi="Arial" w:cs="Arial"/>
                <w:sz w:val="20"/>
                <w:lang w:val="sl-SI"/>
              </w:rPr>
              <w:t xml:space="preserve"> standardov lahko pripelje v situacijo ko dobimo za nesorazmerno velik strošek majhno izboljšavo varnosti.</w:t>
            </w:r>
          </w:p>
        </w:tc>
        <w:tc>
          <w:tcPr>
            <w:tcW w:w="3685" w:type="dxa"/>
            <w:shd w:val="clear" w:color="auto" w:fill="DBE5F1" w:themeFill="accent1" w:themeFillTint="33"/>
          </w:tcPr>
          <w:p w14:paraId="0B603F88" w14:textId="77777777" w:rsidR="007F3369" w:rsidRDefault="007F3369" w:rsidP="002E7597">
            <w:pPr>
              <w:rPr>
                <w:rFonts w:ascii="Arial" w:hAnsi="Arial" w:cs="Arial"/>
                <w:sz w:val="20"/>
                <w:lang w:val="sl-SI"/>
              </w:rPr>
            </w:pPr>
            <w:r w:rsidRPr="00EA22BA">
              <w:rPr>
                <w:rFonts w:ascii="Arial" w:hAnsi="Arial" w:cs="Arial"/>
                <w:sz w:val="20"/>
                <w:lang w:val="sl-SI"/>
              </w:rPr>
              <w:lastRenderedPageBreak/>
              <w:t>Ta pripomba je zelo specifična za NEK in za obdobje, ko NEK prehaja v dolgoročno obratovanje. V PS 1.01, ki naj bo splošna, takšen dodatek ne sodi. NEK pa lahko to uveljavlja v postopku odobritve programa PSR3</w:t>
            </w:r>
            <w:r>
              <w:rPr>
                <w:rFonts w:ascii="Arial" w:hAnsi="Arial" w:cs="Arial"/>
                <w:sz w:val="20"/>
                <w:lang w:val="sl-SI"/>
              </w:rPr>
              <w:t xml:space="preserve"> (obravnavali smo na ustni obravnavi)</w:t>
            </w:r>
            <w:r w:rsidRPr="00EA22BA">
              <w:rPr>
                <w:rFonts w:ascii="Arial" w:hAnsi="Arial" w:cs="Arial"/>
                <w:sz w:val="20"/>
                <w:lang w:val="sl-SI"/>
              </w:rPr>
              <w:t>.</w:t>
            </w:r>
          </w:p>
          <w:p w14:paraId="0671FF27" w14:textId="77777777" w:rsidR="007F3369" w:rsidRPr="00EA22BA" w:rsidRDefault="007F3369" w:rsidP="002E7597">
            <w:pPr>
              <w:rPr>
                <w:rFonts w:ascii="Arial" w:hAnsi="Arial" w:cs="Arial"/>
                <w:sz w:val="20"/>
                <w:lang w:val="sl-SI"/>
              </w:rPr>
            </w:pPr>
            <w:r>
              <w:rPr>
                <w:rFonts w:ascii="Arial" w:hAnsi="Arial" w:cs="Arial"/>
                <w:sz w:val="20"/>
                <w:lang w:val="sl-SI"/>
              </w:rPr>
              <w:t>Sicer je obravnava cost-benefit tudi del metodologije PSR v fazi priprave ukrepov za posamezne najdbe.</w:t>
            </w:r>
          </w:p>
          <w:p w14:paraId="5E563E3A" w14:textId="77777777" w:rsidR="007F3369" w:rsidRDefault="007F3369" w:rsidP="002E7597">
            <w:pPr>
              <w:rPr>
                <w:rFonts w:ascii="Arial" w:hAnsi="Arial" w:cs="Arial"/>
                <w:sz w:val="20"/>
                <w:lang w:val="sl-SI"/>
              </w:rPr>
            </w:pPr>
            <w:r>
              <w:rPr>
                <w:rFonts w:ascii="Arial" w:hAnsi="Arial" w:cs="Arial"/>
                <w:sz w:val="20"/>
                <w:highlight w:val="magenta"/>
                <w:lang w:val="sl-SI"/>
              </w:rPr>
              <w:t>ZAVRNJENO</w:t>
            </w:r>
          </w:p>
          <w:p w14:paraId="2D9E26B7" w14:textId="77777777" w:rsidR="007F3369" w:rsidRPr="008D3EB4" w:rsidRDefault="007F3369" w:rsidP="002E7597">
            <w:pPr>
              <w:rPr>
                <w:rFonts w:ascii="Arial" w:hAnsi="Arial" w:cs="Arial"/>
                <w:sz w:val="20"/>
                <w:highlight w:val="green"/>
                <w:lang w:val="sl-SI"/>
              </w:rPr>
            </w:pPr>
          </w:p>
        </w:tc>
      </w:tr>
      <w:tr w:rsidR="007F3369" w:rsidRPr="00A663D5" w14:paraId="6BE7B93F" w14:textId="77777777" w:rsidTr="002E7597">
        <w:trPr>
          <w:jc w:val="center"/>
        </w:trPr>
        <w:tc>
          <w:tcPr>
            <w:tcW w:w="421" w:type="dxa"/>
            <w:shd w:val="clear" w:color="auto" w:fill="FF33CC"/>
          </w:tcPr>
          <w:p w14:paraId="67073EEB"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1C05B58F" w14:textId="77777777" w:rsidR="007F3369" w:rsidRDefault="007F3369" w:rsidP="002E7597">
            <w:pPr>
              <w:rPr>
                <w:rFonts w:ascii="Arial" w:hAnsi="Arial" w:cs="Arial"/>
                <w:sz w:val="20"/>
                <w:lang w:val="sl-SI"/>
              </w:rPr>
            </w:pPr>
          </w:p>
        </w:tc>
        <w:tc>
          <w:tcPr>
            <w:tcW w:w="1134" w:type="dxa"/>
          </w:tcPr>
          <w:p w14:paraId="2212EFEA" w14:textId="77777777" w:rsidR="007F3369" w:rsidRDefault="007F3369" w:rsidP="002E7597">
            <w:pPr>
              <w:rPr>
                <w:rFonts w:ascii="Arial" w:hAnsi="Arial" w:cs="Arial"/>
                <w:sz w:val="20"/>
                <w:lang w:val="sl-SI"/>
              </w:rPr>
            </w:pPr>
            <w:r w:rsidRPr="0023594D">
              <w:rPr>
                <w:rFonts w:ascii="Arial" w:hAnsi="Arial" w:cs="Arial"/>
                <w:sz w:val="20"/>
                <w:lang w:val="sl-SI"/>
              </w:rPr>
              <w:t>VF5 Deterministične varnostne analize objekta</w:t>
            </w:r>
          </w:p>
        </w:tc>
        <w:tc>
          <w:tcPr>
            <w:tcW w:w="3402" w:type="dxa"/>
          </w:tcPr>
          <w:p w14:paraId="4B8AA9FE" w14:textId="77777777" w:rsidR="007F3369" w:rsidRPr="00A95816" w:rsidRDefault="007F3369" w:rsidP="002E7597">
            <w:pPr>
              <w:pStyle w:val="SlogArialObojestranskoPred6pt"/>
              <w:spacing w:before="0"/>
              <w:jc w:val="left"/>
              <w:rPr>
                <w:sz w:val="20"/>
              </w:rPr>
            </w:pPr>
            <w:r w:rsidRPr="00625BBF">
              <w:rPr>
                <w:sz w:val="20"/>
              </w:rPr>
              <w:t xml:space="preserve">Ovrednotenje ali so predpostavke uporabljene v determinističnih varnostnih analizah v skladu s sedanjimi predpisi in </w:t>
            </w:r>
            <w:r w:rsidRPr="00224DB1">
              <w:rPr>
                <w:sz w:val="20"/>
              </w:rPr>
              <w:t>standardi</w:t>
            </w:r>
            <w:r w:rsidRPr="00625BBF">
              <w:rPr>
                <w:sz w:val="20"/>
              </w:rPr>
              <w:t>;</w:t>
            </w:r>
          </w:p>
        </w:tc>
        <w:tc>
          <w:tcPr>
            <w:tcW w:w="2835" w:type="dxa"/>
          </w:tcPr>
          <w:p w14:paraId="21A841C7" w14:textId="77777777" w:rsidR="007F3369" w:rsidRPr="00E72971" w:rsidRDefault="007F3369" w:rsidP="002E7597">
            <w:pPr>
              <w:rPr>
                <w:rFonts w:ascii="Arial" w:hAnsi="Arial" w:cs="Arial"/>
                <w:sz w:val="20"/>
                <w:lang w:val="sl-SI"/>
              </w:rPr>
            </w:pPr>
            <w:r w:rsidRPr="00625BBF">
              <w:rPr>
                <w:rFonts w:ascii="Arial" w:hAnsi="Arial" w:cs="Arial"/>
                <w:sz w:val="20"/>
                <w:lang w:val="sl-SI"/>
              </w:rPr>
              <w:t>Z upoštevanjem vidikov sorazmernosti stroškov glede na pričakovano izboljšanje povečanje varnostnih parametrov, z upoštevanjem primernosti glede na tip in generacijo jedrskega objekta in z upoštevanjem nivoja obveznosti implementacije (mandatory vs. non-mandatory).</w:t>
            </w:r>
          </w:p>
        </w:tc>
        <w:tc>
          <w:tcPr>
            <w:tcW w:w="1843" w:type="dxa"/>
          </w:tcPr>
          <w:p w14:paraId="4EF0343A"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7010731A" w14:textId="51F6336C" w:rsidR="007F3369" w:rsidRPr="0094790E" w:rsidRDefault="007F3369" w:rsidP="002E7597">
            <w:pPr>
              <w:rPr>
                <w:rFonts w:ascii="Arial" w:hAnsi="Arial" w:cs="Arial"/>
                <w:sz w:val="20"/>
                <w:lang w:val="sl-SI"/>
              </w:rPr>
            </w:pPr>
            <w:r w:rsidRPr="0094790E">
              <w:rPr>
                <w:rFonts w:ascii="Arial" w:hAnsi="Arial" w:cs="Arial"/>
                <w:sz w:val="20"/>
                <w:lang w:val="sl-SI"/>
              </w:rPr>
              <w:t xml:space="preserve">Glede na to, da </w:t>
            </w:r>
            <w:r w:rsidR="00A4713E">
              <w:rPr>
                <w:rFonts w:ascii="Arial" w:hAnsi="Arial" w:cs="Arial"/>
                <w:sz w:val="20"/>
                <w:lang w:val="sl-SI"/>
              </w:rPr>
              <w:t>se</w:t>
            </w:r>
            <w:r w:rsidRPr="0094790E">
              <w:rPr>
                <w:rFonts w:ascii="Arial" w:hAnsi="Arial" w:cs="Arial"/>
                <w:sz w:val="20"/>
                <w:lang w:val="sl-SI"/>
              </w:rPr>
              <w:t xml:space="preserve"> pred pripravo akcijskega načrta izvede tudi oceno cost-benefit, ter da veliko najdb PSR ne vključi v akcijski načrt, je to že izpolnjeno – te kriterije se določi v programu PSR. Ta dodatek ne spada v PS 1.01.</w:t>
            </w:r>
          </w:p>
          <w:p w14:paraId="421CAB13" w14:textId="77777777" w:rsidR="007F3369" w:rsidRDefault="007F3369" w:rsidP="002E7597">
            <w:pPr>
              <w:rPr>
                <w:rFonts w:ascii="Arial" w:hAnsi="Arial" w:cs="Arial"/>
                <w:sz w:val="20"/>
                <w:lang w:val="sl-SI"/>
              </w:rPr>
            </w:pPr>
            <w:r>
              <w:rPr>
                <w:rFonts w:ascii="Arial" w:hAnsi="Arial" w:cs="Arial"/>
                <w:sz w:val="20"/>
                <w:highlight w:val="magenta"/>
                <w:lang w:val="sl-SI"/>
              </w:rPr>
              <w:t>ZAVRNJENO</w:t>
            </w:r>
          </w:p>
          <w:p w14:paraId="60DBD0D7" w14:textId="77777777" w:rsidR="007F3369" w:rsidRPr="0094790E" w:rsidRDefault="007F3369" w:rsidP="002E7597">
            <w:pPr>
              <w:rPr>
                <w:rFonts w:ascii="Arial" w:hAnsi="Arial" w:cs="Arial"/>
                <w:sz w:val="20"/>
                <w:lang w:val="sl-SI"/>
              </w:rPr>
            </w:pPr>
          </w:p>
        </w:tc>
      </w:tr>
      <w:tr w:rsidR="007F3369" w:rsidRPr="00A663D5" w14:paraId="5ACB73CD" w14:textId="77777777" w:rsidTr="002E7597">
        <w:trPr>
          <w:jc w:val="center"/>
        </w:trPr>
        <w:tc>
          <w:tcPr>
            <w:tcW w:w="421" w:type="dxa"/>
            <w:shd w:val="clear" w:color="auto" w:fill="00FF00"/>
          </w:tcPr>
          <w:p w14:paraId="33BA8A5E"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165B01F5" w14:textId="77777777" w:rsidR="007F3369" w:rsidRPr="00A8243C" w:rsidRDefault="007F3369" w:rsidP="002E7597">
            <w:pPr>
              <w:rPr>
                <w:rFonts w:ascii="Arial" w:hAnsi="Arial" w:cs="Arial"/>
                <w:sz w:val="20"/>
                <w:lang w:val="sl-SI"/>
              </w:rPr>
            </w:pPr>
            <w:r w:rsidRPr="00A8243C">
              <w:rPr>
                <w:rFonts w:ascii="Arial" w:hAnsi="Arial" w:cs="Arial"/>
                <w:sz w:val="20"/>
                <w:lang w:val="sl-SI"/>
              </w:rPr>
              <w:t>Str 17/48</w:t>
            </w:r>
          </w:p>
        </w:tc>
        <w:tc>
          <w:tcPr>
            <w:tcW w:w="1134" w:type="dxa"/>
          </w:tcPr>
          <w:p w14:paraId="3C66C442" w14:textId="77777777" w:rsidR="007F3369" w:rsidRDefault="007F3369" w:rsidP="002E7597">
            <w:pPr>
              <w:rPr>
                <w:rFonts w:ascii="Arial" w:hAnsi="Arial" w:cs="Arial"/>
                <w:sz w:val="20"/>
                <w:lang w:val="sl-SI"/>
              </w:rPr>
            </w:pPr>
            <w:r>
              <w:rPr>
                <w:rFonts w:ascii="Arial" w:hAnsi="Arial" w:cs="Arial"/>
                <w:sz w:val="20"/>
                <w:lang w:val="sl-SI"/>
              </w:rPr>
              <w:t>VF</w:t>
            </w:r>
            <w:r w:rsidRPr="005C6764">
              <w:rPr>
                <w:rFonts w:ascii="Arial" w:hAnsi="Arial" w:cs="Arial"/>
                <w:sz w:val="20"/>
                <w:lang w:val="sl-SI"/>
              </w:rPr>
              <w:t>6</w:t>
            </w:r>
            <w:r>
              <w:rPr>
                <w:rFonts w:ascii="Arial" w:hAnsi="Arial" w:cs="Arial"/>
                <w:sz w:val="20"/>
                <w:lang w:val="sl-SI"/>
              </w:rPr>
              <w:t xml:space="preserve"> </w:t>
            </w:r>
            <w:r w:rsidRPr="005C6764">
              <w:rPr>
                <w:rFonts w:ascii="Arial" w:hAnsi="Arial" w:cs="Arial"/>
                <w:sz w:val="20"/>
                <w:lang w:val="sl-SI"/>
              </w:rPr>
              <w:t>Verjetnostne varnostne analize objekta</w:t>
            </w:r>
          </w:p>
        </w:tc>
        <w:tc>
          <w:tcPr>
            <w:tcW w:w="3402" w:type="dxa"/>
          </w:tcPr>
          <w:p w14:paraId="4D83F0EA" w14:textId="77777777" w:rsidR="007F3369" w:rsidRPr="00A8243C" w:rsidRDefault="007F3369" w:rsidP="002E7597">
            <w:pPr>
              <w:rPr>
                <w:rFonts w:ascii="Arial" w:hAnsi="Arial" w:cs="Arial"/>
                <w:sz w:val="20"/>
                <w:lang w:val="sl-SI"/>
              </w:rPr>
            </w:pPr>
          </w:p>
        </w:tc>
        <w:tc>
          <w:tcPr>
            <w:tcW w:w="2835" w:type="dxa"/>
          </w:tcPr>
          <w:p w14:paraId="59BE3226" w14:textId="77777777" w:rsidR="007F3369" w:rsidRPr="00A8243C" w:rsidRDefault="007F3369" w:rsidP="002E7597">
            <w:pPr>
              <w:rPr>
                <w:rFonts w:ascii="Arial" w:hAnsi="Arial" w:cs="Arial"/>
                <w:sz w:val="20"/>
                <w:lang w:val="sl-SI"/>
              </w:rPr>
            </w:pPr>
            <w:r w:rsidRPr="00A8243C">
              <w:rPr>
                <w:rFonts w:ascii="Arial" w:hAnsi="Arial" w:cs="Arial"/>
                <w:sz w:val="20"/>
                <w:lang w:val="sl-SI"/>
              </w:rPr>
              <w:t>Metodologija:</w:t>
            </w:r>
          </w:p>
          <w:p w14:paraId="7096C048" w14:textId="77777777" w:rsidR="007F3369" w:rsidRPr="00A8243C" w:rsidRDefault="007F3369" w:rsidP="002E7597">
            <w:pPr>
              <w:rPr>
                <w:rFonts w:ascii="Arial" w:hAnsi="Arial" w:cs="Arial"/>
                <w:sz w:val="20"/>
                <w:lang w:val="sl-SI"/>
              </w:rPr>
            </w:pPr>
            <w:r w:rsidRPr="00A8243C">
              <w:rPr>
                <w:rFonts w:ascii="Arial" w:hAnsi="Arial" w:cs="Arial"/>
                <w:sz w:val="20"/>
                <w:lang w:val="sl-SI"/>
              </w:rPr>
              <w:t xml:space="preserve">….VVA je treba pregledati in tako potrditi, da modeliranje odraža sedanji projekt in obratovalne </w:t>
            </w:r>
            <w:r w:rsidRPr="00224DB1">
              <w:rPr>
                <w:rFonts w:ascii="Arial" w:hAnsi="Arial" w:cs="Arial"/>
                <w:sz w:val="20"/>
                <w:lang w:val="sl-SI"/>
              </w:rPr>
              <w:t>naprave</w:t>
            </w:r>
            <w:r w:rsidRPr="00A8243C">
              <w:rPr>
                <w:rFonts w:ascii="Arial" w:hAnsi="Arial" w:cs="Arial"/>
                <w:sz w:val="20"/>
                <w:lang w:val="sl-SI"/>
              </w:rPr>
              <w:t xml:space="preserve"> – v originalu eng. features = lastnosti, značilnosti</w:t>
            </w:r>
          </w:p>
        </w:tc>
        <w:tc>
          <w:tcPr>
            <w:tcW w:w="1843" w:type="dxa"/>
          </w:tcPr>
          <w:p w14:paraId="625B7A3F"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6A6DB8E6" w14:textId="77777777" w:rsidR="007F3369" w:rsidRDefault="007F3369" w:rsidP="002E7597">
            <w:pPr>
              <w:rPr>
                <w:rFonts w:ascii="Arial" w:hAnsi="Arial" w:cs="Arial"/>
                <w:sz w:val="20"/>
                <w:highlight w:val="green"/>
                <w:lang w:val="sl-SI"/>
              </w:rPr>
            </w:pPr>
            <w:r w:rsidRPr="008D3EB4">
              <w:rPr>
                <w:rFonts w:ascii="Arial" w:hAnsi="Arial" w:cs="Arial"/>
                <w:sz w:val="20"/>
                <w:highlight w:val="green"/>
                <w:lang w:val="sl-SI"/>
              </w:rPr>
              <w:t>SPREJETO</w:t>
            </w:r>
          </w:p>
          <w:p w14:paraId="0E5B2C9E" w14:textId="77777777" w:rsidR="007F3369" w:rsidRPr="00BA01EE" w:rsidRDefault="007F3369" w:rsidP="002E7597">
            <w:pPr>
              <w:rPr>
                <w:rFonts w:ascii="Arial" w:hAnsi="Arial" w:cs="Arial"/>
                <w:sz w:val="20"/>
                <w:highlight w:val="magenta"/>
                <w:lang w:val="sl-SI"/>
              </w:rPr>
            </w:pPr>
          </w:p>
        </w:tc>
      </w:tr>
      <w:tr w:rsidR="007F3369" w:rsidRPr="00A663D5" w14:paraId="1EDCE565" w14:textId="77777777" w:rsidTr="002E7597">
        <w:trPr>
          <w:jc w:val="center"/>
        </w:trPr>
        <w:tc>
          <w:tcPr>
            <w:tcW w:w="421" w:type="dxa"/>
            <w:shd w:val="clear" w:color="auto" w:fill="00FF00"/>
          </w:tcPr>
          <w:p w14:paraId="1AF28671"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651C52C6" w14:textId="77777777" w:rsidR="007F3369" w:rsidRPr="00A8243C" w:rsidRDefault="007F3369" w:rsidP="002E7597">
            <w:pPr>
              <w:rPr>
                <w:rFonts w:ascii="Arial" w:hAnsi="Arial" w:cs="Arial"/>
                <w:sz w:val="20"/>
                <w:lang w:val="sl-SI"/>
              </w:rPr>
            </w:pPr>
            <w:r w:rsidRPr="00A8243C">
              <w:rPr>
                <w:rFonts w:ascii="Arial" w:hAnsi="Arial" w:cs="Arial"/>
                <w:sz w:val="20"/>
                <w:lang w:val="sl-SI"/>
              </w:rPr>
              <w:t>Str. 19/48</w:t>
            </w:r>
          </w:p>
        </w:tc>
        <w:tc>
          <w:tcPr>
            <w:tcW w:w="1134" w:type="dxa"/>
          </w:tcPr>
          <w:p w14:paraId="0AA058D7" w14:textId="77777777" w:rsidR="007F3369" w:rsidRDefault="007F3369" w:rsidP="002E7597">
            <w:pPr>
              <w:rPr>
                <w:rFonts w:ascii="Arial" w:hAnsi="Arial" w:cs="Arial"/>
                <w:sz w:val="20"/>
                <w:lang w:val="sl-SI"/>
              </w:rPr>
            </w:pPr>
            <w:r>
              <w:rPr>
                <w:rFonts w:ascii="Arial" w:hAnsi="Arial" w:cs="Arial"/>
                <w:sz w:val="20"/>
                <w:lang w:val="sl-SI"/>
              </w:rPr>
              <w:t xml:space="preserve">VF7 </w:t>
            </w:r>
            <w:r w:rsidRPr="005C6764">
              <w:rPr>
                <w:rFonts w:ascii="Arial" w:hAnsi="Arial" w:cs="Arial"/>
                <w:sz w:val="20"/>
                <w:lang w:val="sl-SI"/>
              </w:rPr>
              <w:t>Analize ogroženosti in možnih nevarnost</w:t>
            </w:r>
            <w:r w:rsidRPr="005C6764">
              <w:rPr>
                <w:rFonts w:ascii="Arial" w:hAnsi="Arial" w:cs="Arial"/>
                <w:sz w:val="20"/>
                <w:lang w:val="sl-SI"/>
              </w:rPr>
              <w:lastRenderedPageBreak/>
              <w:t>i glede na jedrsko in sevalno varnost</w:t>
            </w:r>
          </w:p>
        </w:tc>
        <w:tc>
          <w:tcPr>
            <w:tcW w:w="3402" w:type="dxa"/>
          </w:tcPr>
          <w:p w14:paraId="447CDA97" w14:textId="77777777" w:rsidR="007F3369" w:rsidRPr="00A8243C" w:rsidRDefault="007F3369" w:rsidP="002E7597">
            <w:pPr>
              <w:rPr>
                <w:rFonts w:ascii="Arial" w:hAnsi="Arial" w:cs="Arial"/>
                <w:sz w:val="20"/>
                <w:lang w:val="sl-SI"/>
              </w:rPr>
            </w:pPr>
          </w:p>
        </w:tc>
        <w:tc>
          <w:tcPr>
            <w:tcW w:w="2835" w:type="dxa"/>
          </w:tcPr>
          <w:p w14:paraId="04DAAC53" w14:textId="77777777" w:rsidR="007F3369" w:rsidRDefault="007F3369" w:rsidP="002E7597">
            <w:pPr>
              <w:rPr>
                <w:rFonts w:ascii="Arial" w:hAnsi="Arial" w:cs="Arial"/>
                <w:sz w:val="20"/>
                <w:lang w:val="sl-SI"/>
              </w:rPr>
            </w:pPr>
            <w:r w:rsidRPr="00A8243C">
              <w:rPr>
                <w:rFonts w:ascii="Arial" w:hAnsi="Arial" w:cs="Arial"/>
                <w:sz w:val="20"/>
                <w:lang w:val="sl-SI"/>
              </w:rPr>
              <w:t>Obseg</w:t>
            </w:r>
          </w:p>
          <w:p w14:paraId="54119AFB" w14:textId="77777777" w:rsidR="007F3369" w:rsidRPr="00A8243C" w:rsidRDefault="007F3369" w:rsidP="002E7597">
            <w:pPr>
              <w:rPr>
                <w:rFonts w:ascii="Arial" w:hAnsi="Arial" w:cs="Arial"/>
                <w:sz w:val="20"/>
                <w:lang w:val="sl-SI"/>
              </w:rPr>
            </w:pPr>
            <w:r w:rsidRPr="00A8243C">
              <w:rPr>
                <w:rFonts w:ascii="Arial" w:hAnsi="Arial" w:cs="Arial"/>
                <w:sz w:val="20"/>
                <w:lang w:val="sl-SI"/>
              </w:rPr>
              <w:t>Za vsak prepoznan vir notranje ali zunanje nevarnosti mora pregled ovrednotiti primernost zaščite z upoštevanjem naslednjega:</w:t>
            </w:r>
          </w:p>
          <w:p w14:paraId="42737D2E" w14:textId="77777777" w:rsidR="007F3369" w:rsidRPr="00A8243C" w:rsidRDefault="007F3369" w:rsidP="002E7597">
            <w:pPr>
              <w:rPr>
                <w:rFonts w:ascii="Arial" w:hAnsi="Arial" w:cs="Arial"/>
                <w:sz w:val="20"/>
                <w:lang w:val="sl-SI"/>
              </w:rPr>
            </w:pPr>
            <w:r w:rsidRPr="00A8243C">
              <w:rPr>
                <w:rFonts w:ascii="Arial" w:hAnsi="Arial" w:cs="Arial"/>
                <w:sz w:val="20"/>
                <w:lang w:val="sl-SI"/>
              </w:rPr>
              <w:lastRenderedPageBreak/>
              <w:t>a.</w:t>
            </w:r>
            <w:r>
              <w:rPr>
                <w:rFonts w:ascii="Arial" w:hAnsi="Arial" w:cs="Arial"/>
                <w:sz w:val="20"/>
                <w:lang w:val="sl-SI"/>
              </w:rPr>
              <w:t xml:space="preserve"> </w:t>
            </w:r>
            <w:r w:rsidRPr="00224DB1">
              <w:rPr>
                <w:rFonts w:ascii="Arial" w:hAnsi="Arial" w:cs="Arial"/>
                <w:sz w:val="20"/>
                <w:lang w:val="sl-SI"/>
              </w:rPr>
              <w:t>Verjetna</w:t>
            </w:r>
            <w:r w:rsidRPr="00A8243C">
              <w:rPr>
                <w:rFonts w:ascii="Arial" w:hAnsi="Arial" w:cs="Arial"/>
                <w:sz w:val="20"/>
                <w:lang w:val="sl-SI"/>
              </w:rPr>
              <w:t xml:space="preserve"> velikost in pripadajoča pogostost pojava nevarnosti;</w:t>
            </w:r>
          </w:p>
          <w:p w14:paraId="63961A10" w14:textId="77777777" w:rsidR="007F3369" w:rsidRPr="00A8243C" w:rsidRDefault="007F3369" w:rsidP="002E7597">
            <w:pPr>
              <w:rPr>
                <w:rFonts w:ascii="Arial" w:hAnsi="Arial" w:cs="Arial"/>
                <w:sz w:val="20"/>
                <w:lang w:val="sl-SI"/>
              </w:rPr>
            </w:pPr>
            <w:r w:rsidRPr="00A8243C">
              <w:rPr>
                <w:rFonts w:ascii="Arial" w:hAnsi="Arial" w:cs="Arial"/>
                <w:sz w:val="20"/>
                <w:lang w:val="sl-SI"/>
              </w:rPr>
              <w:t>v originalu eng. credible = verodostojno</w:t>
            </w:r>
          </w:p>
        </w:tc>
        <w:tc>
          <w:tcPr>
            <w:tcW w:w="1843" w:type="dxa"/>
          </w:tcPr>
          <w:p w14:paraId="1072B52D"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1B9D3F44" w14:textId="77777777" w:rsidR="007F3369" w:rsidRDefault="007F3369" w:rsidP="002E7597">
            <w:pPr>
              <w:rPr>
                <w:rFonts w:ascii="Arial" w:hAnsi="Arial" w:cs="Arial"/>
                <w:sz w:val="20"/>
                <w:highlight w:val="green"/>
                <w:lang w:val="sl-SI"/>
              </w:rPr>
            </w:pPr>
            <w:r w:rsidRPr="008D3EB4">
              <w:rPr>
                <w:rFonts w:ascii="Arial" w:hAnsi="Arial" w:cs="Arial"/>
                <w:sz w:val="20"/>
                <w:highlight w:val="green"/>
                <w:lang w:val="sl-SI"/>
              </w:rPr>
              <w:t>SPREJETO</w:t>
            </w:r>
          </w:p>
          <w:p w14:paraId="7A90C4DA" w14:textId="77777777" w:rsidR="007F3369" w:rsidRPr="00E24264" w:rsidRDefault="007F3369" w:rsidP="002E7597">
            <w:pPr>
              <w:rPr>
                <w:rFonts w:ascii="Arial" w:hAnsi="Arial" w:cs="Arial"/>
                <w:sz w:val="20"/>
                <w:highlight w:val="magenta"/>
                <w:lang w:val="sl-SI"/>
              </w:rPr>
            </w:pPr>
          </w:p>
        </w:tc>
      </w:tr>
      <w:tr w:rsidR="007F3369" w:rsidRPr="006F3476" w14:paraId="40CCF438" w14:textId="77777777" w:rsidTr="002E7597">
        <w:trPr>
          <w:jc w:val="center"/>
        </w:trPr>
        <w:tc>
          <w:tcPr>
            <w:tcW w:w="421" w:type="dxa"/>
            <w:shd w:val="clear" w:color="auto" w:fill="FF33CC"/>
          </w:tcPr>
          <w:p w14:paraId="1B591375"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434C3915" w14:textId="77777777" w:rsidR="007F3369" w:rsidRPr="00A8243C" w:rsidRDefault="007F3369" w:rsidP="002E7597">
            <w:pPr>
              <w:rPr>
                <w:rFonts w:ascii="Arial" w:hAnsi="Arial" w:cs="Arial"/>
                <w:sz w:val="20"/>
                <w:lang w:val="sl-SI"/>
              </w:rPr>
            </w:pPr>
            <w:r w:rsidRPr="00A8243C">
              <w:rPr>
                <w:rFonts w:ascii="Arial" w:hAnsi="Arial" w:cs="Arial"/>
                <w:sz w:val="20"/>
                <w:lang w:val="sl-SI"/>
              </w:rPr>
              <w:t>str. 22/48</w:t>
            </w:r>
          </w:p>
        </w:tc>
        <w:tc>
          <w:tcPr>
            <w:tcW w:w="1134" w:type="dxa"/>
          </w:tcPr>
          <w:p w14:paraId="5E36C2B4" w14:textId="77777777" w:rsidR="007F3369" w:rsidRDefault="007F3369" w:rsidP="002E7597">
            <w:pPr>
              <w:rPr>
                <w:rFonts w:ascii="Arial" w:hAnsi="Arial" w:cs="Arial"/>
                <w:sz w:val="20"/>
                <w:lang w:val="sl-SI"/>
              </w:rPr>
            </w:pPr>
            <w:r>
              <w:rPr>
                <w:rFonts w:ascii="Arial" w:hAnsi="Arial" w:cs="Arial"/>
                <w:sz w:val="20"/>
                <w:lang w:val="sl-SI"/>
              </w:rPr>
              <w:t xml:space="preserve">VF8 </w:t>
            </w:r>
            <w:r w:rsidRPr="005C6764">
              <w:rPr>
                <w:rFonts w:ascii="Arial" w:hAnsi="Arial" w:cs="Arial"/>
                <w:sz w:val="20"/>
                <w:lang w:val="sl-SI"/>
              </w:rPr>
              <w:t>Obratovalne izkušnje in obratovalni kazalniki lastnega objekta</w:t>
            </w:r>
          </w:p>
        </w:tc>
        <w:tc>
          <w:tcPr>
            <w:tcW w:w="3402" w:type="dxa"/>
          </w:tcPr>
          <w:p w14:paraId="75D858B1" w14:textId="77777777" w:rsidR="007F3369" w:rsidRPr="00A8243C" w:rsidRDefault="007F3369" w:rsidP="002E7597">
            <w:pPr>
              <w:rPr>
                <w:rFonts w:ascii="Arial" w:hAnsi="Arial" w:cs="Arial"/>
                <w:sz w:val="20"/>
                <w:lang w:val="sl-SI"/>
              </w:rPr>
            </w:pPr>
          </w:p>
        </w:tc>
        <w:tc>
          <w:tcPr>
            <w:tcW w:w="2835" w:type="dxa"/>
          </w:tcPr>
          <w:p w14:paraId="07CF6E53" w14:textId="77777777" w:rsidR="007F3369" w:rsidRPr="00A8243C" w:rsidRDefault="007F3369" w:rsidP="002E7597">
            <w:pPr>
              <w:rPr>
                <w:rFonts w:ascii="Arial" w:hAnsi="Arial" w:cs="Arial"/>
                <w:sz w:val="20"/>
                <w:lang w:val="sl-SI"/>
              </w:rPr>
            </w:pPr>
            <w:r w:rsidRPr="00A8243C">
              <w:rPr>
                <w:rFonts w:ascii="Arial" w:hAnsi="Arial" w:cs="Arial"/>
                <w:sz w:val="20"/>
                <w:lang w:val="sl-SI"/>
              </w:rPr>
              <w:t>Obseg</w:t>
            </w:r>
          </w:p>
          <w:p w14:paraId="3BC8088C" w14:textId="77777777" w:rsidR="007F3369" w:rsidRPr="00A8243C" w:rsidRDefault="007F3369" w:rsidP="002E7597">
            <w:pPr>
              <w:rPr>
                <w:rFonts w:ascii="Arial" w:hAnsi="Arial" w:cs="Arial"/>
                <w:sz w:val="20"/>
                <w:lang w:val="sl-SI"/>
              </w:rPr>
            </w:pPr>
            <w:r w:rsidRPr="00A8243C">
              <w:rPr>
                <w:rFonts w:ascii="Arial" w:hAnsi="Arial" w:cs="Arial"/>
                <w:sz w:val="20"/>
                <w:lang w:val="sl-SI"/>
              </w:rPr>
              <w:t>Pregled mora oceniti, ali upravljavec objekta izvaja primerne procese za redne zapise in ocenjevanje obratovalnih izkušenj pomembnih za varnost, kar vključuje:</w:t>
            </w:r>
          </w:p>
          <w:p w14:paraId="03FCA4A7" w14:textId="77777777" w:rsidR="007F3369" w:rsidRPr="00A8243C" w:rsidRDefault="007F3369" w:rsidP="002E7597">
            <w:pPr>
              <w:rPr>
                <w:rFonts w:ascii="Arial" w:hAnsi="Arial" w:cs="Arial"/>
                <w:sz w:val="20"/>
                <w:lang w:val="sl-SI"/>
              </w:rPr>
            </w:pPr>
            <w:r w:rsidRPr="00A8243C">
              <w:rPr>
                <w:rFonts w:ascii="Arial" w:hAnsi="Arial" w:cs="Arial"/>
                <w:sz w:val="20"/>
                <w:lang w:val="sl-SI"/>
              </w:rPr>
              <w:t>a.</w:t>
            </w:r>
            <w:r>
              <w:rPr>
                <w:rFonts w:ascii="Arial" w:hAnsi="Arial" w:cs="Arial"/>
                <w:sz w:val="20"/>
                <w:lang w:val="sl-SI"/>
              </w:rPr>
              <w:t xml:space="preserve"> </w:t>
            </w:r>
            <w:r w:rsidRPr="00A8243C">
              <w:rPr>
                <w:rFonts w:ascii="Arial" w:hAnsi="Arial" w:cs="Arial"/>
                <w:sz w:val="20"/>
                <w:lang w:val="sl-SI"/>
              </w:rPr>
              <w:t xml:space="preserve">Dogodke pomembne za varnost, manj pomembne dogodke in </w:t>
            </w:r>
            <w:r w:rsidRPr="00224DB1">
              <w:rPr>
                <w:rFonts w:ascii="Arial" w:hAnsi="Arial" w:cs="Arial"/>
                <w:sz w:val="20"/>
                <w:lang w:val="sl-SI"/>
              </w:rPr>
              <w:t>dogodke brez posledic</w:t>
            </w:r>
            <w:r w:rsidRPr="00A8243C">
              <w:rPr>
                <w:rFonts w:ascii="Arial" w:hAnsi="Arial" w:cs="Arial"/>
                <w:b/>
                <w:sz w:val="20"/>
                <w:lang w:val="sl-SI"/>
              </w:rPr>
              <w:t>;</w:t>
            </w:r>
          </w:p>
          <w:p w14:paraId="0E453A37" w14:textId="77777777" w:rsidR="007F3369" w:rsidRPr="00A8243C" w:rsidRDefault="007F3369" w:rsidP="002E7597">
            <w:pPr>
              <w:rPr>
                <w:rFonts w:ascii="Arial" w:hAnsi="Arial" w:cs="Arial"/>
                <w:sz w:val="20"/>
                <w:lang w:val="sl-SI"/>
              </w:rPr>
            </w:pPr>
            <w:r w:rsidRPr="00A8243C">
              <w:rPr>
                <w:rFonts w:ascii="Arial" w:hAnsi="Arial" w:cs="Arial"/>
                <w:sz w:val="20"/>
                <w:lang w:val="sl-SI"/>
              </w:rPr>
              <w:t>v originalu eng »near misses« = skoraj dogodki</w:t>
            </w:r>
          </w:p>
        </w:tc>
        <w:tc>
          <w:tcPr>
            <w:tcW w:w="1843" w:type="dxa"/>
          </w:tcPr>
          <w:p w14:paraId="10D71584"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26613203" w14:textId="77777777" w:rsidR="007F3369" w:rsidRDefault="007F3369" w:rsidP="002E7597">
            <w:pPr>
              <w:rPr>
                <w:rFonts w:ascii="Arial" w:hAnsi="Arial" w:cs="Arial"/>
                <w:sz w:val="20"/>
                <w:lang w:val="sl-SI"/>
              </w:rPr>
            </w:pPr>
            <w:r>
              <w:rPr>
                <w:rFonts w:ascii="Arial" w:hAnsi="Arial" w:cs="Arial"/>
                <w:sz w:val="20"/>
                <w:lang w:val="sl-SI"/>
              </w:rPr>
              <w:t>»D</w:t>
            </w:r>
            <w:r w:rsidRPr="006F3476">
              <w:rPr>
                <w:rFonts w:ascii="Arial" w:hAnsi="Arial" w:cs="Arial"/>
                <w:sz w:val="20"/>
                <w:lang w:val="sl-SI"/>
              </w:rPr>
              <w:t>ogodek brez posledic</w:t>
            </w:r>
            <w:r>
              <w:rPr>
                <w:rFonts w:ascii="Arial" w:hAnsi="Arial" w:cs="Arial"/>
                <w:sz w:val="20"/>
                <w:lang w:val="sl-SI"/>
              </w:rPr>
              <w:t>« je pojem, ki je določen tudi v pravilniku JV9.</w:t>
            </w:r>
          </w:p>
          <w:p w14:paraId="79C85462" w14:textId="77777777" w:rsidR="007F3369" w:rsidRDefault="007F3369" w:rsidP="002E7597">
            <w:pPr>
              <w:rPr>
                <w:rFonts w:ascii="Arial" w:hAnsi="Arial" w:cs="Arial"/>
                <w:sz w:val="20"/>
                <w:lang w:val="sl-SI"/>
              </w:rPr>
            </w:pPr>
            <w:r>
              <w:rPr>
                <w:rFonts w:ascii="Arial" w:hAnsi="Arial" w:cs="Arial"/>
                <w:sz w:val="20"/>
                <w:highlight w:val="magenta"/>
                <w:lang w:val="sl-SI"/>
              </w:rPr>
              <w:t>ZAVRNJENO</w:t>
            </w:r>
          </w:p>
          <w:p w14:paraId="155A35C1" w14:textId="77777777" w:rsidR="007F3369" w:rsidRPr="00BA01EE" w:rsidRDefault="007F3369" w:rsidP="002E7597">
            <w:pPr>
              <w:rPr>
                <w:rFonts w:ascii="Arial" w:hAnsi="Arial" w:cs="Arial"/>
                <w:sz w:val="20"/>
                <w:highlight w:val="magenta"/>
                <w:lang w:val="sl-SI"/>
              </w:rPr>
            </w:pPr>
          </w:p>
        </w:tc>
      </w:tr>
      <w:tr w:rsidR="007F3369" w:rsidRPr="00AF3379" w14:paraId="2F9CA929" w14:textId="77777777" w:rsidTr="002E7597">
        <w:trPr>
          <w:jc w:val="center"/>
        </w:trPr>
        <w:tc>
          <w:tcPr>
            <w:tcW w:w="421" w:type="dxa"/>
            <w:shd w:val="clear" w:color="auto" w:fill="FF33CC"/>
          </w:tcPr>
          <w:p w14:paraId="11C1F0A6"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5839BDC9" w14:textId="77777777" w:rsidR="007F3369" w:rsidRDefault="007F3369" w:rsidP="002E7597">
            <w:pPr>
              <w:rPr>
                <w:rFonts w:ascii="Arial" w:hAnsi="Arial" w:cs="Arial"/>
                <w:sz w:val="20"/>
                <w:lang w:val="sl-SI"/>
              </w:rPr>
            </w:pPr>
          </w:p>
        </w:tc>
        <w:tc>
          <w:tcPr>
            <w:tcW w:w="1134" w:type="dxa"/>
          </w:tcPr>
          <w:p w14:paraId="3A32ABAD" w14:textId="77777777" w:rsidR="007F3369" w:rsidRDefault="007F3369" w:rsidP="002E7597">
            <w:pPr>
              <w:rPr>
                <w:rFonts w:ascii="Arial" w:hAnsi="Arial" w:cs="Arial"/>
                <w:sz w:val="20"/>
                <w:lang w:val="sl-SI"/>
              </w:rPr>
            </w:pPr>
            <w:r w:rsidRPr="00625BBF">
              <w:rPr>
                <w:rFonts w:ascii="Arial" w:hAnsi="Arial" w:cs="Arial"/>
                <w:sz w:val="20"/>
                <w:lang w:val="sl-SI"/>
              </w:rPr>
              <w:t>VF9 Obratovalne izkušnje drugih objektov ter ugotovitve znanosti in tehnologije za obdobje pregleda</w:t>
            </w:r>
          </w:p>
        </w:tc>
        <w:tc>
          <w:tcPr>
            <w:tcW w:w="3402" w:type="dxa"/>
          </w:tcPr>
          <w:p w14:paraId="44F0D5A7" w14:textId="77777777" w:rsidR="007F3369" w:rsidRPr="00A95816" w:rsidRDefault="007F3369" w:rsidP="002E7597">
            <w:pPr>
              <w:pStyle w:val="SlogArialObojestranskoPred6pt"/>
              <w:spacing w:before="0"/>
              <w:jc w:val="left"/>
              <w:rPr>
                <w:sz w:val="20"/>
              </w:rPr>
            </w:pPr>
          </w:p>
        </w:tc>
        <w:tc>
          <w:tcPr>
            <w:tcW w:w="2835" w:type="dxa"/>
          </w:tcPr>
          <w:p w14:paraId="66413E48" w14:textId="77777777" w:rsidR="007F3369" w:rsidRPr="00E72971" w:rsidRDefault="007F3369" w:rsidP="002E7597">
            <w:pPr>
              <w:rPr>
                <w:rFonts w:ascii="Arial" w:hAnsi="Arial" w:cs="Arial"/>
                <w:sz w:val="20"/>
                <w:lang w:val="sl-SI"/>
              </w:rPr>
            </w:pPr>
            <w:r w:rsidRPr="00625BBF">
              <w:rPr>
                <w:rFonts w:ascii="Arial" w:hAnsi="Arial" w:cs="Arial"/>
                <w:sz w:val="20"/>
                <w:lang w:val="sl-SI"/>
              </w:rPr>
              <w:t>Pri zapisanem naboru mednarodnih organizacij se navaja tudi organizacija OECD NEA. Informacij te mednarodne organizacije neposredno nismo pregledovali, smo pa obravnavali nekaj njihovih dokumentov, ki so bili narejeni in objavljeni v sodelovanju z IAEA. Tudi pri pregledu dokumentov na strani NEA lahko opazimo, da so ti dokumenti v večji meri namenjeni upravnemu organu in so tako za elektrarno manj primerni za obravnavo</w:t>
            </w:r>
          </w:p>
        </w:tc>
        <w:tc>
          <w:tcPr>
            <w:tcW w:w="1843" w:type="dxa"/>
          </w:tcPr>
          <w:p w14:paraId="6FFF4F75"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30982CA6" w14:textId="77777777" w:rsidR="007F3369" w:rsidRPr="00AF3379" w:rsidRDefault="007F3369" w:rsidP="002E7597">
            <w:pPr>
              <w:rPr>
                <w:rFonts w:ascii="Arial" w:hAnsi="Arial" w:cs="Arial"/>
                <w:sz w:val="20"/>
                <w:lang w:val="sl-SI"/>
              </w:rPr>
            </w:pPr>
            <w:r w:rsidRPr="00AF3379">
              <w:rPr>
                <w:rFonts w:ascii="Arial" w:hAnsi="Arial" w:cs="Arial"/>
                <w:sz w:val="20"/>
                <w:lang w:val="sl-SI"/>
              </w:rPr>
              <w:t>OECD NEA ima več odborov. CNRA je namenjen upravnim organom, medtem kot je CSNI namenjen tudi industriji, ki pri aktivnostih CSNI tudi večkrat sodeluje.</w:t>
            </w:r>
            <w:r>
              <w:rPr>
                <w:rFonts w:ascii="Arial" w:hAnsi="Arial" w:cs="Arial"/>
                <w:sz w:val="20"/>
                <w:lang w:val="sl-SI"/>
              </w:rPr>
              <w:t xml:space="preserve"> Tudi drugi odbori imajo aktivnosti, ki so primerne za upravljavce objektov (npr. znanstvene raziskave, ravnanje z RAO in IG, ukrepanje ob izrednih dogodkih itd)</w:t>
            </w:r>
          </w:p>
          <w:p w14:paraId="58F59A92" w14:textId="77777777" w:rsidR="007F3369" w:rsidRDefault="007F3369" w:rsidP="002E7597">
            <w:pPr>
              <w:rPr>
                <w:rFonts w:ascii="Arial" w:hAnsi="Arial" w:cs="Arial"/>
                <w:sz w:val="20"/>
                <w:lang w:val="sl-SI"/>
              </w:rPr>
            </w:pPr>
            <w:r>
              <w:rPr>
                <w:rFonts w:ascii="Arial" w:hAnsi="Arial" w:cs="Arial"/>
                <w:sz w:val="20"/>
                <w:highlight w:val="magenta"/>
                <w:lang w:val="sl-SI"/>
              </w:rPr>
              <w:t>ZAVRNJENO</w:t>
            </w:r>
          </w:p>
          <w:p w14:paraId="6137AAB4" w14:textId="77777777" w:rsidR="007F3369" w:rsidRPr="008D3EB4" w:rsidRDefault="007F3369" w:rsidP="002E7597">
            <w:pPr>
              <w:rPr>
                <w:rFonts w:ascii="Arial" w:hAnsi="Arial" w:cs="Arial"/>
                <w:sz w:val="20"/>
                <w:highlight w:val="green"/>
                <w:lang w:val="sl-SI"/>
              </w:rPr>
            </w:pPr>
          </w:p>
        </w:tc>
      </w:tr>
      <w:tr w:rsidR="007F3369" w:rsidRPr="00A8243C" w14:paraId="6572D073" w14:textId="77777777" w:rsidTr="002E7597">
        <w:trPr>
          <w:jc w:val="center"/>
        </w:trPr>
        <w:tc>
          <w:tcPr>
            <w:tcW w:w="421" w:type="dxa"/>
            <w:shd w:val="clear" w:color="auto" w:fill="00FF00"/>
          </w:tcPr>
          <w:p w14:paraId="281267B5"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65214E1D" w14:textId="77777777" w:rsidR="007F3369" w:rsidRPr="00A8243C" w:rsidRDefault="007F3369" w:rsidP="002E7597">
            <w:pPr>
              <w:rPr>
                <w:rFonts w:ascii="Arial" w:hAnsi="Arial" w:cs="Arial"/>
                <w:sz w:val="20"/>
                <w:lang w:val="sl-SI"/>
              </w:rPr>
            </w:pPr>
            <w:r w:rsidRPr="00A8243C">
              <w:rPr>
                <w:rFonts w:ascii="Arial" w:hAnsi="Arial" w:cs="Arial"/>
                <w:sz w:val="20"/>
                <w:lang w:val="sl-SI"/>
              </w:rPr>
              <w:t>str. 24/48</w:t>
            </w:r>
          </w:p>
        </w:tc>
        <w:tc>
          <w:tcPr>
            <w:tcW w:w="1134" w:type="dxa"/>
          </w:tcPr>
          <w:p w14:paraId="49BE93B0" w14:textId="77777777" w:rsidR="007F3369" w:rsidRDefault="007F3369" w:rsidP="002E7597">
            <w:pPr>
              <w:rPr>
                <w:rFonts w:ascii="Arial" w:hAnsi="Arial" w:cs="Arial"/>
                <w:sz w:val="20"/>
                <w:lang w:val="sl-SI"/>
              </w:rPr>
            </w:pPr>
            <w:r w:rsidRPr="00625BBF">
              <w:rPr>
                <w:rFonts w:ascii="Arial" w:hAnsi="Arial" w:cs="Arial"/>
                <w:sz w:val="20"/>
                <w:lang w:val="sl-SI"/>
              </w:rPr>
              <w:t>VF9 Obratovalne izkušnje drugih objektov ter ugotovitve znanosti in tehnologije za obdobje pregleda</w:t>
            </w:r>
          </w:p>
        </w:tc>
        <w:tc>
          <w:tcPr>
            <w:tcW w:w="3402" w:type="dxa"/>
          </w:tcPr>
          <w:p w14:paraId="2F34A905" w14:textId="77777777" w:rsidR="007F3369" w:rsidRPr="00A8243C" w:rsidRDefault="007F3369" w:rsidP="002E7597">
            <w:pPr>
              <w:rPr>
                <w:rFonts w:ascii="Arial" w:hAnsi="Arial" w:cs="Arial"/>
                <w:sz w:val="20"/>
                <w:lang w:val="sl-SI"/>
              </w:rPr>
            </w:pPr>
          </w:p>
        </w:tc>
        <w:tc>
          <w:tcPr>
            <w:tcW w:w="2835" w:type="dxa"/>
          </w:tcPr>
          <w:p w14:paraId="1244F5BE" w14:textId="77777777" w:rsidR="007F3369" w:rsidRPr="006904AD" w:rsidRDefault="007F3369" w:rsidP="002E7597">
            <w:pPr>
              <w:rPr>
                <w:rFonts w:ascii="Arial" w:hAnsi="Arial" w:cs="Arial"/>
                <w:sz w:val="20"/>
                <w:lang w:val="sl-SI"/>
              </w:rPr>
            </w:pPr>
            <w:r w:rsidRPr="006904AD">
              <w:rPr>
                <w:rFonts w:ascii="Arial" w:hAnsi="Arial" w:cs="Arial"/>
                <w:sz w:val="20"/>
                <w:lang w:val="sl-SI"/>
              </w:rPr>
              <w:t xml:space="preserve">Cilj pregleda je preveritev ali se primerno uporablja relevantne izkušnje iz drugih podobnih objektov ali iz novih spoznanj na osnovi raziskav ter ali so te obratovalne izkušnje osnova za uvedbo smiselnih in praktičnih varnostnih izboljšav na objektu ali v organizaciji upravljavca. </w:t>
            </w:r>
          </w:p>
          <w:p w14:paraId="7A943417" w14:textId="77777777" w:rsidR="007F3369" w:rsidRPr="006904AD" w:rsidRDefault="007F3369" w:rsidP="002E7597">
            <w:pPr>
              <w:rPr>
                <w:rFonts w:ascii="Arial" w:hAnsi="Arial" w:cs="Arial"/>
                <w:sz w:val="20"/>
                <w:lang w:val="sl-SI"/>
              </w:rPr>
            </w:pPr>
            <w:r w:rsidRPr="006904AD">
              <w:rPr>
                <w:rFonts w:ascii="Arial" w:hAnsi="Arial" w:cs="Arial"/>
                <w:sz w:val="20"/>
                <w:lang w:val="sl-SI"/>
              </w:rPr>
              <w:t>Izkušnje iz drugih objektov in tudi iz industrije ter spoznanja znanstvenih…….</w:t>
            </w:r>
          </w:p>
          <w:p w14:paraId="229F4DCB" w14:textId="77777777" w:rsidR="007F3369" w:rsidRPr="006904AD" w:rsidRDefault="007F3369" w:rsidP="002E7597">
            <w:pPr>
              <w:rPr>
                <w:rFonts w:ascii="Arial" w:hAnsi="Arial" w:cs="Arial"/>
                <w:sz w:val="20"/>
                <w:lang w:val="sl-SI"/>
              </w:rPr>
            </w:pPr>
            <w:r w:rsidRPr="006904AD">
              <w:rPr>
                <w:rFonts w:ascii="Arial" w:hAnsi="Arial" w:cs="Arial"/>
                <w:sz w:val="20"/>
                <w:lang w:val="sl-SI"/>
              </w:rPr>
              <w:t>Original eng »non-nuclear facilities« = ne-jedrska industrija, ne-jedrski objekt</w:t>
            </w:r>
          </w:p>
        </w:tc>
        <w:tc>
          <w:tcPr>
            <w:tcW w:w="1843" w:type="dxa"/>
          </w:tcPr>
          <w:p w14:paraId="54782CE7"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215F70B0" w14:textId="77777777" w:rsidR="007F3369" w:rsidRPr="00BA01EE" w:rsidRDefault="007F3369" w:rsidP="002E7597">
            <w:pPr>
              <w:rPr>
                <w:rFonts w:ascii="Arial" w:hAnsi="Arial" w:cs="Arial"/>
                <w:sz w:val="20"/>
                <w:highlight w:val="magenta"/>
                <w:lang w:val="sl-SI"/>
              </w:rPr>
            </w:pPr>
            <w:r w:rsidRPr="008D3EB4">
              <w:rPr>
                <w:rFonts w:ascii="Arial" w:hAnsi="Arial" w:cs="Arial"/>
                <w:sz w:val="20"/>
                <w:highlight w:val="green"/>
                <w:lang w:val="sl-SI"/>
              </w:rPr>
              <w:t>SPREJETO</w:t>
            </w:r>
          </w:p>
        </w:tc>
      </w:tr>
      <w:tr w:rsidR="007F3369" w:rsidRPr="00625BBF" w14:paraId="202E9628" w14:textId="77777777" w:rsidTr="002E7597">
        <w:trPr>
          <w:jc w:val="center"/>
        </w:trPr>
        <w:tc>
          <w:tcPr>
            <w:tcW w:w="421" w:type="dxa"/>
            <w:shd w:val="clear" w:color="auto" w:fill="00FF00"/>
          </w:tcPr>
          <w:p w14:paraId="00B3B4AE"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09273614" w14:textId="77777777" w:rsidR="007F3369" w:rsidRDefault="007F3369" w:rsidP="002E7597">
            <w:pPr>
              <w:rPr>
                <w:rFonts w:ascii="Arial" w:hAnsi="Arial" w:cs="Arial"/>
                <w:sz w:val="20"/>
                <w:lang w:val="sl-SI"/>
              </w:rPr>
            </w:pPr>
          </w:p>
        </w:tc>
        <w:tc>
          <w:tcPr>
            <w:tcW w:w="1134" w:type="dxa"/>
          </w:tcPr>
          <w:p w14:paraId="40525FF4" w14:textId="77777777" w:rsidR="007F3369" w:rsidRDefault="007F3369" w:rsidP="002E7597">
            <w:pPr>
              <w:rPr>
                <w:rFonts w:ascii="Arial" w:hAnsi="Arial" w:cs="Arial"/>
                <w:sz w:val="20"/>
                <w:lang w:val="sl-SI"/>
              </w:rPr>
            </w:pPr>
            <w:r w:rsidRPr="00625BBF">
              <w:rPr>
                <w:rFonts w:ascii="Arial" w:hAnsi="Arial" w:cs="Arial"/>
                <w:sz w:val="20"/>
                <w:lang w:val="sl-SI"/>
              </w:rPr>
              <w:t>VF12 Pisni postopki upravljavca</w:t>
            </w:r>
          </w:p>
        </w:tc>
        <w:tc>
          <w:tcPr>
            <w:tcW w:w="3402" w:type="dxa"/>
          </w:tcPr>
          <w:p w14:paraId="3337EBF2" w14:textId="77777777" w:rsidR="007F3369" w:rsidRPr="00A95816" w:rsidRDefault="007F3369" w:rsidP="002E7597">
            <w:pPr>
              <w:pStyle w:val="SlogArialObojestranskoPred6pt"/>
              <w:spacing w:before="0"/>
              <w:jc w:val="left"/>
              <w:rPr>
                <w:sz w:val="20"/>
              </w:rPr>
            </w:pPr>
            <w:r w:rsidRPr="00625BBF">
              <w:rPr>
                <w:sz w:val="20"/>
              </w:rPr>
              <w:t>Postopki za nadzor nad spreminjanjem projektna elektrarne, postopkov in opreme, vključno s posodabljanjem dokumentacije;</w:t>
            </w:r>
          </w:p>
        </w:tc>
        <w:tc>
          <w:tcPr>
            <w:tcW w:w="2835" w:type="dxa"/>
          </w:tcPr>
          <w:p w14:paraId="03636C0C" w14:textId="77777777" w:rsidR="007F3369" w:rsidRPr="00E72971" w:rsidRDefault="007F3369" w:rsidP="002E7597">
            <w:pPr>
              <w:rPr>
                <w:rFonts w:ascii="Arial" w:hAnsi="Arial" w:cs="Arial"/>
                <w:sz w:val="20"/>
                <w:lang w:val="sl-SI"/>
              </w:rPr>
            </w:pPr>
            <w:r w:rsidRPr="00625BBF">
              <w:rPr>
                <w:rFonts w:ascii="Arial" w:hAnsi="Arial" w:cs="Arial"/>
                <w:sz w:val="20"/>
                <w:lang w:val="sl-SI"/>
              </w:rPr>
              <w:t>Beseda »projektna« bi morala biti »projekta«</w:t>
            </w:r>
          </w:p>
        </w:tc>
        <w:tc>
          <w:tcPr>
            <w:tcW w:w="1843" w:type="dxa"/>
          </w:tcPr>
          <w:p w14:paraId="1834C6A1"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3BB4BFCB" w14:textId="77777777" w:rsidR="007F3369" w:rsidRPr="008D3EB4" w:rsidRDefault="007F3369" w:rsidP="002E7597">
            <w:pPr>
              <w:rPr>
                <w:rFonts w:ascii="Arial" w:hAnsi="Arial" w:cs="Arial"/>
                <w:sz w:val="20"/>
                <w:highlight w:val="green"/>
                <w:lang w:val="sl-SI"/>
              </w:rPr>
            </w:pPr>
            <w:r w:rsidRPr="008D3EB4">
              <w:rPr>
                <w:rFonts w:ascii="Arial" w:hAnsi="Arial" w:cs="Arial"/>
                <w:sz w:val="20"/>
                <w:highlight w:val="green"/>
                <w:lang w:val="sl-SI"/>
              </w:rPr>
              <w:t>SPREJETO</w:t>
            </w:r>
          </w:p>
        </w:tc>
      </w:tr>
      <w:tr w:rsidR="007F3369" w:rsidRPr="00625BBF" w14:paraId="6682887E" w14:textId="77777777" w:rsidTr="002E7597">
        <w:trPr>
          <w:jc w:val="center"/>
        </w:trPr>
        <w:tc>
          <w:tcPr>
            <w:tcW w:w="421" w:type="dxa"/>
            <w:shd w:val="clear" w:color="auto" w:fill="00FF00"/>
          </w:tcPr>
          <w:p w14:paraId="364333FB"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4B2DE78B" w14:textId="77777777" w:rsidR="007F3369" w:rsidRDefault="007F3369" w:rsidP="002E7597">
            <w:pPr>
              <w:rPr>
                <w:rFonts w:ascii="Arial" w:hAnsi="Arial" w:cs="Arial"/>
                <w:sz w:val="20"/>
                <w:lang w:val="sl-SI"/>
              </w:rPr>
            </w:pPr>
          </w:p>
        </w:tc>
        <w:tc>
          <w:tcPr>
            <w:tcW w:w="1134" w:type="dxa"/>
          </w:tcPr>
          <w:p w14:paraId="3B18A4A6" w14:textId="77777777" w:rsidR="007F3369" w:rsidRDefault="007F3369" w:rsidP="002E7597">
            <w:pPr>
              <w:rPr>
                <w:rFonts w:ascii="Arial" w:hAnsi="Arial" w:cs="Arial"/>
                <w:sz w:val="20"/>
                <w:lang w:val="sl-SI"/>
              </w:rPr>
            </w:pPr>
            <w:r w:rsidRPr="00625BBF">
              <w:rPr>
                <w:rFonts w:ascii="Arial" w:hAnsi="Arial" w:cs="Arial"/>
                <w:sz w:val="20"/>
                <w:lang w:val="sl-SI"/>
              </w:rPr>
              <w:t>VF12 Pisni postopki upravljavca</w:t>
            </w:r>
          </w:p>
        </w:tc>
        <w:tc>
          <w:tcPr>
            <w:tcW w:w="3402" w:type="dxa"/>
          </w:tcPr>
          <w:p w14:paraId="3B715663" w14:textId="77777777" w:rsidR="007F3369" w:rsidRPr="00A95816" w:rsidRDefault="007F3369" w:rsidP="002E7597">
            <w:pPr>
              <w:pStyle w:val="SlogArialObojestranskoPred6pt"/>
              <w:spacing w:before="0"/>
              <w:jc w:val="left"/>
              <w:rPr>
                <w:sz w:val="20"/>
              </w:rPr>
            </w:pPr>
            <w:r w:rsidRPr="00625BBF">
              <w:rPr>
                <w:sz w:val="20"/>
              </w:rPr>
              <w:t>Ugotovitev, ali obstojijo procesi za redne preglede in vzdrževanje teh postopkov in so ti procesi ustrezni;</w:t>
            </w:r>
          </w:p>
        </w:tc>
        <w:tc>
          <w:tcPr>
            <w:tcW w:w="2835" w:type="dxa"/>
          </w:tcPr>
          <w:p w14:paraId="060BE4E4" w14:textId="77777777" w:rsidR="007F3369" w:rsidRPr="00E72971" w:rsidRDefault="007F3369" w:rsidP="002E7597">
            <w:pPr>
              <w:rPr>
                <w:rFonts w:ascii="Arial" w:hAnsi="Arial" w:cs="Arial"/>
                <w:sz w:val="20"/>
                <w:lang w:val="sl-SI"/>
              </w:rPr>
            </w:pPr>
            <w:r w:rsidRPr="00625BBF">
              <w:rPr>
                <w:rFonts w:ascii="Arial" w:hAnsi="Arial" w:cs="Arial"/>
                <w:sz w:val="20"/>
                <w:lang w:val="sl-SI"/>
              </w:rPr>
              <w:t>Beseda »obstojijo« bi morala biti »obstajajo«</w:t>
            </w:r>
          </w:p>
        </w:tc>
        <w:tc>
          <w:tcPr>
            <w:tcW w:w="1843" w:type="dxa"/>
          </w:tcPr>
          <w:p w14:paraId="1158B8E7"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13BA20A1" w14:textId="77777777" w:rsidR="007F3369" w:rsidRPr="008D3EB4" w:rsidRDefault="007F3369" w:rsidP="002E7597">
            <w:pPr>
              <w:rPr>
                <w:rFonts w:ascii="Arial" w:hAnsi="Arial" w:cs="Arial"/>
                <w:sz w:val="20"/>
                <w:highlight w:val="green"/>
                <w:lang w:val="sl-SI"/>
              </w:rPr>
            </w:pPr>
            <w:r w:rsidRPr="008D3EB4">
              <w:rPr>
                <w:rFonts w:ascii="Arial" w:hAnsi="Arial" w:cs="Arial"/>
                <w:sz w:val="20"/>
                <w:highlight w:val="green"/>
                <w:lang w:val="sl-SI"/>
              </w:rPr>
              <w:t>SPREJETO</w:t>
            </w:r>
          </w:p>
        </w:tc>
      </w:tr>
      <w:tr w:rsidR="007F3369" w:rsidRPr="00CD2949" w14:paraId="61068037" w14:textId="77777777" w:rsidTr="002E7597">
        <w:trPr>
          <w:jc w:val="center"/>
        </w:trPr>
        <w:tc>
          <w:tcPr>
            <w:tcW w:w="421" w:type="dxa"/>
            <w:shd w:val="clear" w:color="auto" w:fill="00FFFF"/>
          </w:tcPr>
          <w:p w14:paraId="38BB38F8"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01854ADA" w14:textId="77777777" w:rsidR="007F3369" w:rsidRDefault="007F3369" w:rsidP="002E7597">
            <w:pPr>
              <w:rPr>
                <w:rFonts w:ascii="Arial" w:hAnsi="Arial" w:cs="Arial"/>
                <w:sz w:val="20"/>
                <w:lang w:val="sl-SI"/>
              </w:rPr>
            </w:pPr>
          </w:p>
        </w:tc>
        <w:tc>
          <w:tcPr>
            <w:tcW w:w="1134" w:type="dxa"/>
          </w:tcPr>
          <w:p w14:paraId="71954EFB" w14:textId="77777777" w:rsidR="007F3369" w:rsidRDefault="007F3369" w:rsidP="002E7597">
            <w:pPr>
              <w:rPr>
                <w:rFonts w:ascii="Arial" w:hAnsi="Arial" w:cs="Arial"/>
                <w:sz w:val="20"/>
                <w:lang w:val="sl-SI"/>
              </w:rPr>
            </w:pPr>
            <w:r w:rsidRPr="00625BBF">
              <w:rPr>
                <w:rFonts w:ascii="Arial" w:hAnsi="Arial" w:cs="Arial"/>
                <w:sz w:val="20"/>
                <w:lang w:val="sl-SI"/>
              </w:rPr>
              <w:t>VF12 Pisni postopki upravljavca</w:t>
            </w:r>
          </w:p>
        </w:tc>
        <w:tc>
          <w:tcPr>
            <w:tcW w:w="3402" w:type="dxa"/>
          </w:tcPr>
          <w:p w14:paraId="0803DF76" w14:textId="77777777" w:rsidR="007F3369" w:rsidRPr="00A95816" w:rsidRDefault="007F3369" w:rsidP="002E7597">
            <w:pPr>
              <w:pStyle w:val="SlogArialObojestranskoPred6pt"/>
              <w:spacing w:before="0"/>
              <w:jc w:val="left"/>
              <w:rPr>
                <w:sz w:val="20"/>
              </w:rPr>
            </w:pPr>
            <w:r w:rsidRPr="00625BBF">
              <w:rPr>
                <w:sz w:val="20"/>
              </w:rPr>
              <w:t>Preveritev, ali so postopki zgrajeni in napisani z upoštevanjem človeškega dejavnika. Npr., preveriti je treba ali so postopki prijazni za uporabnika in jih lahko osebje, ki naj jih uporablja, hitro razume in izvaja;</w:t>
            </w:r>
          </w:p>
        </w:tc>
        <w:tc>
          <w:tcPr>
            <w:tcW w:w="2835" w:type="dxa"/>
          </w:tcPr>
          <w:p w14:paraId="17A05CA7" w14:textId="77777777" w:rsidR="007F3369" w:rsidRPr="00E72971" w:rsidRDefault="007F3369" w:rsidP="002E7597">
            <w:pPr>
              <w:rPr>
                <w:rFonts w:ascii="Arial" w:hAnsi="Arial" w:cs="Arial"/>
                <w:sz w:val="20"/>
                <w:lang w:val="sl-SI"/>
              </w:rPr>
            </w:pPr>
            <w:r w:rsidRPr="00625BBF">
              <w:rPr>
                <w:rFonts w:ascii="Arial" w:hAnsi="Arial" w:cs="Arial"/>
                <w:sz w:val="20"/>
                <w:lang w:val="sl-SI"/>
              </w:rPr>
              <w:t>Kako se bo ta točka preverila?</w:t>
            </w:r>
          </w:p>
        </w:tc>
        <w:tc>
          <w:tcPr>
            <w:tcW w:w="1843" w:type="dxa"/>
          </w:tcPr>
          <w:p w14:paraId="7E0F41A4" w14:textId="77777777" w:rsidR="007F3369" w:rsidRDefault="007F3369" w:rsidP="002E7597">
            <w:pPr>
              <w:rPr>
                <w:rFonts w:ascii="Arial" w:hAnsi="Arial" w:cs="Arial"/>
                <w:sz w:val="20"/>
                <w:lang w:val="sl-SI"/>
              </w:rPr>
            </w:pPr>
            <w:r>
              <w:rPr>
                <w:rFonts w:ascii="Arial" w:hAnsi="Arial" w:cs="Arial"/>
                <w:sz w:val="20"/>
                <w:lang w:val="sl-SI"/>
              </w:rPr>
              <w:t xml:space="preserve">Iz JV9 - </w:t>
            </w:r>
            <w:r w:rsidRPr="00B47CB0">
              <w:rPr>
                <w:rFonts w:ascii="Arial" w:hAnsi="Arial" w:cs="Arial"/>
                <w:sz w:val="20"/>
                <w:lang w:val="sl-SI"/>
              </w:rPr>
              <w:t xml:space="preserve">človeški dejavniki so elementi razmerja med človekom in njegovim delom, npr. dejavniki, ki vplivajo na to, kako je operater v komandni sobi sposoben </w:t>
            </w:r>
            <w:r w:rsidRPr="00B47CB0">
              <w:rPr>
                <w:rFonts w:ascii="Arial" w:hAnsi="Arial" w:cs="Arial"/>
                <w:sz w:val="20"/>
                <w:lang w:val="sl-SI"/>
              </w:rPr>
              <w:lastRenderedPageBreak/>
              <w:t>uporabljati pisne postopke: čitljivost, slovnica, usposabljanje, zunanji pritiski ipd</w:t>
            </w:r>
          </w:p>
        </w:tc>
        <w:tc>
          <w:tcPr>
            <w:tcW w:w="3685" w:type="dxa"/>
            <w:shd w:val="clear" w:color="auto" w:fill="DBE5F1" w:themeFill="accent1" w:themeFillTint="33"/>
          </w:tcPr>
          <w:p w14:paraId="2A561BA7" w14:textId="77777777" w:rsidR="007F3369" w:rsidRPr="00383C0C" w:rsidRDefault="007F3369" w:rsidP="002E7597">
            <w:pPr>
              <w:rPr>
                <w:rFonts w:ascii="Arial" w:hAnsi="Arial" w:cs="Arial"/>
                <w:sz w:val="20"/>
                <w:lang w:val="sl-SI"/>
              </w:rPr>
            </w:pPr>
            <w:r w:rsidRPr="00383C0C">
              <w:rPr>
                <w:rFonts w:ascii="Arial" w:hAnsi="Arial" w:cs="Arial"/>
                <w:sz w:val="20"/>
                <w:lang w:val="sl-SI"/>
              </w:rPr>
              <w:lastRenderedPageBreak/>
              <w:t>Mogoče z izkušnjami iz usposabljanj, za nekatere postopke tudi na simulatorju.</w:t>
            </w:r>
            <w:r>
              <w:rPr>
                <w:rFonts w:ascii="Arial" w:hAnsi="Arial" w:cs="Arial"/>
                <w:sz w:val="20"/>
                <w:lang w:val="sl-SI"/>
              </w:rPr>
              <w:t xml:space="preserve"> Z obravnavo dogodkov, kjer je prišlo do človeških napak. Jasnost in izvedljivost postopkov se obravnava tudi v VF13.</w:t>
            </w:r>
          </w:p>
          <w:p w14:paraId="446F9EDF" w14:textId="77777777" w:rsidR="007F3369" w:rsidRDefault="007F3369" w:rsidP="002E7597">
            <w:pPr>
              <w:rPr>
                <w:rFonts w:ascii="Arial" w:hAnsi="Arial" w:cs="Arial"/>
                <w:sz w:val="20"/>
                <w:lang w:val="sl-SI"/>
              </w:rPr>
            </w:pPr>
            <w:r>
              <w:rPr>
                <w:rFonts w:ascii="Arial" w:hAnsi="Arial" w:cs="Arial"/>
                <w:sz w:val="20"/>
                <w:highlight w:val="cyan"/>
                <w:lang w:val="sl-SI"/>
              </w:rPr>
              <w:t xml:space="preserve">POJASNILO, </w:t>
            </w:r>
            <w:r w:rsidRPr="00045F7E">
              <w:rPr>
                <w:rFonts w:ascii="Arial" w:hAnsi="Arial" w:cs="Arial"/>
                <w:sz w:val="20"/>
                <w:highlight w:val="cyan"/>
                <w:lang w:val="sl-SI"/>
              </w:rPr>
              <w:t>NI SPREMEMBE P</w:t>
            </w:r>
            <w:r>
              <w:rPr>
                <w:rFonts w:ascii="Arial" w:hAnsi="Arial" w:cs="Arial"/>
                <w:sz w:val="20"/>
                <w:highlight w:val="cyan"/>
                <w:lang w:val="sl-SI"/>
              </w:rPr>
              <w:t>S 1.01</w:t>
            </w:r>
          </w:p>
          <w:p w14:paraId="092EBC9D" w14:textId="77777777" w:rsidR="007F3369" w:rsidRPr="008D3EB4" w:rsidRDefault="007F3369" w:rsidP="002E7597">
            <w:pPr>
              <w:rPr>
                <w:rFonts w:ascii="Arial" w:hAnsi="Arial" w:cs="Arial"/>
                <w:sz w:val="20"/>
                <w:highlight w:val="green"/>
                <w:lang w:val="sl-SI"/>
              </w:rPr>
            </w:pPr>
          </w:p>
        </w:tc>
      </w:tr>
      <w:tr w:rsidR="007F3369" w:rsidRPr="00CD2949" w14:paraId="7EEDB2C7" w14:textId="77777777" w:rsidTr="002E7597">
        <w:trPr>
          <w:jc w:val="center"/>
        </w:trPr>
        <w:tc>
          <w:tcPr>
            <w:tcW w:w="421" w:type="dxa"/>
            <w:shd w:val="clear" w:color="auto" w:fill="00FFFF"/>
          </w:tcPr>
          <w:p w14:paraId="5171AC20"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10E521EB" w14:textId="77777777" w:rsidR="007F3369" w:rsidRDefault="007F3369" w:rsidP="002E7597">
            <w:pPr>
              <w:rPr>
                <w:rFonts w:ascii="Arial" w:hAnsi="Arial" w:cs="Arial"/>
                <w:sz w:val="20"/>
                <w:lang w:val="sl-SI"/>
              </w:rPr>
            </w:pPr>
          </w:p>
        </w:tc>
        <w:tc>
          <w:tcPr>
            <w:tcW w:w="1134" w:type="dxa"/>
          </w:tcPr>
          <w:p w14:paraId="4152E320" w14:textId="77777777" w:rsidR="007F3369" w:rsidRDefault="007F3369" w:rsidP="002E7597">
            <w:pPr>
              <w:rPr>
                <w:rFonts w:ascii="Arial" w:hAnsi="Arial" w:cs="Arial"/>
                <w:sz w:val="20"/>
                <w:lang w:val="sl-SI"/>
              </w:rPr>
            </w:pPr>
            <w:r w:rsidRPr="00625BBF">
              <w:rPr>
                <w:rFonts w:ascii="Arial" w:hAnsi="Arial" w:cs="Arial"/>
                <w:sz w:val="20"/>
                <w:lang w:val="sl-SI"/>
              </w:rPr>
              <w:t>VF12 Pisni postopki upravljavca</w:t>
            </w:r>
          </w:p>
        </w:tc>
        <w:tc>
          <w:tcPr>
            <w:tcW w:w="3402" w:type="dxa"/>
          </w:tcPr>
          <w:p w14:paraId="23E029A7" w14:textId="77777777" w:rsidR="007F3369" w:rsidRPr="00A95816" w:rsidRDefault="007F3369" w:rsidP="002E7597">
            <w:pPr>
              <w:pStyle w:val="SlogArialObojestranskoPred6pt"/>
              <w:spacing w:before="0"/>
              <w:jc w:val="left"/>
              <w:rPr>
                <w:sz w:val="20"/>
              </w:rPr>
            </w:pPr>
            <w:r w:rsidRPr="00625BBF">
              <w:rPr>
                <w:sz w:val="20"/>
              </w:rPr>
              <w:t>Preveritev dokumentiranosti analize in utemeljitev postopkov za ravnanje ob nezgodi;</w:t>
            </w:r>
          </w:p>
        </w:tc>
        <w:tc>
          <w:tcPr>
            <w:tcW w:w="2835" w:type="dxa"/>
          </w:tcPr>
          <w:p w14:paraId="69AABC24" w14:textId="77777777" w:rsidR="007F3369" w:rsidRPr="00625BBF" w:rsidRDefault="007F3369" w:rsidP="002E7597">
            <w:pPr>
              <w:rPr>
                <w:rFonts w:ascii="Arial" w:hAnsi="Arial" w:cs="Arial"/>
                <w:sz w:val="20"/>
                <w:lang w:val="sl-SI"/>
              </w:rPr>
            </w:pPr>
            <w:r w:rsidRPr="00625BBF">
              <w:rPr>
                <w:rFonts w:ascii="Arial" w:hAnsi="Arial" w:cs="Arial"/>
                <w:sz w:val="20"/>
                <w:lang w:val="sl-SI"/>
              </w:rPr>
              <w:t>Katere analize in kaj pomeni utemeljitev?</w:t>
            </w:r>
          </w:p>
        </w:tc>
        <w:tc>
          <w:tcPr>
            <w:tcW w:w="1843" w:type="dxa"/>
          </w:tcPr>
          <w:p w14:paraId="56008E10"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6E56E59C" w14:textId="77777777" w:rsidR="007F3369" w:rsidRDefault="007F3369" w:rsidP="002E7597">
            <w:pPr>
              <w:rPr>
                <w:rFonts w:ascii="Arial" w:hAnsi="Arial" w:cs="Arial"/>
                <w:sz w:val="20"/>
                <w:lang w:val="sl-SI"/>
              </w:rPr>
            </w:pPr>
            <w:r w:rsidRPr="00C020A2">
              <w:rPr>
                <w:rFonts w:ascii="Arial" w:hAnsi="Arial" w:cs="Arial"/>
                <w:sz w:val="20"/>
                <w:lang w:val="sl-SI"/>
              </w:rPr>
              <w:t>Gre za postopke EOP.</w:t>
            </w:r>
            <w:r>
              <w:rPr>
                <w:rFonts w:ascii="Arial" w:hAnsi="Arial" w:cs="Arial"/>
                <w:sz w:val="20"/>
                <w:lang w:val="sl-SI"/>
              </w:rPr>
              <w:t xml:space="preserve"> Ti postopki so bili razviti na osnovi analiz za dogodke, ki presegajo projektne nesreče. Te analize so vključene v background dokumentacijo za EOP. Ukrepi v EOP morajo izhajati iz teh osnov.</w:t>
            </w:r>
          </w:p>
          <w:p w14:paraId="16B37DCC" w14:textId="77777777" w:rsidR="007F3369" w:rsidRPr="00C020A2" w:rsidRDefault="007F3369" w:rsidP="002E7597">
            <w:pPr>
              <w:rPr>
                <w:rFonts w:ascii="Arial" w:hAnsi="Arial" w:cs="Arial"/>
                <w:sz w:val="20"/>
                <w:lang w:val="sl-SI"/>
              </w:rPr>
            </w:pPr>
            <w:r>
              <w:rPr>
                <w:rFonts w:ascii="Arial" w:hAnsi="Arial" w:cs="Arial"/>
                <w:sz w:val="20"/>
                <w:highlight w:val="cyan"/>
                <w:lang w:val="sl-SI"/>
              </w:rPr>
              <w:t xml:space="preserve">POJASNILO, </w:t>
            </w:r>
            <w:r w:rsidRPr="00045F7E">
              <w:rPr>
                <w:rFonts w:ascii="Arial" w:hAnsi="Arial" w:cs="Arial"/>
                <w:sz w:val="20"/>
                <w:highlight w:val="cyan"/>
                <w:lang w:val="sl-SI"/>
              </w:rPr>
              <w:t>NI SPREMEMBE P</w:t>
            </w:r>
            <w:r>
              <w:rPr>
                <w:rFonts w:ascii="Arial" w:hAnsi="Arial" w:cs="Arial"/>
                <w:sz w:val="20"/>
                <w:highlight w:val="cyan"/>
                <w:lang w:val="sl-SI"/>
              </w:rPr>
              <w:t>S 1.01</w:t>
            </w:r>
          </w:p>
        </w:tc>
      </w:tr>
      <w:tr w:rsidR="007F3369" w:rsidRPr="00CD2949" w14:paraId="7AF2F8F6" w14:textId="77777777" w:rsidTr="002E7597">
        <w:trPr>
          <w:jc w:val="center"/>
        </w:trPr>
        <w:tc>
          <w:tcPr>
            <w:tcW w:w="421" w:type="dxa"/>
            <w:shd w:val="clear" w:color="auto" w:fill="00FFFF"/>
          </w:tcPr>
          <w:p w14:paraId="7FF07AEB"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47A888AD" w14:textId="77777777" w:rsidR="007F3369" w:rsidRDefault="007F3369" w:rsidP="002E7597">
            <w:pPr>
              <w:rPr>
                <w:rFonts w:ascii="Arial" w:hAnsi="Arial" w:cs="Arial"/>
                <w:sz w:val="20"/>
                <w:lang w:val="sl-SI"/>
              </w:rPr>
            </w:pPr>
          </w:p>
        </w:tc>
        <w:tc>
          <w:tcPr>
            <w:tcW w:w="1134" w:type="dxa"/>
          </w:tcPr>
          <w:p w14:paraId="27901FB4" w14:textId="77777777" w:rsidR="007F3369" w:rsidRDefault="007F3369" w:rsidP="002E7597">
            <w:pPr>
              <w:rPr>
                <w:rFonts w:ascii="Arial" w:hAnsi="Arial" w:cs="Arial"/>
                <w:sz w:val="20"/>
                <w:lang w:val="sl-SI"/>
              </w:rPr>
            </w:pPr>
            <w:r w:rsidRPr="00625BBF">
              <w:rPr>
                <w:rFonts w:ascii="Arial" w:hAnsi="Arial" w:cs="Arial"/>
                <w:sz w:val="20"/>
                <w:lang w:val="sl-SI"/>
              </w:rPr>
              <w:t>VF12 Pisni postopki upravljavca</w:t>
            </w:r>
          </w:p>
        </w:tc>
        <w:tc>
          <w:tcPr>
            <w:tcW w:w="3402" w:type="dxa"/>
          </w:tcPr>
          <w:p w14:paraId="5F1D0179" w14:textId="77777777" w:rsidR="007F3369" w:rsidRPr="00A95816" w:rsidRDefault="007F3369" w:rsidP="002E7597">
            <w:pPr>
              <w:pStyle w:val="SlogArialObojestranskoPred6pt"/>
              <w:spacing w:before="0"/>
              <w:jc w:val="left"/>
              <w:rPr>
                <w:sz w:val="20"/>
              </w:rPr>
            </w:pPr>
            <w:r w:rsidRPr="00625BBF">
              <w:rPr>
                <w:sz w:val="20"/>
              </w:rPr>
              <w:t xml:space="preserve">Pregled varnostne vsebine se mora osredotočiti na postopke z najvišjo pomembnostjo za varnost in ni potrebno izvesti celovitega </w:t>
            </w:r>
            <w:r w:rsidRPr="006904AD">
              <w:rPr>
                <w:sz w:val="20"/>
              </w:rPr>
              <w:t>pregleda vsakega postopka. Varnostna pomembnost postopkov se lahko določi na osnovi determinističnih</w:t>
            </w:r>
            <w:r w:rsidRPr="00625BBF">
              <w:rPr>
                <w:sz w:val="20"/>
              </w:rPr>
              <w:t xml:space="preserve"> analiz oz. verjetnostnih varnostnih analiz. Za postopke nižje varnostne pomembnosti se izvaja pristop z vzorčenjem in tako pregleda skupno ustreznost postopkov (in procesov upravljanja, s katerimi se razvijajo in nadzirajo postopki).</w:t>
            </w:r>
          </w:p>
        </w:tc>
        <w:tc>
          <w:tcPr>
            <w:tcW w:w="2835" w:type="dxa"/>
          </w:tcPr>
          <w:p w14:paraId="76CE6AED" w14:textId="77777777" w:rsidR="007F3369" w:rsidRPr="00625BBF" w:rsidRDefault="007F3369" w:rsidP="002E7597">
            <w:pPr>
              <w:rPr>
                <w:rFonts w:ascii="Arial" w:hAnsi="Arial" w:cs="Arial"/>
                <w:sz w:val="20"/>
                <w:lang w:val="sl-SI"/>
              </w:rPr>
            </w:pPr>
            <w:r w:rsidRPr="00625BBF">
              <w:rPr>
                <w:rFonts w:ascii="Arial" w:hAnsi="Arial" w:cs="Arial"/>
                <w:sz w:val="20"/>
                <w:lang w:val="sl-SI"/>
              </w:rPr>
              <w:t>Kaj pomeni določitev varnostne pomembnosti postopkov (opomba 29)?</w:t>
            </w:r>
          </w:p>
        </w:tc>
        <w:tc>
          <w:tcPr>
            <w:tcW w:w="1843" w:type="dxa"/>
          </w:tcPr>
          <w:p w14:paraId="67E8FC7B" w14:textId="77777777" w:rsidR="007F3369" w:rsidRDefault="007F3369" w:rsidP="002E7597">
            <w:pPr>
              <w:rPr>
                <w:rFonts w:ascii="Arial" w:hAnsi="Arial" w:cs="Arial"/>
                <w:sz w:val="20"/>
                <w:lang w:val="sl-SI"/>
              </w:rPr>
            </w:pPr>
            <w:r>
              <w:rPr>
                <w:rFonts w:ascii="Arial" w:hAnsi="Arial" w:cs="Arial"/>
                <w:sz w:val="20"/>
                <w:lang w:val="sl-SI"/>
              </w:rPr>
              <w:t>IAEA SSG-25, 5.126</w:t>
            </w:r>
          </w:p>
        </w:tc>
        <w:tc>
          <w:tcPr>
            <w:tcW w:w="3685" w:type="dxa"/>
            <w:shd w:val="clear" w:color="auto" w:fill="DBE5F1" w:themeFill="accent1" w:themeFillTint="33"/>
          </w:tcPr>
          <w:p w14:paraId="702AFA95" w14:textId="77777777" w:rsidR="007F3369" w:rsidRDefault="007F3369" w:rsidP="002E7597">
            <w:pPr>
              <w:rPr>
                <w:rFonts w:ascii="Arial" w:hAnsi="Arial" w:cs="Arial"/>
                <w:sz w:val="20"/>
                <w:lang w:val="sl-SI"/>
              </w:rPr>
            </w:pPr>
            <w:r w:rsidRPr="008D26A6">
              <w:rPr>
                <w:rFonts w:ascii="Arial" w:hAnsi="Arial" w:cs="Arial"/>
                <w:sz w:val="20"/>
                <w:lang w:val="sl-SI"/>
              </w:rPr>
              <w:t>Za NEK so postopki že razporejeni po varnostni pomembnosti – gre za postopke</w:t>
            </w:r>
            <w:r>
              <w:rPr>
                <w:rFonts w:ascii="Arial" w:hAnsi="Arial" w:cs="Arial"/>
                <w:sz w:val="20"/>
                <w:lang w:val="sl-SI"/>
              </w:rPr>
              <w:t xml:space="preserve"> pomembne za varnost</w:t>
            </w:r>
            <w:r w:rsidRPr="008D26A6">
              <w:rPr>
                <w:rFonts w:ascii="Arial" w:hAnsi="Arial" w:cs="Arial"/>
                <w:sz w:val="20"/>
                <w:lang w:val="sl-SI"/>
              </w:rPr>
              <w:t>.</w:t>
            </w:r>
          </w:p>
          <w:p w14:paraId="3BDC28A8" w14:textId="77777777" w:rsidR="007F3369" w:rsidRDefault="007F3369" w:rsidP="002E7597">
            <w:pPr>
              <w:rPr>
                <w:rFonts w:ascii="Arial" w:hAnsi="Arial" w:cs="Arial"/>
                <w:sz w:val="20"/>
                <w:lang w:val="sl-SI"/>
              </w:rPr>
            </w:pPr>
            <w:r>
              <w:rPr>
                <w:rFonts w:ascii="Arial" w:hAnsi="Arial" w:cs="Arial"/>
                <w:sz w:val="20"/>
                <w:lang w:val="sl-SI"/>
              </w:rPr>
              <w:t>Opomba 29 pa ne pomeni zahteve, da je treba pred PSR ponovno izvesti določitev varnostne pomembnosti postopkov.</w:t>
            </w:r>
          </w:p>
          <w:p w14:paraId="081078B2" w14:textId="77777777" w:rsidR="007F3369" w:rsidRPr="008D3EB4" w:rsidRDefault="007F3369" w:rsidP="002E7597">
            <w:pPr>
              <w:rPr>
                <w:rFonts w:ascii="Arial" w:hAnsi="Arial" w:cs="Arial"/>
                <w:sz w:val="20"/>
                <w:highlight w:val="green"/>
                <w:lang w:val="sl-SI"/>
              </w:rPr>
            </w:pPr>
            <w:r>
              <w:rPr>
                <w:rFonts w:ascii="Arial" w:hAnsi="Arial" w:cs="Arial"/>
                <w:sz w:val="20"/>
                <w:highlight w:val="cyan"/>
                <w:lang w:val="sl-SI"/>
              </w:rPr>
              <w:t xml:space="preserve">POJASNILO, </w:t>
            </w:r>
            <w:r w:rsidRPr="00045F7E">
              <w:rPr>
                <w:rFonts w:ascii="Arial" w:hAnsi="Arial" w:cs="Arial"/>
                <w:sz w:val="20"/>
                <w:highlight w:val="cyan"/>
                <w:lang w:val="sl-SI"/>
              </w:rPr>
              <w:t>NI SPREMEMBE P</w:t>
            </w:r>
            <w:r>
              <w:rPr>
                <w:rFonts w:ascii="Arial" w:hAnsi="Arial" w:cs="Arial"/>
                <w:sz w:val="20"/>
                <w:highlight w:val="cyan"/>
                <w:lang w:val="sl-SI"/>
              </w:rPr>
              <w:t>S 1.01</w:t>
            </w:r>
          </w:p>
        </w:tc>
      </w:tr>
      <w:tr w:rsidR="007F3369" w:rsidRPr="00A671ED" w14:paraId="5FA89E1E" w14:textId="77777777" w:rsidTr="002E7597">
        <w:trPr>
          <w:jc w:val="center"/>
        </w:trPr>
        <w:tc>
          <w:tcPr>
            <w:tcW w:w="421" w:type="dxa"/>
            <w:shd w:val="clear" w:color="auto" w:fill="FF33CC"/>
          </w:tcPr>
          <w:p w14:paraId="5645ED54"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53AE8203" w14:textId="77777777" w:rsidR="007F3369" w:rsidRDefault="007F3369" w:rsidP="002E7597">
            <w:pPr>
              <w:rPr>
                <w:rFonts w:ascii="Arial" w:hAnsi="Arial" w:cs="Arial"/>
                <w:sz w:val="20"/>
                <w:lang w:val="sl-SI"/>
              </w:rPr>
            </w:pPr>
          </w:p>
        </w:tc>
        <w:tc>
          <w:tcPr>
            <w:tcW w:w="1134" w:type="dxa"/>
          </w:tcPr>
          <w:p w14:paraId="68BE8667" w14:textId="77777777" w:rsidR="007F3369" w:rsidRDefault="007F3369" w:rsidP="002E7597">
            <w:pPr>
              <w:rPr>
                <w:rFonts w:ascii="Arial" w:hAnsi="Arial" w:cs="Arial"/>
                <w:sz w:val="20"/>
                <w:lang w:val="sl-SI"/>
              </w:rPr>
            </w:pPr>
            <w:r w:rsidRPr="00625BBF">
              <w:rPr>
                <w:rFonts w:ascii="Arial" w:hAnsi="Arial" w:cs="Arial"/>
                <w:sz w:val="20"/>
                <w:lang w:val="sl-SI"/>
              </w:rPr>
              <w:t>VF13 Vpliv dejavnosti osebja – človeški dejavnik</w:t>
            </w:r>
          </w:p>
        </w:tc>
        <w:tc>
          <w:tcPr>
            <w:tcW w:w="3402" w:type="dxa"/>
          </w:tcPr>
          <w:p w14:paraId="70370B09" w14:textId="77777777" w:rsidR="007F3369" w:rsidRPr="00A95816" w:rsidRDefault="007F3369" w:rsidP="002E7597">
            <w:pPr>
              <w:pStyle w:val="SlogArialObojestranskoPred6pt"/>
              <w:spacing w:before="0"/>
              <w:jc w:val="left"/>
              <w:rPr>
                <w:sz w:val="20"/>
              </w:rPr>
            </w:pPr>
          </w:p>
        </w:tc>
        <w:tc>
          <w:tcPr>
            <w:tcW w:w="2835" w:type="dxa"/>
          </w:tcPr>
          <w:p w14:paraId="0AAF4E83" w14:textId="77777777" w:rsidR="007F3369" w:rsidRPr="00625BBF" w:rsidRDefault="007F3369" w:rsidP="002E7597">
            <w:pPr>
              <w:rPr>
                <w:rFonts w:ascii="Arial" w:hAnsi="Arial" w:cs="Arial"/>
                <w:sz w:val="20"/>
                <w:lang w:val="sl-SI"/>
              </w:rPr>
            </w:pPr>
            <w:r w:rsidRPr="00625BBF">
              <w:rPr>
                <w:rFonts w:ascii="Arial" w:hAnsi="Arial" w:cs="Arial"/>
                <w:sz w:val="20"/>
                <w:lang w:val="sl-SI"/>
              </w:rPr>
              <w:t>Predlagamo da se naslednji elementi z vidika vmesnika človek-stroj prestavi v obseg VF1 Projekt objekta:</w:t>
            </w:r>
          </w:p>
          <w:p w14:paraId="02639CFC" w14:textId="77777777" w:rsidR="007F3369" w:rsidRDefault="007F3369" w:rsidP="002E7597">
            <w:pPr>
              <w:rPr>
                <w:rFonts w:ascii="Arial" w:hAnsi="Arial" w:cs="Arial"/>
                <w:sz w:val="20"/>
                <w:lang w:val="sl-SI"/>
              </w:rPr>
            </w:pPr>
            <w:r w:rsidRPr="00625BBF">
              <w:rPr>
                <w:rFonts w:ascii="Arial" w:hAnsi="Arial" w:cs="Arial"/>
                <w:sz w:val="20"/>
                <w:lang w:val="sl-SI"/>
              </w:rPr>
              <w:t>•</w:t>
            </w:r>
            <w:r>
              <w:rPr>
                <w:rFonts w:ascii="Arial" w:hAnsi="Arial" w:cs="Arial"/>
                <w:sz w:val="20"/>
                <w:lang w:val="sl-SI"/>
              </w:rPr>
              <w:t xml:space="preserve"> </w:t>
            </w:r>
            <w:r w:rsidRPr="00625BBF">
              <w:rPr>
                <w:rFonts w:ascii="Arial" w:hAnsi="Arial" w:cs="Arial"/>
                <w:sz w:val="20"/>
                <w:lang w:val="sl-SI"/>
              </w:rPr>
              <w:t>Projekt komandne sobe in drugih delovnih postaj pomembnih za varnost;</w:t>
            </w:r>
          </w:p>
          <w:p w14:paraId="428A1529" w14:textId="77777777" w:rsidR="007F3369" w:rsidRPr="00625BBF" w:rsidRDefault="007F3369" w:rsidP="002E7597">
            <w:pPr>
              <w:rPr>
                <w:rFonts w:ascii="Arial" w:hAnsi="Arial" w:cs="Arial"/>
                <w:sz w:val="20"/>
                <w:lang w:val="sl-SI"/>
              </w:rPr>
            </w:pPr>
            <w:r w:rsidRPr="00625BBF">
              <w:rPr>
                <w:rFonts w:ascii="Arial" w:hAnsi="Arial" w:cs="Arial"/>
                <w:sz w:val="20"/>
                <w:lang w:val="sl-SI"/>
              </w:rPr>
              <w:lastRenderedPageBreak/>
              <w:t>•</w:t>
            </w:r>
            <w:r>
              <w:rPr>
                <w:rFonts w:ascii="Arial" w:hAnsi="Arial" w:cs="Arial"/>
                <w:sz w:val="20"/>
                <w:lang w:val="sl-SI"/>
              </w:rPr>
              <w:t xml:space="preserve"> </w:t>
            </w:r>
            <w:r w:rsidRPr="00625BBF">
              <w:rPr>
                <w:rFonts w:ascii="Arial" w:hAnsi="Arial" w:cs="Arial"/>
                <w:sz w:val="20"/>
                <w:lang w:val="sl-SI"/>
              </w:rPr>
              <w:t>Zahteve človeka po informacijah ter obremenitve človeka;</w:t>
            </w:r>
          </w:p>
          <w:p w14:paraId="465AA6C7" w14:textId="77777777" w:rsidR="007F3369" w:rsidRPr="00E72971" w:rsidRDefault="007F3369" w:rsidP="002E7597">
            <w:pPr>
              <w:rPr>
                <w:rFonts w:ascii="Arial" w:hAnsi="Arial" w:cs="Arial"/>
                <w:sz w:val="20"/>
                <w:lang w:val="sl-SI"/>
              </w:rPr>
            </w:pPr>
            <w:r w:rsidRPr="00625BBF">
              <w:rPr>
                <w:rFonts w:ascii="Arial" w:hAnsi="Arial" w:cs="Arial"/>
                <w:sz w:val="20"/>
                <w:lang w:val="sl-SI"/>
              </w:rPr>
              <w:t>•</w:t>
            </w:r>
            <w:r>
              <w:rPr>
                <w:rFonts w:ascii="Arial" w:hAnsi="Arial" w:cs="Arial"/>
                <w:sz w:val="20"/>
                <w:lang w:val="sl-SI"/>
              </w:rPr>
              <w:t xml:space="preserve"> </w:t>
            </w:r>
            <w:r w:rsidRPr="00625BBF">
              <w:rPr>
                <w:rFonts w:ascii="Arial" w:hAnsi="Arial" w:cs="Arial"/>
                <w:sz w:val="20"/>
                <w:lang w:val="sl-SI"/>
              </w:rPr>
              <w:t>Jasnosti in izvedljivost postopkov.</w:t>
            </w:r>
          </w:p>
        </w:tc>
        <w:tc>
          <w:tcPr>
            <w:tcW w:w="1843" w:type="dxa"/>
          </w:tcPr>
          <w:p w14:paraId="1EBD0BD1" w14:textId="77777777" w:rsidR="007F3369" w:rsidRDefault="007F3369" w:rsidP="002E7597">
            <w:pPr>
              <w:rPr>
                <w:rFonts w:ascii="Arial" w:hAnsi="Arial" w:cs="Arial"/>
                <w:sz w:val="20"/>
                <w:lang w:val="sl-SI"/>
              </w:rPr>
            </w:pPr>
            <w:r>
              <w:rPr>
                <w:rFonts w:ascii="Arial" w:hAnsi="Arial" w:cs="Arial"/>
                <w:sz w:val="20"/>
                <w:lang w:val="sl-SI"/>
              </w:rPr>
              <w:lastRenderedPageBreak/>
              <w:t>IAEA SSG-25, 5.130, 5.133, 5.134</w:t>
            </w:r>
          </w:p>
        </w:tc>
        <w:tc>
          <w:tcPr>
            <w:tcW w:w="3685" w:type="dxa"/>
            <w:shd w:val="clear" w:color="auto" w:fill="DBE5F1" w:themeFill="accent1" w:themeFillTint="33"/>
          </w:tcPr>
          <w:p w14:paraId="557B1D80" w14:textId="7FCE6D55" w:rsidR="007F3369" w:rsidRPr="008D26A6" w:rsidRDefault="00BD0492" w:rsidP="002E7597">
            <w:pPr>
              <w:rPr>
                <w:rFonts w:ascii="Arial" w:hAnsi="Arial" w:cs="Arial"/>
                <w:sz w:val="20"/>
                <w:lang w:val="sl-SI"/>
              </w:rPr>
            </w:pPr>
            <w:r>
              <w:rPr>
                <w:rFonts w:ascii="Arial" w:hAnsi="Arial" w:cs="Arial"/>
                <w:sz w:val="20"/>
                <w:lang w:val="sl-SI"/>
              </w:rPr>
              <w:t>Ker</w:t>
            </w:r>
            <w:r w:rsidR="007F3369" w:rsidRPr="008D26A6">
              <w:rPr>
                <w:rFonts w:ascii="Arial" w:hAnsi="Arial" w:cs="Arial"/>
                <w:sz w:val="20"/>
                <w:lang w:val="sl-SI"/>
              </w:rPr>
              <w:t xml:space="preserve"> sledimo IAEA SSG-25</w:t>
            </w:r>
            <w:r w:rsidR="00D4756D">
              <w:rPr>
                <w:rFonts w:ascii="Arial" w:hAnsi="Arial" w:cs="Arial"/>
                <w:sz w:val="20"/>
                <w:lang w:val="sl-SI"/>
              </w:rPr>
              <w:t xml:space="preserve">, </w:t>
            </w:r>
            <w:r w:rsidR="007F3369" w:rsidRPr="008D26A6">
              <w:rPr>
                <w:rFonts w:ascii="Arial" w:hAnsi="Arial" w:cs="Arial"/>
                <w:sz w:val="20"/>
                <w:lang w:val="sl-SI"/>
              </w:rPr>
              <w:t xml:space="preserve">ostaja </w:t>
            </w:r>
            <w:r w:rsidR="00D4756D">
              <w:rPr>
                <w:rFonts w:ascii="Arial" w:hAnsi="Arial" w:cs="Arial"/>
                <w:sz w:val="20"/>
                <w:lang w:val="sl-SI"/>
              </w:rPr>
              <w:t>vmesnik človek-stroj v</w:t>
            </w:r>
            <w:r w:rsidR="007F3369" w:rsidRPr="008D26A6">
              <w:rPr>
                <w:rFonts w:ascii="Arial" w:hAnsi="Arial" w:cs="Arial"/>
                <w:sz w:val="20"/>
                <w:lang w:val="sl-SI"/>
              </w:rPr>
              <w:t xml:space="preserve"> PS </w:t>
            </w:r>
            <w:r w:rsidR="007F3369">
              <w:rPr>
                <w:rFonts w:ascii="Arial" w:hAnsi="Arial" w:cs="Arial"/>
                <w:sz w:val="20"/>
                <w:lang w:val="sl-SI"/>
              </w:rPr>
              <w:t xml:space="preserve">1.01 </w:t>
            </w:r>
            <w:r w:rsidR="007F3369" w:rsidRPr="008D26A6">
              <w:rPr>
                <w:rFonts w:ascii="Arial" w:hAnsi="Arial" w:cs="Arial"/>
                <w:sz w:val="20"/>
                <w:lang w:val="sl-SI"/>
              </w:rPr>
              <w:t>v VF13.</w:t>
            </w:r>
          </w:p>
          <w:p w14:paraId="6F27A9C3" w14:textId="77777777" w:rsidR="007F3369" w:rsidRPr="00625BBF" w:rsidRDefault="007F3369" w:rsidP="002E7597">
            <w:pPr>
              <w:rPr>
                <w:rFonts w:ascii="Arial" w:hAnsi="Arial" w:cs="Arial"/>
                <w:sz w:val="20"/>
                <w:lang w:val="sl-SI"/>
              </w:rPr>
            </w:pPr>
            <w:r w:rsidRPr="00BA01EE">
              <w:rPr>
                <w:rFonts w:ascii="Arial" w:hAnsi="Arial" w:cs="Arial"/>
                <w:sz w:val="20"/>
                <w:highlight w:val="magenta"/>
                <w:lang w:val="sl-SI"/>
              </w:rPr>
              <w:t>ZAVRNJENO</w:t>
            </w:r>
          </w:p>
        </w:tc>
      </w:tr>
      <w:tr w:rsidR="007F3369" w:rsidRPr="00A663D5" w14:paraId="3A470A2E" w14:textId="77777777" w:rsidTr="002E7597">
        <w:trPr>
          <w:jc w:val="center"/>
        </w:trPr>
        <w:tc>
          <w:tcPr>
            <w:tcW w:w="421" w:type="dxa"/>
            <w:shd w:val="clear" w:color="auto" w:fill="FF33CC"/>
          </w:tcPr>
          <w:p w14:paraId="62C6BD89"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7D622C66" w14:textId="77777777" w:rsidR="007F3369" w:rsidRDefault="007F3369" w:rsidP="002E7597">
            <w:pPr>
              <w:rPr>
                <w:rFonts w:ascii="Arial" w:hAnsi="Arial" w:cs="Arial"/>
                <w:sz w:val="20"/>
                <w:lang w:val="sl-SI"/>
              </w:rPr>
            </w:pPr>
          </w:p>
        </w:tc>
        <w:tc>
          <w:tcPr>
            <w:tcW w:w="1134" w:type="dxa"/>
          </w:tcPr>
          <w:p w14:paraId="3A4E3A05" w14:textId="77777777" w:rsidR="007F3369" w:rsidRPr="00625BBF" w:rsidRDefault="007F3369" w:rsidP="002E7597">
            <w:pPr>
              <w:rPr>
                <w:rFonts w:ascii="Arial" w:hAnsi="Arial" w:cs="Arial"/>
                <w:sz w:val="20"/>
                <w:lang w:val="sl-SI"/>
              </w:rPr>
            </w:pPr>
            <w:r w:rsidRPr="00A8243C">
              <w:rPr>
                <w:rFonts w:ascii="Arial" w:hAnsi="Arial" w:cs="Arial"/>
                <w:sz w:val="20"/>
                <w:lang w:val="sl-SI"/>
              </w:rPr>
              <w:t>VF14 Načrt zaščite in reševanja ob izrednem dogodku</w:t>
            </w:r>
          </w:p>
        </w:tc>
        <w:tc>
          <w:tcPr>
            <w:tcW w:w="3402" w:type="dxa"/>
          </w:tcPr>
          <w:p w14:paraId="66149A1F" w14:textId="77777777" w:rsidR="007F3369" w:rsidRPr="00A8243C" w:rsidRDefault="007F3369" w:rsidP="002E7597">
            <w:pPr>
              <w:rPr>
                <w:rFonts w:ascii="Arial" w:hAnsi="Arial" w:cs="Arial"/>
                <w:sz w:val="20"/>
                <w:lang w:val="sl-SI"/>
              </w:rPr>
            </w:pPr>
            <w:r w:rsidRPr="00A8243C">
              <w:rPr>
                <w:rFonts w:ascii="Arial" w:hAnsi="Arial" w:cs="Arial"/>
                <w:sz w:val="20"/>
                <w:lang w:val="sl-SI"/>
              </w:rPr>
              <w:t>Pregled mora vključevati:</w:t>
            </w:r>
          </w:p>
          <w:p w14:paraId="3F697BF7" w14:textId="77777777" w:rsidR="007F3369" w:rsidRPr="00A8243C" w:rsidRDefault="007F3369" w:rsidP="002E7597">
            <w:pPr>
              <w:rPr>
                <w:rFonts w:ascii="Arial" w:hAnsi="Arial" w:cs="Arial"/>
                <w:sz w:val="20"/>
                <w:lang w:val="sl-SI"/>
              </w:rPr>
            </w:pPr>
            <w:r w:rsidRPr="00A8243C">
              <w:rPr>
                <w:rFonts w:ascii="Arial" w:hAnsi="Arial" w:cs="Arial"/>
                <w:sz w:val="20"/>
                <w:lang w:val="sl-SI"/>
              </w:rPr>
              <w:t>•</w:t>
            </w:r>
            <w:r>
              <w:rPr>
                <w:rFonts w:ascii="Arial" w:hAnsi="Arial" w:cs="Arial"/>
                <w:sz w:val="20"/>
                <w:lang w:val="sl-SI"/>
              </w:rPr>
              <w:t xml:space="preserve"> </w:t>
            </w:r>
            <w:r w:rsidRPr="00A8243C">
              <w:rPr>
                <w:rFonts w:ascii="Arial" w:hAnsi="Arial" w:cs="Arial"/>
                <w:sz w:val="20"/>
                <w:lang w:val="sl-SI"/>
              </w:rPr>
              <w:t>Ovrednotenje ustreznosti organizacije za obvladovanje izrednega dogodka (analiza stanja, poveljevanje, ukrepanje, sodelovanje z zunanjimi deležniki);</w:t>
            </w:r>
          </w:p>
        </w:tc>
        <w:tc>
          <w:tcPr>
            <w:tcW w:w="2835" w:type="dxa"/>
          </w:tcPr>
          <w:p w14:paraId="4CC5915D" w14:textId="77777777" w:rsidR="007F3369" w:rsidRPr="00625BBF" w:rsidRDefault="007F3369" w:rsidP="002E7597">
            <w:pPr>
              <w:rPr>
                <w:rFonts w:ascii="Arial" w:hAnsi="Arial" w:cs="Arial"/>
                <w:sz w:val="20"/>
                <w:lang w:val="sl-SI"/>
              </w:rPr>
            </w:pPr>
            <w:r w:rsidRPr="00A8243C">
              <w:rPr>
                <w:rFonts w:ascii="Arial" w:hAnsi="Arial" w:cs="Arial"/>
                <w:sz w:val="20"/>
                <w:lang w:val="sl-SI"/>
              </w:rPr>
              <w:t>Besedo »ovrednotenje« lahko zamenjamo s »Potrditi«</w:t>
            </w:r>
          </w:p>
        </w:tc>
        <w:tc>
          <w:tcPr>
            <w:tcW w:w="1843" w:type="dxa"/>
          </w:tcPr>
          <w:p w14:paraId="5266866F" w14:textId="77777777" w:rsidR="007F3369" w:rsidRDefault="007F3369" w:rsidP="002E7597">
            <w:pPr>
              <w:rPr>
                <w:rFonts w:ascii="Arial" w:hAnsi="Arial" w:cs="Arial"/>
                <w:sz w:val="20"/>
                <w:lang w:val="sl-SI"/>
              </w:rPr>
            </w:pPr>
            <w:r>
              <w:rPr>
                <w:rFonts w:ascii="Arial" w:hAnsi="Arial" w:cs="Arial"/>
                <w:sz w:val="20"/>
                <w:lang w:val="sl-SI"/>
              </w:rPr>
              <w:t>IAEA SSG-25, 5.139</w:t>
            </w:r>
          </w:p>
          <w:p w14:paraId="42402E82" w14:textId="77777777" w:rsidR="007F3369" w:rsidRDefault="007F3369" w:rsidP="002E7597">
            <w:pPr>
              <w:rPr>
                <w:rFonts w:ascii="Arial" w:hAnsi="Arial" w:cs="Arial"/>
                <w:sz w:val="20"/>
                <w:lang w:val="sl-SI"/>
              </w:rPr>
            </w:pPr>
            <w:r>
              <w:rPr>
                <w:rFonts w:ascii="Arial" w:hAnsi="Arial" w:cs="Arial"/>
                <w:sz w:val="20"/>
                <w:lang w:val="sl-SI"/>
              </w:rPr>
              <w:t>in JV9</w:t>
            </w:r>
          </w:p>
        </w:tc>
        <w:tc>
          <w:tcPr>
            <w:tcW w:w="3685" w:type="dxa"/>
            <w:shd w:val="clear" w:color="auto" w:fill="DBE5F1" w:themeFill="accent1" w:themeFillTint="33"/>
          </w:tcPr>
          <w:p w14:paraId="3345176E" w14:textId="6D1F94A4" w:rsidR="007F3369" w:rsidRDefault="007F3369" w:rsidP="002E7597">
            <w:pPr>
              <w:rPr>
                <w:rFonts w:ascii="Arial" w:hAnsi="Arial" w:cs="Arial"/>
                <w:sz w:val="20"/>
                <w:lang w:val="sl-SI"/>
              </w:rPr>
            </w:pPr>
            <w:r>
              <w:rPr>
                <w:rFonts w:ascii="Arial" w:hAnsi="Arial" w:cs="Arial"/>
                <w:sz w:val="20"/>
                <w:lang w:val="sl-SI"/>
              </w:rPr>
              <w:t xml:space="preserve">Predlog ne spreminja obsega pregleda. Ker so vse alineje, na osnovi SSG-25, namenjene ovrednotenju posameznih elementov načrta zaščite in reševanja, ne bomo spremenili prav te alineje. </w:t>
            </w:r>
          </w:p>
          <w:p w14:paraId="7CA0A781" w14:textId="77777777" w:rsidR="007F3369" w:rsidRPr="00CF79CB" w:rsidRDefault="007F3369" w:rsidP="002E7597">
            <w:pPr>
              <w:rPr>
                <w:rFonts w:ascii="Arial" w:hAnsi="Arial" w:cs="Arial"/>
                <w:sz w:val="20"/>
                <w:lang w:val="sl-SI"/>
              </w:rPr>
            </w:pPr>
            <w:r w:rsidRPr="00BA01EE">
              <w:rPr>
                <w:rFonts w:ascii="Arial" w:hAnsi="Arial" w:cs="Arial"/>
                <w:sz w:val="20"/>
                <w:highlight w:val="magenta"/>
                <w:lang w:val="sl-SI"/>
              </w:rPr>
              <w:t>ZAVRNJENO</w:t>
            </w:r>
          </w:p>
        </w:tc>
      </w:tr>
      <w:tr w:rsidR="007F3369" w:rsidRPr="00875A7B" w14:paraId="3B25B0D1" w14:textId="77777777" w:rsidTr="002E7597">
        <w:trPr>
          <w:jc w:val="center"/>
        </w:trPr>
        <w:tc>
          <w:tcPr>
            <w:tcW w:w="421" w:type="dxa"/>
            <w:shd w:val="clear" w:color="auto" w:fill="00FF00"/>
          </w:tcPr>
          <w:p w14:paraId="525E6C8A" w14:textId="77777777" w:rsidR="007F3369" w:rsidRPr="00DC5ED5" w:rsidRDefault="007F3369" w:rsidP="00290ED8">
            <w:pPr>
              <w:pStyle w:val="Odstavekseznama"/>
              <w:numPr>
                <w:ilvl w:val="0"/>
                <w:numId w:val="1"/>
              </w:numPr>
              <w:rPr>
                <w:rFonts w:ascii="Arial" w:hAnsi="Arial" w:cs="Arial"/>
                <w:sz w:val="20"/>
                <w:highlight w:val="green"/>
                <w:lang w:val="sl-SI"/>
              </w:rPr>
            </w:pPr>
          </w:p>
        </w:tc>
        <w:tc>
          <w:tcPr>
            <w:tcW w:w="850" w:type="dxa"/>
          </w:tcPr>
          <w:p w14:paraId="0B76BE35" w14:textId="77777777" w:rsidR="007F3369" w:rsidRDefault="007F3369" w:rsidP="002E7597">
            <w:pPr>
              <w:rPr>
                <w:rFonts w:ascii="Arial" w:hAnsi="Arial" w:cs="Arial"/>
                <w:sz w:val="20"/>
                <w:lang w:val="sl-SI"/>
              </w:rPr>
            </w:pPr>
          </w:p>
        </w:tc>
        <w:tc>
          <w:tcPr>
            <w:tcW w:w="1134" w:type="dxa"/>
          </w:tcPr>
          <w:p w14:paraId="656BA316" w14:textId="77777777" w:rsidR="007F3369" w:rsidRPr="00A8243C" w:rsidRDefault="007F3369" w:rsidP="002E7597">
            <w:pPr>
              <w:rPr>
                <w:rFonts w:ascii="Arial" w:hAnsi="Arial" w:cs="Arial"/>
                <w:sz w:val="20"/>
                <w:lang w:val="sl-SI"/>
              </w:rPr>
            </w:pPr>
            <w:r w:rsidRPr="00A8243C">
              <w:rPr>
                <w:rFonts w:ascii="Arial" w:hAnsi="Arial" w:cs="Arial"/>
                <w:sz w:val="20"/>
                <w:lang w:val="sl-SI"/>
              </w:rPr>
              <w:t>VF14 Načrt zaščite in reševanja ob izrednem dogodku</w:t>
            </w:r>
          </w:p>
        </w:tc>
        <w:tc>
          <w:tcPr>
            <w:tcW w:w="3402" w:type="dxa"/>
          </w:tcPr>
          <w:p w14:paraId="6D5C66CB" w14:textId="77777777" w:rsidR="007F3369" w:rsidRDefault="007F3369" w:rsidP="002E7597">
            <w:pPr>
              <w:rPr>
                <w:rFonts w:ascii="Arial" w:hAnsi="Arial" w:cs="Arial"/>
                <w:sz w:val="20"/>
                <w:lang w:val="sl-SI"/>
              </w:rPr>
            </w:pPr>
            <w:r>
              <w:rPr>
                <w:rFonts w:ascii="Arial" w:hAnsi="Arial" w:cs="Arial"/>
                <w:sz w:val="20"/>
                <w:lang w:val="sl-SI"/>
              </w:rPr>
              <w:t xml:space="preserve">- </w:t>
            </w:r>
            <w:r w:rsidRPr="00A8243C">
              <w:rPr>
                <w:rFonts w:ascii="Arial" w:hAnsi="Arial" w:cs="Arial"/>
                <w:sz w:val="20"/>
                <w:lang w:val="sl-SI"/>
              </w:rPr>
              <w:t xml:space="preserve">Ovrednotenje delovanja sistemov, ki bodo zagotavljali podatke v primeru izrednega dogodka (npr. PARMS, PASS, seizmična instrumentacija); </w:t>
            </w:r>
          </w:p>
          <w:p w14:paraId="0CE077DB" w14:textId="77777777" w:rsidR="007F3369" w:rsidRPr="00A8243C" w:rsidRDefault="007F3369" w:rsidP="002E7597">
            <w:pPr>
              <w:rPr>
                <w:rFonts w:ascii="Arial" w:hAnsi="Arial" w:cs="Arial"/>
                <w:sz w:val="20"/>
                <w:lang w:val="sl-SI"/>
              </w:rPr>
            </w:pPr>
          </w:p>
          <w:p w14:paraId="1A62B4A6" w14:textId="77777777" w:rsidR="007F3369" w:rsidRPr="00A8243C" w:rsidRDefault="007F3369" w:rsidP="002E7597">
            <w:pPr>
              <w:rPr>
                <w:rFonts w:ascii="Arial" w:hAnsi="Arial" w:cs="Arial"/>
                <w:sz w:val="20"/>
                <w:lang w:val="sl-SI"/>
              </w:rPr>
            </w:pPr>
            <w:r>
              <w:rPr>
                <w:rFonts w:ascii="Arial" w:hAnsi="Arial" w:cs="Arial"/>
                <w:sz w:val="20"/>
                <w:lang w:val="sl-SI"/>
              </w:rPr>
              <w:t xml:space="preserve">- </w:t>
            </w:r>
            <w:r w:rsidRPr="00A8243C">
              <w:rPr>
                <w:rFonts w:ascii="Arial" w:hAnsi="Arial" w:cs="Arial"/>
                <w:sz w:val="20"/>
                <w:lang w:val="sl-SI"/>
              </w:rPr>
              <w:t>Ovrednotenje zmogljivosti in kakovosti (interkomparacije) okoljskega monitoringa v primeru izrednega dogodka;</w:t>
            </w:r>
          </w:p>
        </w:tc>
        <w:tc>
          <w:tcPr>
            <w:tcW w:w="2835" w:type="dxa"/>
          </w:tcPr>
          <w:p w14:paraId="57B8FE99" w14:textId="77777777" w:rsidR="007F3369" w:rsidRPr="00A8243C" w:rsidRDefault="007F3369" w:rsidP="002E7597">
            <w:pPr>
              <w:rPr>
                <w:rFonts w:ascii="Arial" w:hAnsi="Arial" w:cs="Arial"/>
                <w:sz w:val="20"/>
                <w:lang w:val="sl-SI"/>
              </w:rPr>
            </w:pPr>
            <w:r w:rsidRPr="00A8243C">
              <w:rPr>
                <w:rFonts w:ascii="Arial" w:hAnsi="Arial" w:cs="Arial"/>
                <w:sz w:val="20"/>
                <w:lang w:val="sl-SI"/>
              </w:rPr>
              <w:t>To ni predmet VF14. Predlagamo da se prestavi v VF v katerem se obravnava monitoring (npr</w:t>
            </w:r>
            <w:r>
              <w:rPr>
                <w:rFonts w:ascii="Arial" w:hAnsi="Arial" w:cs="Arial"/>
                <w:sz w:val="20"/>
                <w:lang w:val="sl-SI"/>
              </w:rPr>
              <w:t>.</w:t>
            </w:r>
            <w:r w:rsidRPr="00A8243C">
              <w:rPr>
                <w:rFonts w:ascii="Arial" w:hAnsi="Arial" w:cs="Arial"/>
                <w:sz w:val="20"/>
                <w:lang w:val="sl-SI"/>
              </w:rPr>
              <w:t xml:space="preserve"> VF15)</w:t>
            </w:r>
          </w:p>
        </w:tc>
        <w:tc>
          <w:tcPr>
            <w:tcW w:w="1843" w:type="dxa"/>
          </w:tcPr>
          <w:p w14:paraId="6F0C198F"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3E3D64F5" w14:textId="6F9652AF" w:rsidR="007F3369" w:rsidRDefault="007F3369" w:rsidP="002E7597">
            <w:pPr>
              <w:rPr>
                <w:rFonts w:ascii="Arial" w:hAnsi="Arial" w:cs="Arial"/>
                <w:sz w:val="20"/>
                <w:lang w:val="sl-SI"/>
              </w:rPr>
            </w:pPr>
            <w:r>
              <w:rPr>
                <w:rFonts w:ascii="Arial" w:hAnsi="Arial" w:cs="Arial"/>
                <w:sz w:val="20"/>
                <w:lang w:val="sl-SI"/>
              </w:rPr>
              <w:t>Pripomba je ustrezna glede na IAEA SSG-25. Alineja o okoljskem monitoringu se premakne v VF15.</w:t>
            </w:r>
          </w:p>
          <w:p w14:paraId="5456D4F5" w14:textId="77777777" w:rsidR="007F3369" w:rsidRDefault="007F3369" w:rsidP="002E7597">
            <w:pPr>
              <w:rPr>
                <w:rFonts w:ascii="Arial" w:hAnsi="Arial" w:cs="Arial"/>
                <w:sz w:val="20"/>
                <w:lang w:val="sl-SI"/>
              </w:rPr>
            </w:pPr>
            <w:r w:rsidRPr="008D3EB4">
              <w:rPr>
                <w:rFonts w:ascii="Arial" w:hAnsi="Arial" w:cs="Arial"/>
                <w:sz w:val="20"/>
                <w:highlight w:val="green"/>
                <w:lang w:val="sl-SI"/>
              </w:rPr>
              <w:t>SPREJETO</w:t>
            </w:r>
          </w:p>
          <w:p w14:paraId="22349F8F" w14:textId="77777777" w:rsidR="007F3369" w:rsidRDefault="007F3369" w:rsidP="002E7597">
            <w:pPr>
              <w:rPr>
                <w:rFonts w:ascii="Arial" w:hAnsi="Arial" w:cs="Arial"/>
                <w:sz w:val="20"/>
                <w:lang w:val="sl-SI"/>
              </w:rPr>
            </w:pPr>
          </w:p>
          <w:p w14:paraId="57DA01A5" w14:textId="77777777" w:rsidR="007F3369" w:rsidRDefault="007F3369" w:rsidP="002E7597">
            <w:pPr>
              <w:rPr>
                <w:rFonts w:ascii="Arial" w:hAnsi="Arial" w:cs="Arial"/>
                <w:sz w:val="20"/>
                <w:lang w:val="sl-SI"/>
              </w:rPr>
            </w:pPr>
            <w:r>
              <w:rPr>
                <w:rFonts w:ascii="Arial" w:hAnsi="Arial" w:cs="Arial"/>
                <w:sz w:val="20"/>
                <w:lang w:val="sl-SI"/>
              </w:rPr>
              <w:t>Alineja glede sistemov za meritev izpustov iz elektrarne v okolje med izrednim dogodkom ne spada v VF15. To je del VF1, kjer pa ti sistemi RM niso neposredno navedeni.</w:t>
            </w:r>
          </w:p>
          <w:p w14:paraId="617E08D5" w14:textId="77777777" w:rsidR="007F3369" w:rsidRPr="00CF79CB" w:rsidRDefault="007F3369" w:rsidP="002E7597">
            <w:pPr>
              <w:rPr>
                <w:rFonts w:ascii="Arial" w:hAnsi="Arial" w:cs="Arial"/>
                <w:sz w:val="20"/>
                <w:lang w:val="sl-SI"/>
              </w:rPr>
            </w:pPr>
            <w:r>
              <w:rPr>
                <w:rFonts w:ascii="Arial" w:hAnsi="Arial" w:cs="Arial"/>
                <w:sz w:val="20"/>
                <w:highlight w:val="green"/>
                <w:lang w:val="sl-SI"/>
              </w:rPr>
              <w:t>PRESTAVLJENO V VF1</w:t>
            </w:r>
          </w:p>
        </w:tc>
      </w:tr>
      <w:tr w:rsidR="007F3369" w:rsidRPr="00295269" w14:paraId="019C5736" w14:textId="77777777" w:rsidTr="002E7597">
        <w:trPr>
          <w:jc w:val="center"/>
        </w:trPr>
        <w:tc>
          <w:tcPr>
            <w:tcW w:w="421" w:type="dxa"/>
            <w:shd w:val="clear" w:color="auto" w:fill="00FF00"/>
          </w:tcPr>
          <w:p w14:paraId="2FFD08CF"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1947C099" w14:textId="77777777" w:rsidR="007F3369" w:rsidRDefault="007F3369" w:rsidP="002E7597">
            <w:pPr>
              <w:rPr>
                <w:rFonts w:ascii="Arial" w:hAnsi="Arial" w:cs="Arial"/>
                <w:sz w:val="20"/>
                <w:lang w:val="sl-SI"/>
              </w:rPr>
            </w:pPr>
          </w:p>
        </w:tc>
        <w:tc>
          <w:tcPr>
            <w:tcW w:w="1134" w:type="dxa"/>
          </w:tcPr>
          <w:p w14:paraId="70B4676D" w14:textId="77777777" w:rsidR="007F3369" w:rsidRPr="00A8243C" w:rsidRDefault="007F3369" w:rsidP="002E7597">
            <w:pPr>
              <w:rPr>
                <w:rFonts w:ascii="Arial" w:hAnsi="Arial" w:cs="Arial"/>
                <w:sz w:val="20"/>
                <w:lang w:val="sl-SI"/>
              </w:rPr>
            </w:pPr>
            <w:r w:rsidRPr="00A8243C">
              <w:rPr>
                <w:rFonts w:ascii="Arial" w:hAnsi="Arial" w:cs="Arial"/>
                <w:sz w:val="20"/>
                <w:lang w:val="sl-SI"/>
              </w:rPr>
              <w:t>VF15 Radiološki vplivi na okolje</w:t>
            </w:r>
          </w:p>
        </w:tc>
        <w:tc>
          <w:tcPr>
            <w:tcW w:w="3402" w:type="dxa"/>
          </w:tcPr>
          <w:p w14:paraId="53F0A321" w14:textId="77777777" w:rsidR="007F3369" w:rsidRPr="00A8243C" w:rsidRDefault="007F3369" w:rsidP="002E7597">
            <w:pPr>
              <w:rPr>
                <w:rFonts w:ascii="Arial" w:hAnsi="Arial" w:cs="Arial"/>
                <w:sz w:val="20"/>
                <w:lang w:val="sl-SI"/>
              </w:rPr>
            </w:pPr>
          </w:p>
        </w:tc>
        <w:tc>
          <w:tcPr>
            <w:tcW w:w="2835" w:type="dxa"/>
          </w:tcPr>
          <w:p w14:paraId="51AEFD6F" w14:textId="77777777" w:rsidR="007F3369" w:rsidRPr="00A8243C" w:rsidRDefault="007F3369" w:rsidP="002E7597">
            <w:pPr>
              <w:rPr>
                <w:rFonts w:ascii="Arial" w:hAnsi="Arial" w:cs="Arial"/>
                <w:sz w:val="20"/>
                <w:lang w:val="sl-SI"/>
              </w:rPr>
            </w:pPr>
            <w:r w:rsidRPr="00A8243C">
              <w:rPr>
                <w:rFonts w:ascii="Arial" w:hAnsi="Arial" w:cs="Arial"/>
                <w:sz w:val="20"/>
                <w:lang w:val="sl-SI"/>
              </w:rPr>
              <w:t>V tem poglavju bi morali omeniti pregled tudi glede na RETS, ki je osnovni operativni dokument nadzora. Poleg tega se sklicuje to poglavje samo na IAEA dokumente, nikjer pa ne omenja slovenskih predpisov v zvezi s tem, ki so tudi obširni – npr</w:t>
            </w:r>
            <w:r>
              <w:rPr>
                <w:rFonts w:ascii="Arial" w:hAnsi="Arial" w:cs="Arial"/>
                <w:sz w:val="20"/>
                <w:lang w:val="sl-SI"/>
              </w:rPr>
              <w:t>.</w:t>
            </w:r>
            <w:r w:rsidRPr="00A8243C">
              <w:rPr>
                <w:rFonts w:ascii="Arial" w:hAnsi="Arial" w:cs="Arial"/>
                <w:sz w:val="20"/>
                <w:lang w:val="sl-SI"/>
              </w:rPr>
              <w:t xml:space="preserve"> pravilnik JV10.</w:t>
            </w:r>
          </w:p>
        </w:tc>
        <w:tc>
          <w:tcPr>
            <w:tcW w:w="1843" w:type="dxa"/>
          </w:tcPr>
          <w:p w14:paraId="413D5A00"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69B28132" w14:textId="77777777" w:rsidR="007F3369" w:rsidRDefault="007F3369" w:rsidP="002E7597">
            <w:pPr>
              <w:rPr>
                <w:rFonts w:ascii="Arial" w:hAnsi="Arial" w:cs="Arial"/>
                <w:sz w:val="20"/>
                <w:lang w:val="sl-SI"/>
              </w:rPr>
            </w:pPr>
            <w:r>
              <w:rPr>
                <w:rFonts w:ascii="Arial" w:hAnsi="Arial" w:cs="Arial"/>
                <w:sz w:val="20"/>
                <w:lang w:val="sl-SI"/>
              </w:rPr>
              <w:t>Dodana alineja glede pregleda obratovalnih pogojev in omejitev (za NEK je to RETS) za izpuste v okolje in okoljski monitoring. Dodan tudi pregled ustreznosti glede zakonodaje (JV10).</w:t>
            </w:r>
          </w:p>
          <w:p w14:paraId="00135B25" w14:textId="77777777" w:rsidR="007F3369" w:rsidRPr="00D032FF" w:rsidRDefault="007F3369" w:rsidP="002E7597">
            <w:pPr>
              <w:rPr>
                <w:rFonts w:ascii="Arial" w:hAnsi="Arial" w:cs="Arial"/>
                <w:sz w:val="20"/>
                <w:lang w:val="sl-SI"/>
              </w:rPr>
            </w:pPr>
            <w:r w:rsidRPr="008D3EB4">
              <w:rPr>
                <w:rFonts w:ascii="Arial" w:hAnsi="Arial" w:cs="Arial"/>
                <w:sz w:val="20"/>
                <w:highlight w:val="green"/>
                <w:lang w:val="sl-SI"/>
              </w:rPr>
              <w:t>SPREJETO</w:t>
            </w:r>
          </w:p>
        </w:tc>
      </w:tr>
      <w:tr w:rsidR="007F3369" w:rsidRPr="007B347D" w14:paraId="6240C6F0" w14:textId="77777777" w:rsidTr="002E7597">
        <w:trPr>
          <w:jc w:val="center"/>
        </w:trPr>
        <w:tc>
          <w:tcPr>
            <w:tcW w:w="421" w:type="dxa"/>
            <w:shd w:val="clear" w:color="auto" w:fill="FF33CC"/>
          </w:tcPr>
          <w:p w14:paraId="65CA7202"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2284917C" w14:textId="77777777" w:rsidR="007F3369" w:rsidRDefault="007F3369" w:rsidP="002E7597">
            <w:pPr>
              <w:rPr>
                <w:rFonts w:ascii="Arial" w:hAnsi="Arial" w:cs="Arial"/>
                <w:sz w:val="20"/>
                <w:lang w:val="sl-SI"/>
              </w:rPr>
            </w:pPr>
          </w:p>
        </w:tc>
        <w:tc>
          <w:tcPr>
            <w:tcW w:w="1134" w:type="dxa"/>
          </w:tcPr>
          <w:p w14:paraId="52CE0748" w14:textId="77777777" w:rsidR="007F3369" w:rsidRPr="00A8243C" w:rsidRDefault="007F3369" w:rsidP="002E7597">
            <w:pPr>
              <w:rPr>
                <w:rFonts w:ascii="Arial" w:hAnsi="Arial" w:cs="Arial"/>
                <w:sz w:val="20"/>
                <w:lang w:val="sl-SI"/>
              </w:rPr>
            </w:pPr>
            <w:r w:rsidRPr="00A8243C">
              <w:rPr>
                <w:rFonts w:ascii="Arial" w:hAnsi="Arial" w:cs="Arial"/>
                <w:sz w:val="20"/>
                <w:lang w:val="sl-SI"/>
              </w:rPr>
              <w:t xml:space="preserve">VF16 Radioaktivni </w:t>
            </w:r>
            <w:r w:rsidRPr="00A8243C">
              <w:rPr>
                <w:rFonts w:ascii="Arial" w:hAnsi="Arial" w:cs="Arial"/>
                <w:sz w:val="20"/>
                <w:lang w:val="sl-SI"/>
              </w:rPr>
              <w:lastRenderedPageBreak/>
              <w:t>odpadki in izrabljeno gorivo</w:t>
            </w:r>
          </w:p>
        </w:tc>
        <w:tc>
          <w:tcPr>
            <w:tcW w:w="3402" w:type="dxa"/>
          </w:tcPr>
          <w:p w14:paraId="44FA28B4" w14:textId="77777777" w:rsidR="007F3369" w:rsidRPr="00A8243C" w:rsidRDefault="007F3369" w:rsidP="002E7597">
            <w:pPr>
              <w:rPr>
                <w:rFonts w:ascii="Arial" w:hAnsi="Arial" w:cs="Arial"/>
                <w:sz w:val="20"/>
                <w:lang w:val="sl-SI"/>
              </w:rPr>
            </w:pPr>
          </w:p>
        </w:tc>
        <w:tc>
          <w:tcPr>
            <w:tcW w:w="2835" w:type="dxa"/>
          </w:tcPr>
          <w:p w14:paraId="4BF8492C" w14:textId="77777777" w:rsidR="007F3369" w:rsidRPr="00A8243C" w:rsidRDefault="007F3369" w:rsidP="002E7597">
            <w:pPr>
              <w:rPr>
                <w:rFonts w:ascii="Arial" w:hAnsi="Arial" w:cs="Arial"/>
                <w:sz w:val="20"/>
                <w:lang w:val="sl-SI"/>
              </w:rPr>
            </w:pPr>
            <w:r w:rsidRPr="00A8243C">
              <w:rPr>
                <w:rFonts w:ascii="Arial" w:hAnsi="Arial" w:cs="Arial"/>
                <w:sz w:val="20"/>
                <w:lang w:val="sl-SI"/>
              </w:rPr>
              <w:t xml:space="preserve">Predlaga se iz obsega brisati poglavje g). Predikcije in zasedenost kapacitet </w:t>
            </w:r>
            <w:r w:rsidRPr="00A8243C">
              <w:rPr>
                <w:rFonts w:ascii="Arial" w:hAnsi="Arial" w:cs="Arial"/>
                <w:sz w:val="20"/>
                <w:lang w:val="sl-SI"/>
              </w:rPr>
              <w:lastRenderedPageBreak/>
              <w:t>skladišča NSRAO se izvaja ob pripravi revizije Programa gospodarjenja z RAO vsaki dve leti (v skladu z JV7). Ta Program je pa tako eden izmed elementov iz obsega v poglavju a) na strani 36.</w:t>
            </w:r>
          </w:p>
        </w:tc>
        <w:tc>
          <w:tcPr>
            <w:tcW w:w="1843" w:type="dxa"/>
          </w:tcPr>
          <w:p w14:paraId="0F1BF747"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3EEA0D8C" w14:textId="28CDF051" w:rsidR="007F3369" w:rsidRPr="00504358" w:rsidRDefault="00A4713E" w:rsidP="002E7597">
            <w:pPr>
              <w:rPr>
                <w:rFonts w:ascii="Arial" w:hAnsi="Arial" w:cs="Arial"/>
                <w:sz w:val="20"/>
                <w:lang w:val="sl-SI"/>
              </w:rPr>
            </w:pPr>
            <w:r>
              <w:rPr>
                <w:rFonts w:ascii="Arial" w:hAnsi="Arial" w:cs="Arial"/>
                <w:sz w:val="20"/>
                <w:lang w:val="sl-SI"/>
              </w:rPr>
              <w:t>Pripomba</w:t>
            </w:r>
            <w:r w:rsidR="007F3369" w:rsidRPr="00504358">
              <w:rPr>
                <w:rFonts w:ascii="Arial" w:hAnsi="Arial" w:cs="Arial"/>
                <w:sz w:val="20"/>
                <w:lang w:val="sl-SI"/>
              </w:rPr>
              <w:t xml:space="preserve"> pravilno ugotavlja, da je ta predikcija del programa. Vendar če PSR izvede samo pregled programa, </w:t>
            </w:r>
            <w:r w:rsidR="007F3369" w:rsidRPr="00504358">
              <w:rPr>
                <w:rFonts w:ascii="Arial" w:hAnsi="Arial" w:cs="Arial"/>
                <w:sz w:val="20"/>
                <w:lang w:val="sl-SI"/>
              </w:rPr>
              <w:lastRenderedPageBreak/>
              <w:t>ni določeno, da pregleda tudi to vsebino. To velja tudi za nekatere druge alineje, ki so vključene v program gospodarjenja z RAO.</w:t>
            </w:r>
          </w:p>
          <w:p w14:paraId="34169AE3" w14:textId="77777777" w:rsidR="007F3369" w:rsidRPr="00D032FF" w:rsidRDefault="007F3369" w:rsidP="002E7597">
            <w:pPr>
              <w:rPr>
                <w:rFonts w:ascii="Arial" w:hAnsi="Arial" w:cs="Arial"/>
                <w:sz w:val="20"/>
                <w:lang w:val="sl-SI"/>
              </w:rPr>
            </w:pPr>
            <w:r w:rsidRPr="00BA01EE">
              <w:rPr>
                <w:rFonts w:ascii="Arial" w:hAnsi="Arial" w:cs="Arial"/>
                <w:sz w:val="20"/>
                <w:highlight w:val="magenta"/>
                <w:lang w:val="sl-SI"/>
              </w:rPr>
              <w:t>ZAVRNJENO</w:t>
            </w:r>
          </w:p>
        </w:tc>
      </w:tr>
      <w:tr w:rsidR="007F3369" w:rsidRPr="001D410B" w14:paraId="63A63021" w14:textId="77777777" w:rsidTr="002E7597">
        <w:trPr>
          <w:jc w:val="center"/>
        </w:trPr>
        <w:tc>
          <w:tcPr>
            <w:tcW w:w="421" w:type="dxa"/>
            <w:shd w:val="clear" w:color="auto" w:fill="00FFFF"/>
          </w:tcPr>
          <w:p w14:paraId="6A1CC22C"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6C51FBC8" w14:textId="77777777" w:rsidR="007F3369" w:rsidRDefault="007F3369" w:rsidP="002E7597">
            <w:pPr>
              <w:rPr>
                <w:rFonts w:ascii="Arial" w:hAnsi="Arial" w:cs="Arial"/>
                <w:sz w:val="20"/>
                <w:lang w:val="sl-SI"/>
              </w:rPr>
            </w:pPr>
            <w:r w:rsidRPr="00A8243C">
              <w:rPr>
                <w:rFonts w:ascii="Arial" w:hAnsi="Arial" w:cs="Arial"/>
                <w:sz w:val="20"/>
                <w:lang w:val="sl-SI"/>
              </w:rPr>
              <w:t>Str. 43/48</w:t>
            </w:r>
          </w:p>
        </w:tc>
        <w:tc>
          <w:tcPr>
            <w:tcW w:w="1134" w:type="dxa"/>
          </w:tcPr>
          <w:p w14:paraId="203513C8" w14:textId="77777777" w:rsidR="007F3369" w:rsidRPr="00A8243C" w:rsidRDefault="007F3369" w:rsidP="002E7597">
            <w:pPr>
              <w:rPr>
                <w:rFonts w:ascii="Arial" w:hAnsi="Arial" w:cs="Arial"/>
                <w:sz w:val="20"/>
                <w:lang w:val="sl-SI"/>
              </w:rPr>
            </w:pPr>
            <w:r>
              <w:rPr>
                <w:rFonts w:ascii="Arial" w:hAnsi="Arial" w:cs="Arial"/>
                <w:sz w:val="20"/>
                <w:lang w:val="sl-SI"/>
              </w:rPr>
              <w:t>Celovita ocena varnosti</w:t>
            </w:r>
          </w:p>
        </w:tc>
        <w:tc>
          <w:tcPr>
            <w:tcW w:w="3402" w:type="dxa"/>
          </w:tcPr>
          <w:p w14:paraId="2F449754" w14:textId="77777777" w:rsidR="007F3369" w:rsidRPr="00A8243C" w:rsidRDefault="007F3369" w:rsidP="002E7597">
            <w:pPr>
              <w:rPr>
                <w:rFonts w:ascii="Arial" w:hAnsi="Arial" w:cs="Arial"/>
                <w:sz w:val="20"/>
                <w:lang w:val="sl-SI"/>
              </w:rPr>
            </w:pPr>
            <w:r w:rsidRPr="00A8243C">
              <w:rPr>
                <w:rFonts w:ascii="Arial" w:hAnsi="Arial" w:cs="Arial"/>
                <w:sz w:val="20"/>
                <w:lang w:val="sl-SI"/>
              </w:rPr>
              <w:t>Skupen učinek negativnih najdb, varnostnih izboljšav in pozitivnih najdb (močnih točk) ugotovljenih v občasnem varnostnem pregledu je treba raziskati z determinističnimi metodami za zagotovitev, da je celotna raven varnosti objekta primerna.</w:t>
            </w:r>
          </w:p>
        </w:tc>
        <w:tc>
          <w:tcPr>
            <w:tcW w:w="2835" w:type="dxa"/>
          </w:tcPr>
          <w:p w14:paraId="756E49C7" w14:textId="77777777" w:rsidR="007F3369" w:rsidRPr="00A8243C" w:rsidRDefault="007F3369" w:rsidP="002E7597">
            <w:pPr>
              <w:rPr>
                <w:rFonts w:ascii="Arial" w:hAnsi="Arial" w:cs="Arial"/>
                <w:sz w:val="20"/>
                <w:lang w:val="sl-SI"/>
              </w:rPr>
            </w:pPr>
            <w:r w:rsidRPr="00A8243C">
              <w:rPr>
                <w:rFonts w:ascii="Arial" w:hAnsi="Arial" w:cs="Arial"/>
                <w:sz w:val="20"/>
                <w:lang w:val="sl-SI"/>
              </w:rPr>
              <w:t xml:space="preserve">Ta stavek je, kot in celotno poglavje »Celovita ocena varnosti«, splošen in </w:t>
            </w:r>
            <w:r>
              <w:rPr>
                <w:rFonts w:ascii="Arial" w:hAnsi="Arial" w:cs="Arial"/>
                <w:sz w:val="20"/>
                <w:lang w:val="sl-SI"/>
              </w:rPr>
              <w:t xml:space="preserve">ne </w:t>
            </w:r>
            <w:r w:rsidRPr="00A8243C">
              <w:rPr>
                <w:rFonts w:ascii="Arial" w:hAnsi="Arial" w:cs="Arial"/>
                <w:sz w:val="20"/>
                <w:lang w:val="sl-SI"/>
              </w:rPr>
              <w:t>daje odgovora katere metode se uporabljajo. Osnovno orodje za celovito oceno varnosti je strokovna presoja (expert judgement).</w:t>
            </w:r>
          </w:p>
        </w:tc>
        <w:tc>
          <w:tcPr>
            <w:tcW w:w="1843" w:type="dxa"/>
          </w:tcPr>
          <w:p w14:paraId="23115673"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6B2E36B1" w14:textId="77777777" w:rsidR="007F3369" w:rsidRDefault="007F3369" w:rsidP="002E7597">
            <w:pPr>
              <w:rPr>
                <w:rFonts w:ascii="Arial" w:hAnsi="Arial" w:cs="Arial"/>
                <w:sz w:val="20"/>
                <w:lang w:val="sl-SI"/>
              </w:rPr>
            </w:pPr>
            <w:r>
              <w:rPr>
                <w:rFonts w:ascii="Arial" w:hAnsi="Arial" w:cs="Arial"/>
                <w:sz w:val="20"/>
                <w:lang w:val="sl-SI"/>
              </w:rPr>
              <w:t>Navedba je splošna. Med metodami je tudi strokovna presoja, vendar se za primere, kjer je to možno, uporabi tudi deterministične metode ali verjetnostne varnostne analize. Za različne objekte pa se to ne da vnaprej določiti. To se podrobno določi v programu PSR.</w:t>
            </w:r>
          </w:p>
          <w:p w14:paraId="66F517FD" w14:textId="77777777" w:rsidR="007F3369" w:rsidRPr="00D032FF" w:rsidRDefault="007F3369" w:rsidP="002E7597">
            <w:pPr>
              <w:rPr>
                <w:rFonts w:ascii="Arial" w:hAnsi="Arial" w:cs="Arial"/>
                <w:sz w:val="20"/>
                <w:lang w:val="sl-SI"/>
              </w:rPr>
            </w:pPr>
            <w:r w:rsidRPr="00045F7E">
              <w:rPr>
                <w:rFonts w:ascii="Arial" w:hAnsi="Arial" w:cs="Arial"/>
                <w:sz w:val="20"/>
                <w:highlight w:val="cyan"/>
                <w:lang w:val="sl-SI"/>
              </w:rPr>
              <w:t>NI SPREMEMBE P</w:t>
            </w:r>
            <w:r>
              <w:rPr>
                <w:rFonts w:ascii="Arial" w:hAnsi="Arial" w:cs="Arial"/>
                <w:sz w:val="20"/>
                <w:highlight w:val="cyan"/>
                <w:lang w:val="sl-SI"/>
              </w:rPr>
              <w:t>S 1.01</w:t>
            </w:r>
          </w:p>
        </w:tc>
      </w:tr>
      <w:tr w:rsidR="007F3369" w:rsidRPr="001D410B" w14:paraId="29C54E73" w14:textId="77777777" w:rsidTr="002E7597">
        <w:trPr>
          <w:jc w:val="center"/>
        </w:trPr>
        <w:tc>
          <w:tcPr>
            <w:tcW w:w="421" w:type="dxa"/>
            <w:shd w:val="clear" w:color="auto" w:fill="FF33CC"/>
          </w:tcPr>
          <w:p w14:paraId="79915F6A" w14:textId="77777777" w:rsidR="007F3369" w:rsidRPr="004340FB" w:rsidRDefault="007F3369" w:rsidP="00290ED8">
            <w:pPr>
              <w:pStyle w:val="Odstavekseznama"/>
              <w:numPr>
                <w:ilvl w:val="0"/>
                <w:numId w:val="1"/>
              </w:numPr>
              <w:rPr>
                <w:rFonts w:ascii="Arial" w:hAnsi="Arial" w:cs="Arial"/>
                <w:sz w:val="20"/>
                <w:lang w:val="sl-SI"/>
              </w:rPr>
            </w:pPr>
          </w:p>
        </w:tc>
        <w:tc>
          <w:tcPr>
            <w:tcW w:w="850" w:type="dxa"/>
          </w:tcPr>
          <w:p w14:paraId="59066842" w14:textId="77777777" w:rsidR="007F3369" w:rsidRDefault="007F3369" w:rsidP="002E7597">
            <w:pPr>
              <w:rPr>
                <w:rFonts w:ascii="Arial" w:hAnsi="Arial" w:cs="Arial"/>
                <w:sz w:val="20"/>
                <w:lang w:val="sl-SI"/>
              </w:rPr>
            </w:pPr>
          </w:p>
        </w:tc>
        <w:tc>
          <w:tcPr>
            <w:tcW w:w="1134" w:type="dxa"/>
          </w:tcPr>
          <w:p w14:paraId="65DA8477" w14:textId="77777777" w:rsidR="007F3369" w:rsidRDefault="007F3369" w:rsidP="002E7597">
            <w:pPr>
              <w:rPr>
                <w:rFonts w:ascii="Arial" w:hAnsi="Arial" w:cs="Arial"/>
                <w:sz w:val="20"/>
                <w:lang w:val="sl-SI"/>
              </w:rPr>
            </w:pPr>
            <w:r w:rsidRPr="005D795F">
              <w:rPr>
                <w:rFonts w:ascii="Arial" w:hAnsi="Arial" w:cs="Arial"/>
                <w:sz w:val="20"/>
                <w:lang w:val="sl-SI"/>
              </w:rPr>
              <w:t>Celovita ocena varnosti</w:t>
            </w:r>
          </w:p>
        </w:tc>
        <w:tc>
          <w:tcPr>
            <w:tcW w:w="3402" w:type="dxa"/>
          </w:tcPr>
          <w:p w14:paraId="0B18B6EE" w14:textId="77777777" w:rsidR="007F3369" w:rsidRPr="00A95816" w:rsidRDefault="007F3369" w:rsidP="002E7597">
            <w:pPr>
              <w:pStyle w:val="SlogArialObojestranskoPred6pt"/>
              <w:spacing w:before="0"/>
              <w:jc w:val="left"/>
              <w:rPr>
                <w:sz w:val="20"/>
              </w:rPr>
            </w:pPr>
          </w:p>
        </w:tc>
        <w:tc>
          <w:tcPr>
            <w:tcW w:w="2835" w:type="dxa"/>
          </w:tcPr>
          <w:p w14:paraId="4E2E78F0" w14:textId="77777777" w:rsidR="007F3369" w:rsidRPr="00E72971" w:rsidRDefault="007F3369" w:rsidP="002E7597">
            <w:pPr>
              <w:rPr>
                <w:rFonts w:ascii="Arial" w:hAnsi="Arial" w:cs="Arial"/>
                <w:sz w:val="20"/>
                <w:lang w:val="sl-SI"/>
              </w:rPr>
            </w:pPr>
            <w:r w:rsidRPr="005D795F">
              <w:rPr>
                <w:rFonts w:ascii="Arial" w:hAnsi="Arial" w:cs="Arial"/>
                <w:sz w:val="20"/>
                <w:lang w:val="sl-SI"/>
              </w:rPr>
              <w:t>Analizo vmesnikov med različnimi varnostnimi vsebinami (interface analysis) je bila izvedena v sklopu NEK PSR2 in je bila zahtevna in časovno obremenjujoča. Na koncu so vse najdbe obravnavane posamezno v sklopu izvedbe PSR in ni bilo koristi od »interface« analize. Strinjamo se da je potrebno identificirati »interface« med VF, ampak smo mnenja da detajlna »interface« analiza ni potrebna.</w:t>
            </w:r>
          </w:p>
        </w:tc>
        <w:tc>
          <w:tcPr>
            <w:tcW w:w="1843" w:type="dxa"/>
          </w:tcPr>
          <w:p w14:paraId="67E27D08" w14:textId="77777777" w:rsidR="007F3369" w:rsidRDefault="007F3369" w:rsidP="002E7597">
            <w:pPr>
              <w:rPr>
                <w:rFonts w:ascii="Arial" w:hAnsi="Arial" w:cs="Arial"/>
                <w:sz w:val="20"/>
                <w:lang w:val="sl-SI"/>
              </w:rPr>
            </w:pPr>
          </w:p>
        </w:tc>
        <w:tc>
          <w:tcPr>
            <w:tcW w:w="3685" w:type="dxa"/>
            <w:shd w:val="clear" w:color="auto" w:fill="DBE5F1" w:themeFill="accent1" w:themeFillTint="33"/>
          </w:tcPr>
          <w:p w14:paraId="76E380AF" w14:textId="77777777" w:rsidR="007F3369" w:rsidRPr="0023594D" w:rsidRDefault="007F3369" w:rsidP="002E7597">
            <w:pPr>
              <w:rPr>
                <w:rFonts w:ascii="Arial" w:hAnsi="Arial" w:cs="Arial"/>
                <w:sz w:val="20"/>
                <w:lang w:val="sl-SI"/>
              </w:rPr>
            </w:pPr>
            <w:r w:rsidRPr="0023594D">
              <w:rPr>
                <w:rFonts w:ascii="Arial" w:hAnsi="Arial" w:cs="Arial"/>
                <w:sz w:val="20"/>
                <w:lang w:val="sl-SI"/>
              </w:rPr>
              <w:t xml:space="preserve">Obravnava vmesnikov je zelo pomembna za rangiranje in prioritizacijo najdb ter za celovito oceno varnosti objekta. Tako določa tudi IAEA SSG-25 in brez tega se ne </w:t>
            </w:r>
            <w:r>
              <w:rPr>
                <w:rFonts w:ascii="Arial" w:hAnsi="Arial" w:cs="Arial"/>
                <w:sz w:val="20"/>
                <w:lang w:val="sl-SI"/>
              </w:rPr>
              <w:t xml:space="preserve">more </w:t>
            </w:r>
            <w:r w:rsidRPr="0023594D">
              <w:rPr>
                <w:rFonts w:ascii="Arial" w:hAnsi="Arial" w:cs="Arial"/>
                <w:sz w:val="20"/>
                <w:lang w:val="sl-SI"/>
              </w:rPr>
              <w:t xml:space="preserve">oceniti varnosti objekta. </w:t>
            </w:r>
          </w:p>
          <w:p w14:paraId="10CC9F2E" w14:textId="77777777" w:rsidR="007F3369" w:rsidRPr="0023594D" w:rsidRDefault="007F3369" w:rsidP="002E7597">
            <w:pPr>
              <w:rPr>
                <w:rFonts w:ascii="Arial" w:hAnsi="Arial" w:cs="Arial"/>
                <w:sz w:val="20"/>
                <w:lang w:val="sl-SI"/>
              </w:rPr>
            </w:pPr>
            <w:r w:rsidRPr="00BA01EE">
              <w:rPr>
                <w:rFonts w:ascii="Arial" w:hAnsi="Arial" w:cs="Arial"/>
                <w:sz w:val="20"/>
                <w:highlight w:val="magenta"/>
                <w:lang w:val="sl-SI"/>
              </w:rPr>
              <w:t>ZAVRNJENO</w:t>
            </w:r>
          </w:p>
          <w:p w14:paraId="150366E1" w14:textId="77777777" w:rsidR="007F3369" w:rsidRDefault="007F3369" w:rsidP="002E7597">
            <w:pPr>
              <w:rPr>
                <w:rFonts w:ascii="Arial" w:hAnsi="Arial" w:cs="Arial"/>
                <w:sz w:val="20"/>
                <w:lang w:val="sl-SI"/>
              </w:rPr>
            </w:pPr>
          </w:p>
          <w:p w14:paraId="3E8E7DEF" w14:textId="77777777" w:rsidR="007F3369" w:rsidRDefault="007F3369" w:rsidP="002E7597">
            <w:pPr>
              <w:rPr>
                <w:rFonts w:ascii="Arial" w:hAnsi="Arial" w:cs="Arial"/>
                <w:sz w:val="20"/>
                <w:lang w:val="sl-SI"/>
              </w:rPr>
            </w:pPr>
          </w:p>
          <w:p w14:paraId="7B821C80" w14:textId="21E7D85A" w:rsidR="007F3369" w:rsidRPr="00A45A96" w:rsidRDefault="007F3369" w:rsidP="002E7597">
            <w:pPr>
              <w:rPr>
                <w:rFonts w:ascii="Arial" w:hAnsi="Arial" w:cs="Arial"/>
                <w:b/>
                <w:sz w:val="20"/>
                <w:lang w:val="sl-SI"/>
              </w:rPr>
            </w:pPr>
            <w:r w:rsidRPr="00A45A96">
              <w:rPr>
                <w:rFonts w:ascii="Arial" w:hAnsi="Arial" w:cs="Arial"/>
                <w:b/>
                <w:sz w:val="20"/>
                <w:lang w:val="sl-SI"/>
              </w:rPr>
              <w:t>Pojasnilo na pripombo:</w:t>
            </w:r>
          </w:p>
          <w:p w14:paraId="498C632B" w14:textId="77777777" w:rsidR="007F3369" w:rsidRPr="0023594D" w:rsidRDefault="007F3369" w:rsidP="002E7597">
            <w:pPr>
              <w:rPr>
                <w:rFonts w:ascii="Arial" w:hAnsi="Arial" w:cs="Arial"/>
                <w:sz w:val="20"/>
                <w:lang w:val="sl-SI"/>
              </w:rPr>
            </w:pPr>
            <w:r w:rsidRPr="0023594D">
              <w:rPr>
                <w:rFonts w:ascii="Arial" w:hAnsi="Arial" w:cs="Arial"/>
                <w:sz w:val="20"/>
                <w:lang w:val="sl-SI"/>
              </w:rPr>
              <w:t xml:space="preserve">Združevanje več najdb </w:t>
            </w:r>
            <w:r>
              <w:rPr>
                <w:rFonts w:ascii="Arial" w:hAnsi="Arial" w:cs="Arial"/>
                <w:sz w:val="20"/>
                <w:lang w:val="sl-SI"/>
              </w:rPr>
              <w:t xml:space="preserve">v grupo </w:t>
            </w:r>
            <w:r w:rsidRPr="0023594D">
              <w:rPr>
                <w:rFonts w:ascii="Arial" w:hAnsi="Arial" w:cs="Arial"/>
                <w:sz w:val="20"/>
                <w:lang w:val="sl-SI"/>
              </w:rPr>
              <w:t xml:space="preserve">za določitev enega ukrepa za razrešitev </w:t>
            </w:r>
            <w:r>
              <w:rPr>
                <w:rFonts w:ascii="Arial" w:hAnsi="Arial" w:cs="Arial"/>
                <w:sz w:val="20"/>
                <w:lang w:val="sl-SI"/>
              </w:rPr>
              <w:t xml:space="preserve">cele grupe </w:t>
            </w:r>
            <w:r w:rsidRPr="0023594D">
              <w:rPr>
                <w:rFonts w:ascii="Arial" w:hAnsi="Arial" w:cs="Arial"/>
                <w:sz w:val="20"/>
                <w:lang w:val="sl-SI"/>
              </w:rPr>
              <w:t>ni potrebna in tega se</w:t>
            </w:r>
            <w:r>
              <w:rPr>
                <w:rFonts w:ascii="Arial" w:hAnsi="Arial" w:cs="Arial"/>
                <w:sz w:val="20"/>
                <w:lang w:val="sl-SI"/>
              </w:rPr>
              <w:t xml:space="preserve"> za PSR</w:t>
            </w:r>
            <w:r w:rsidRPr="0023594D">
              <w:rPr>
                <w:rFonts w:ascii="Arial" w:hAnsi="Arial" w:cs="Arial"/>
                <w:sz w:val="20"/>
                <w:lang w:val="sl-SI"/>
              </w:rPr>
              <w:t xml:space="preserve"> ne zahteva.</w:t>
            </w:r>
          </w:p>
        </w:tc>
      </w:tr>
    </w:tbl>
    <w:p w14:paraId="05C74CF5" w14:textId="5E4D36FF" w:rsidR="001B3014" w:rsidRPr="00563BBC" w:rsidRDefault="001B3014" w:rsidP="001B3014">
      <w:pPr>
        <w:rPr>
          <w:rFonts w:ascii="Arial" w:hAnsi="Arial" w:cs="Arial"/>
          <w:sz w:val="20"/>
          <w:lang w:val="sl-SI"/>
        </w:rPr>
      </w:pPr>
    </w:p>
    <w:p w14:paraId="5343C328" w14:textId="69A2AC4C" w:rsidR="007F3369" w:rsidRDefault="007F3369" w:rsidP="001B3014">
      <w:pPr>
        <w:rPr>
          <w:rFonts w:ascii="Arial" w:hAnsi="Arial" w:cs="Arial"/>
          <w:sz w:val="20"/>
          <w:lang w:val="sl-SI"/>
        </w:rPr>
      </w:pPr>
    </w:p>
    <w:p w14:paraId="20B8C67D" w14:textId="5D13E0F2" w:rsidR="007F3369" w:rsidRDefault="007F3369" w:rsidP="001B3014">
      <w:pPr>
        <w:rPr>
          <w:rFonts w:ascii="Arial" w:hAnsi="Arial" w:cs="Arial"/>
          <w:sz w:val="20"/>
          <w:lang w:val="sl-SI"/>
        </w:rPr>
      </w:pPr>
    </w:p>
    <w:p w14:paraId="5EA9792E" w14:textId="269ACEAD" w:rsidR="00563BBC" w:rsidRDefault="00563BBC" w:rsidP="001B3014">
      <w:pPr>
        <w:rPr>
          <w:rFonts w:ascii="Arial" w:hAnsi="Arial" w:cs="Arial"/>
          <w:sz w:val="20"/>
          <w:lang w:val="sl-SI"/>
        </w:rPr>
      </w:pPr>
    </w:p>
    <w:p w14:paraId="1BF78B15" w14:textId="77777777" w:rsidR="00563BBC" w:rsidRDefault="00563BBC" w:rsidP="001B3014">
      <w:pPr>
        <w:rPr>
          <w:rFonts w:ascii="Arial" w:hAnsi="Arial" w:cs="Arial"/>
          <w:sz w:val="20"/>
          <w:lang w:val="sl-SI"/>
        </w:rPr>
      </w:pPr>
    </w:p>
    <w:p w14:paraId="0EFA36D9" w14:textId="6E80F959" w:rsidR="00747F0B" w:rsidRPr="0054264A" w:rsidRDefault="00747F0B" w:rsidP="0054264A">
      <w:pPr>
        <w:pStyle w:val="Naslov"/>
        <w:spacing w:after="120"/>
        <w:jc w:val="center"/>
        <w:rPr>
          <w:b/>
          <w:color w:val="7030A0"/>
          <w:sz w:val="40"/>
          <w:lang w:val="sl-SI"/>
        </w:rPr>
      </w:pPr>
      <w:r w:rsidRPr="0054264A">
        <w:rPr>
          <w:b/>
          <w:color w:val="7030A0"/>
          <w:sz w:val="40"/>
          <w:lang w:val="sl-SI"/>
        </w:rPr>
        <w:lastRenderedPageBreak/>
        <w:t>Fizično varovanje</w:t>
      </w:r>
    </w:p>
    <w:p w14:paraId="292FDFA3" w14:textId="13D30808" w:rsidR="00BD428B" w:rsidRPr="00563BBC" w:rsidRDefault="00BD428B" w:rsidP="00747F0B">
      <w:pPr>
        <w:spacing w:after="60"/>
        <w:rPr>
          <w:rFonts w:ascii="Arial" w:hAnsi="Arial" w:cs="Arial"/>
          <w:sz w:val="22"/>
          <w:u w:val="single"/>
          <w:lang w:val="sl-SI"/>
        </w:rPr>
      </w:pPr>
      <w:r w:rsidRPr="00563BBC">
        <w:rPr>
          <w:rFonts w:ascii="Arial" w:hAnsi="Arial" w:cs="Arial"/>
          <w:sz w:val="22"/>
          <w:u w:val="single"/>
          <w:lang w:val="sl-SI"/>
        </w:rPr>
        <w:t>Pripombe:</w:t>
      </w:r>
    </w:p>
    <w:p w14:paraId="31DBBFC0" w14:textId="7F890CE4" w:rsidR="00747F0B" w:rsidRPr="00563BBC" w:rsidRDefault="00747F0B" w:rsidP="00747F0B">
      <w:pPr>
        <w:spacing w:after="60"/>
        <w:rPr>
          <w:rFonts w:ascii="Arial" w:hAnsi="Arial" w:cs="Arial"/>
          <w:sz w:val="22"/>
          <w:lang w:val="sl-SI"/>
        </w:rPr>
      </w:pPr>
      <w:r w:rsidRPr="00563BBC">
        <w:rPr>
          <w:rFonts w:ascii="Arial" w:hAnsi="Arial" w:cs="Arial"/>
          <w:sz w:val="22"/>
          <w:lang w:val="sl-SI"/>
        </w:rPr>
        <w:t xml:space="preserve">Ni praksa, da se Fizično varovanje obravnava v sklopu PSR zaradi občutljivosti in tajnosti podatkov vezanih na fizično varovanje jedrskega objekta. Zaradi tega, IAEA SSG-25 tudi ne priporoča oz. celo odsvetuje obravnavo Fizičnega varovanja v sklopu PSR. Načrt fizičnega varovanja, ki je izdelan v skladu z zahtevami ZVISJV-1 in Pravilnika o fizičnem varovanju jedrskih objektov, jedrskih in radioaktivnih snovi ter prevozov jedrskih snovi, se na osnovi vsakoletne ocene ogroženosti letno pregleda, po potrebi dopolni in odobri od </w:t>
      </w:r>
      <w:r w:rsidRPr="00563BBC">
        <w:rPr>
          <w:rFonts w:ascii="Arial" w:hAnsi="Arial" w:cs="Arial"/>
          <w:sz w:val="22"/>
          <w:u w:val="single"/>
          <w:lang w:val="sl-SI"/>
        </w:rPr>
        <w:t>strani pristojnega organa</w:t>
      </w:r>
      <w:r w:rsidRPr="00563BBC">
        <w:rPr>
          <w:rFonts w:ascii="Arial" w:hAnsi="Arial" w:cs="Arial"/>
          <w:sz w:val="22"/>
          <w:lang w:val="sl-SI"/>
        </w:rPr>
        <w:t>. Načrt fizičnega varovanja upošteva tudi direktive Zakona o tajnih podatkih in Uredbe o varovanju tajnih podatkov in je v skladu z mednarodno prakso (IAEA). Pregled vsebine načrta fizičnega varovanja zahteva dostop do tajnih podatkov za tretje organizacije (osebe) kar ni sprejemljivo. Zaradi tega in zaradi dejstva da se navedeni obseg redno pregleduje, dopolnjuje in potrjuje s strani pristojnega organa smo mišljenja da VF Fizično varovanje ne sodi v obseg PSR. Navedeno velja za vse organizacije katere ravnajo z jedrskimi/radioaktivnimi snovmi.</w:t>
      </w:r>
    </w:p>
    <w:p w14:paraId="7C0CBEC7" w14:textId="77777777" w:rsidR="00BD428B" w:rsidRPr="00563BBC" w:rsidRDefault="00BD428B" w:rsidP="00747F0B">
      <w:pPr>
        <w:spacing w:after="60"/>
        <w:rPr>
          <w:rFonts w:ascii="Arial" w:hAnsi="Arial" w:cs="Arial"/>
          <w:sz w:val="22"/>
          <w:lang w:val="sl-SI"/>
        </w:rPr>
      </w:pPr>
    </w:p>
    <w:p w14:paraId="5657F540" w14:textId="5F23D0C3" w:rsidR="00747F0B" w:rsidRPr="00563BBC" w:rsidRDefault="00747F0B" w:rsidP="00747F0B">
      <w:pPr>
        <w:spacing w:after="60"/>
        <w:rPr>
          <w:rFonts w:ascii="Arial" w:hAnsi="Arial" w:cs="Arial"/>
          <w:sz w:val="22"/>
          <w:u w:val="single"/>
          <w:lang w:val="sl-SI"/>
        </w:rPr>
      </w:pPr>
      <w:r w:rsidRPr="00563BBC">
        <w:rPr>
          <w:rFonts w:ascii="Arial" w:hAnsi="Arial" w:cs="Arial"/>
          <w:sz w:val="22"/>
          <w:lang w:val="sl-SI"/>
        </w:rPr>
        <w:t>Spodaj je označeno katere vsebine so stopnjevane s stopnjo tajnosti INTERNO. Za pregled takih dokumentov je treba imeti odobren dostop do tajnih podatkov stopnje tajnosti INTERNO in dokazati »potrebo po vedenju« za te vsebine.</w:t>
      </w:r>
    </w:p>
    <w:p w14:paraId="0768838D" w14:textId="1CB458E7" w:rsidR="00747F0B" w:rsidRPr="00563BBC" w:rsidRDefault="00747F0B" w:rsidP="00BD428B">
      <w:pPr>
        <w:pStyle w:val="Odstavekseznama"/>
        <w:numPr>
          <w:ilvl w:val="0"/>
          <w:numId w:val="26"/>
        </w:numPr>
        <w:spacing w:after="60"/>
        <w:rPr>
          <w:rFonts w:ascii="Arial" w:hAnsi="Arial" w:cs="Arial"/>
          <w:sz w:val="22"/>
          <w:lang w:val="sl-SI"/>
        </w:rPr>
      </w:pPr>
      <w:r w:rsidRPr="00563BBC">
        <w:rPr>
          <w:rFonts w:ascii="Arial" w:hAnsi="Arial" w:cs="Arial"/>
          <w:sz w:val="22"/>
          <w:lang w:val="sl-SI"/>
        </w:rPr>
        <w:t xml:space="preserve">jedrski objekt in njegove varnostno-tehnične občutljive točke; </w:t>
      </w:r>
      <w:r w:rsidRPr="001D410B">
        <w:rPr>
          <w:rFonts w:ascii="Arial" w:hAnsi="Arial" w:cs="Arial"/>
          <w:color w:val="C00000"/>
          <w:sz w:val="22"/>
          <w:lang w:val="sl-SI"/>
        </w:rPr>
        <w:t>INTERNO</w:t>
      </w:r>
    </w:p>
    <w:p w14:paraId="4F8B6FE5" w14:textId="67B02A90" w:rsidR="00747F0B" w:rsidRPr="00563BBC" w:rsidRDefault="00747F0B" w:rsidP="00BD428B">
      <w:pPr>
        <w:pStyle w:val="Odstavekseznama"/>
        <w:numPr>
          <w:ilvl w:val="0"/>
          <w:numId w:val="26"/>
        </w:numPr>
        <w:spacing w:after="60"/>
        <w:rPr>
          <w:rFonts w:ascii="Arial" w:hAnsi="Arial" w:cs="Arial"/>
          <w:sz w:val="22"/>
          <w:lang w:val="sl-SI"/>
        </w:rPr>
      </w:pPr>
      <w:r w:rsidRPr="00563BBC">
        <w:rPr>
          <w:rFonts w:ascii="Arial" w:hAnsi="Arial" w:cs="Arial"/>
          <w:sz w:val="22"/>
          <w:lang w:val="sl-SI"/>
        </w:rPr>
        <w:t xml:space="preserve">sredstva in metode (»ukrepi«) fizičnega varovanja jedrskih objektov, jedrskih in radioaktivnih snovi na lokaciji objekta; </w:t>
      </w:r>
      <w:r w:rsidRPr="001D410B">
        <w:rPr>
          <w:rFonts w:ascii="Arial" w:hAnsi="Arial" w:cs="Arial"/>
          <w:color w:val="C00000"/>
          <w:sz w:val="22"/>
          <w:lang w:val="sl-SI"/>
        </w:rPr>
        <w:t>INTERNO</w:t>
      </w:r>
    </w:p>
    <w:p w14:paraId="33507C75" w14:textId="635CD131" w:rsidR="00747F0B" w:rsidRPr="00563BBC" w:rsidRDefault="00747F0B" w:rsidP="00BD428B">
      <w:pPr>
        <w:pStyle w:val="Odstavekseznama"/>
        <w:numPr>
          <w:ilvl w:val="0"/>
          <w:numId w:val="26"/>
        </w:numPr>
        <w:spacing w:after="60"/>
        <w:rPr>
          <w:rFonts w:ascii="Arial" w:hAnsi="Arial" w:cs="Arial"/>
          <w:sz w:val="22"/>
          <w:lang w:val="sl-SI"/>
        </w:rPr>
      </w:pPr>
      <w:r w:rsidRPr="00563BBC">
        <w:rPr>
          <w:rFonts w:ascii="Arial" w:hAnsi="Arial" w:cs="Arial"/>
          <w:sz w:val="22"/>
          <w:lang w:val="sl-SI"/>
        </w:rPr>
        <w:t xml:space="preserve">ali načrt fizičnega varovanja (zadnja revizija) odraža dejansko stanje glede na zadnjo oceno ogroženosti, glede na spremembe na varovanem območju, ki neposredno vplivajo na fizično varovanje objekta; </w:t>
      </w:r>
      <w:r w:rsidRPr="001D410B">
        <w:rPr>
          <w:rFonts w:ascii="Arial" w:hAnsi="Arial" w:cs="Arial"/>
          <w:color w:val="C00000"/>
          <w:sz w:val="22"/>
          <w:lang w:val="sl-SI"/>
        </w:rPr>
        <w:t>INTERNO</w:t>
      </w:r>
    </w:p>
    <w:p w14:paraId="31C36D4C" w14:textId="4D782B44" w:rsidR="00747F0B" w:rsidRPr="00563BBC" w:rsidRDefault="00747F0B" w:rsidP="00BD428B">
      <w:pPr>
        <w:pStyle w:val="Odstavekseznama"/>
        <w:numPr>
          <w:ilvl w:val="0"/>
          <w:numId w:val="26"/>
        </w:numPr>
        <w:spacing w:after="60"/>
        <w:rPr>
          <w:rFonts w:ascii="Arial" w:hAnsi="Arial" w:cs="Arial"/>
          <w:sz w:val="22"/>
          <w:lang w:val="sl-SI"/>
        </w:rPr>
      </w:pPr>
      <w:r w:rsidRPr="00563BBC">
        <w:rPr>
          <w:rFonts w:ascii="Arial" w:hAnsi="Arial" w:cs="Arial"/>
          <w:sz w:val="22"/>
          <w:lang w:val="sl-SI"/>
        </w:rPr>
        <w:t xml:space="preserve">fizično varovanje kot obratovalni kazalnik ; </w:t>
      </w:r>
      <w:r w:rsidRPr="001D410B">
        <w:rPr>
          <w:rFonts w:ascii="Arial" w:hAnsi="Arial" w:cs="Arial"/>
          <w:color w:val="C00000"/>
          <w:sz w:val="22"/>
          <w:lang w:val="sl-SI"/>
        </w:rPr>
        <w:t>Neznano</w:t>
      </w:r>
    </w:p>
    <w:p w14:paraId="3144B974" w14:textId="74C0E33B" w:rsidR="00747F0B" w:rsidRPr="00563BBC" w:rsidRDefault="00747F0B" w:rsidP="00BD428B">
      <w:pPr>
        <w:pStyle w:val="Odstavekseznama"/>
        <w:numPr>
          <w:ilvl w:val="0"/>
          <w:numId w:val="26"/>
        </w:numPr>
        <w:spacing w:after="60"/>
        <w:rPr>
          <w:rFonts w:ascii="Arial" w:hAnsi="Arial" w:cs="Arial"/>
          <w:sz w:val="22"/>
          <w:lang w:val="sl-SI"/>
        </w:rPr>
      </w:pPr>
      <w:r w:rsidRPr="00563BBC">
        <w:rPr>
          <w:rFonts w:ascii="Arial" w:hAnsi="Arial" w:cs="Arial"/>
          <w:sz w:val="22"/>
          <w:lang w:val="sl-SI"/>
        </w:rPr>
        <w:t xml:space="preserve">ukrepe fizičnega varovanja v primeru izrednih dogodkov; </w:t>
      </w:r>
      <w:r w:rsidRPr="001D410B">
        <w:rPr>
          <w:rFonts w:ascii="Arial" w:hAnsi="Arial" w:cs="Arial"/>
          <w:color w:val="C00000"/>
          <w:sz w:val="22"/>
          <w:lang w:val="sl-SI"/>
        </w:rPr>
        <w:t>INTERNO</w:t>
      </w:r>
    </w:p>
    <w:p w14:paraId="348B5D80" w14:textId="77777777" w:rsidR="00747F0B" w:rsidRPr="00563BBC" w:rsidRDefault="00747F0B" w:rsidP="00331F28">
      <w:pPr>
        <w:spacing w:after="120"/>
        <w:rPr>
          <w:rFonts w:ascii="Arial" w:hAnsi="Arial" w:cs="Arial"/>
          <w:sz w:val="22"/>
          <w:lang w:val="sl-SI"/>
        </w:rPr>
      </w:pPr>
    </w:p>
    <w:p w14:paraId="618EC07A" w14:textId="77777777" w:rsidR="00747F0B" w:rsidRPr="00563BBC" w:rsidRDefault="00747F0B" w:rsidP="00331F28">
      <w:pPr>
        <w:spacing w:after="120"/>
        <w:rPr>
          <w:rFonts w:ascii="Arial" w:hAnsi="Arial" w:cs="Arial"/>
          <w:sz w:val="22"/>
          <w:lang w:val="sl-SI"/>
        </w:rPr>
      </w:pPr>
      <w:r w:rsidRPr="00563BBC">
        <w:rPr>
          <w:rFonts w:ascii="Arial" w:hAnsi="Arial" w:cs="Arial"/>
          <w:sz w:val="22"/>
          <w:lang w:val="sl-SI"/>
        </w:rPr>
        <w:t>Navedek iz SSG-25:</w:t>
      </w:r>
    </w:p>
    <w:p w14:paraId="3C7B0560" w14:textId="7BCD42B6" w:rsidR="00747F0B" w:rsidRPr="00563BBC" w:rsidRDefault="00747F0B" w:rsidP="00331F28">
      <w:pPr>
        <w:spacing w:after="120"/>
        <w:rPr>
          <w:rFonts w:ascii="Arial" w:hAnsi="Arial" w:cs="Arial"/>
          <w:sz w:val="22"/>
        </w:rPr>
      </w:pPr>
      <w:r w:rsidRPr="00563BBC">
        <w:rPr>
          <w:rFonts w:ascii="Arial" w:hAnsi="Arial" w:cs="Arial"/>
          <w:sz w:val="22"/>
        </w:rPr>
        <w:t xml:space="preserve">»2.14. A review of the physical security of nuclear power plants is </w:t>
      </w:r>
      <w:r w:rsidRPr="00563BBC">
        <w:rPr>
          <w:rFonts w:ascii="Arial" w:hAnsi="Arial" w:cs="Arial"/>
          <w:b/>
          <w:sz w:val="22"/>
        </w:rPr>
        <w:t>generally not included</w:t>
      </w:r>
      <w:r w:rsidRPr="00563BBC">
        <w:rPr>
          <w:rFonts w:ascii="Arial" w:hAnsi="Arial" w:cs="Arial"/>
          <w:sz w:val="22"/>
        </w:rPr>
        <w:t xml:space="preserve"> in the PSR because of the </w:t>
      </w:r>
      <w:r w:rsidRPr="00563BBC">
        <w:rPr>
          <w:rFonts w:ascii="Arial" w:hAnsi="Arial" w:cs="Arial"/>
          <w:b/>
          <w:sz w:val="22"/>
        </w:rPr>
        <w:t>sensitivity of the subjec</w:t>
      </w:r>
      <w:r w:rsidRPr="00563BBC">
        <w:rPr>
          <w:rFonts w:ascii="Arial" w:hAnsi="Arial" w:cs="Arial"/>
          <w:sz w:val="22"/>
        </w:rPr>
        <w:t xml:space="preserve">t and the need to </w:t>
      </w:r>
      <w:r w:rsidRPr="00563BBC">
        <w:rPr>
          <w:rFonts w:ascii="Arial" w:hAnsi="Arial" w:cs="Arial"/>
          <w:b/>
          <w:sz w:val="22"/>
        </w:rPr>
        <w:t>ensure confidentiality</w:t>
      </w:r>
      <w:r w:rsidRPr="00563BBC">
        <w:rPr>
          <w:rFonts w:ascii="Arial" w:hAnsi="Arial" w:cs="Arial"/>
          <w:sz w:val="22"/>
        </w:rPr>
        <w:t xml:space="preserve">. The effectiveness of security arrangements to prevent unauthorized actions that could jeopardize nuclear safety should be reviewed periodically by the </w:t>
      </w:r>
      <w:r w:rsidRPr="00563BBC">
        <w:rPr>
          <w:rFonts w:ascii="Arial" w:hAnsi="Arial" w:cs="Arial"/>
          <w:b/>
          <w:sz w:val="22"/>
        </w:rPr>
        <w:t>appropriate national authorities</w:t>
      </w:r>
      <w:r w:rsidRPr="00563BBC">
        <w:rPr>
          <w:rFonts w:ascii="Arial" w:hAnsi="Arial" w:cs="Arial"/>
          <w:sz w:val="22"/>
        </w:rPr>
        <w:t>…«</w:t>
      </w:r>
    </w:p>
    <w:p w14:paraId="0C8542F2" w14:textId="77777777" w:rsidR="0016156B" w:rsidRDefault="0016156B" w:rsidP="00331F28">
      <w:pPr>
        <w:spacing w:after="120"/>
        <w:ind w:left="207"/>
      </w:pPr>
    </w:p>
    <w:tbl>
      <w:tblPr>
        <w:tblStyle w:val="Tabelamrea"/>
        <w:tblW w:w="0" w:type="auto"/>
        <w:tblLook w:val="04A0" w:firstRow="1" w:lastRow="0" w:firstColumn="1" w:lastColumn="0" w:noHBand="0" w:noVBand="1"/>
      </w:tblPr>
      <w:tblGrid>
        <w:gridCol w:w="14397"/>
      </w:tblGrid>
      <w:tr w:rsidR="0016156B" w:rsidRPr="00331F28" w14:paraId="472544CD" w14:textId="77777777" w:rsidTr="0016156B">
        <w:tc>
          <w:tcPr>
            <w:tcW w:w="14397" w:type="dxa"/>
            <w:shd w:val="clear" w:color="auto" w:fill="C6D9F1" w:themeFill="text2" w:themeFillTint="33"/>
          </w:tcPr>
          <w:p w14:paraId="77A12BAF" w14:textId="47C0933E" w:rsidR="0016156B" w:rsidRPr="00563BBC" w:rsidRDefault="0016156B" w:rsidP="0016156B">
            <w:pPr>
              <w:rPr>
                <w:rFonts w:ascii="Arial" w:hAnsi="Arial" w:cs="Arial"/>
                <w:sz w:val="22"/>
                <w:szCs w:val="22"/>
                <w:lang w:val="sl-SI"/>
              </w:rPr>
            </w:pPr>
            <w:r w:rsidRPr="00563BBC">
              <w:rPr>
                <w:rFonts w:ascii="Arial" w:hAnsi="Arial" w:cs="Arial"/>
                <w:b/>
                <w:sz w:val="22"/>
                <w:szCs w:val="22"/>
                <w:lang w:val="sl-SI"/>
              </w:rPr>
              <w:t>URSJV</w:t>
            </w:r>
            <w:r w:rsidRPr="00563BBC">
              <w:rPr>
                <w:rFonts w:ascii="Arial" w:hAnsi="Arial" w:cs="Arial"/>
                <w:sz w:val="22"/>
                <w:szCs w:val="22"/>
                <w:lang w:val="sl-SI"/>
              </w:rPr>
              <w:t xml:space="preserve"> – pripombe se ne nanašajo na vsebino in obseg pregleda VF17, ampak samo na ustreznost ravnanja z dokumenti. Zato obseg pregleda VF17 ni potrebno spreminjati. </w:t>
            </w:r>
          </w:p>
          <w:p w14:paraId="6CE9245F" w14:textId="6C7B5F2B" w:rsidR="0016156B" w:rsidRPr="00563BBC" w:rsidRDefault="0016156B" w:rsidP="00331F28">
            <w:pPr>
              <w:rPr>
                <w:rFonts w:ascii="Arial" w:hAnsi="Arial" w:cs="Arial"/>
                <w:sz w:val="22"/>
                <w:szCs w:val="22"/>
                <w:lang w:val="sl-SI"/>
              </w:rPr>
            </w:pPr>
            <w:r w:rsidRPr="00563BBC">
              <w:rPr>
                <w:rFonts w:ascii="Arial" w:hAnsi="Arial" w:cs="Arial"/>
                <w:sz w:val="22"/>
                <w:szCs w:val="22"/>
                <w:lang w:val="sl-SI"/>
              </w:rPr>
              <w:lastRenderedPageBreak/>
              <w:t xml:space="preserve">Vendar pa je v uvodnem delu smernice PS 1.01 </w:t>
            </w:r>
            <w:r w:rsidR="00331F28" w:rsidRPr="00563BBC">
              <w:rPr>
                <w:rFonts w:ascii="Arial" w:hAnsi="Arial" w:cs="Arial"/>
                <w:sz w:val="22"/>
                <w:szCs w:val="22"/>
                <w:lang w:val="sl-SI"/>
              </w:rPr>
              <w:t xml:space="preserve">dodana </w:t>
            </w:r>
            <w:r w:rsidRPr="00563BBC">
              <w:rPr>
                <w:rFonts w:ascii="Arial" w:hAnsi="Arial" w:cs="Arial"/>
                <w:sz w:val="22"/>
                <w:szCs w:val="22"/>
                <w:lang w:val="sl-SI"/>
              </w:rPr>
              <w:t>določ</w:t>
            </w:r>
            <w:r w:rsidR="00331F28" w:rsidRPr="00563BBC">
              <w:rPr>
                <w:rFonts w:ascii="Arial" w:hAnsi="Arial" w:cs="Arial"/>
                <w:sz w:val="22"/>
                <w:szCs w:val="22"/>
                <w:lang w:val="sl-SI"/>
              </w:rPr>
              <w:t>ba</w:t>
            </w:r>
            <w:r w:rsidR="00331F28" w:rsidRPr="00563BBC">
              <w:rPr>
                <w:rStyle w:val="Sprotnaopomba-sklic"/>
                <w:rFonts w:ascii="Arial" w:hAnsi="Arial" w:cs="Arial"/>
                <w:sz w:val="22"/>
                <w:szCs w:val="22"/>
                <w:lang w:val="sl-SI"/>
              </w:rPr>
              <w:footnoteReference w:id="3"/>
            </w:r>
            <w:r w:rsidRPr="00563BBC">
              <w:rPr>
                <w:rFonts w:ascii="Arial" w:hAnsi="Arial" w:cs="Arial"/>
                <w:sz w:val="22"/>
                <w:szCs w:val="22"/>
                <w:lang w:val="sl-SI"/>
              </w:rPr>
              <w:t xml:space="preserve">, da </w:t>
            </w:r>
            <w:bookmarkStart w:id="13" w:name="_Hlk56067565"/>
            <w:r w:rsidRPr="00563BBC">
              <w:rPr>
                <w:rFonts w:ascii="Arial" w:hAnsi="Arial" w:cs="Arial"/>
                <w:sz w:val="22"/>
                <w:szCs w:val="22"/>
                <w:lang w:val="sl-SI"/>
              </w:rPr>
              <w:t xml:space="preserve">se pregled VF17 izvaja ločeno od glavnega dela PSR, da se vso dokumentacijo glede VF17 označuje kot tajno, ter da ima do te dokumentacije dostop zelo omejeno število oseb, pristojnih za to področje. Posebej je treba določiti tako program za pregled VF17 ter pripraviti ločeno poročilo o PSR za VF17. V programu je torej treba predpisati pravila ravnanja z dokumenti, pristojne upravne organe (URSJV in MNZ), določiti ločeno organizacijo za ta pregled (z imenovanjem) ter organizacijo ravnanja z najdbami pregleda in ukrepi za izboljšave, kar vse poteka vzporedno, a ločeno od glavnega procesa PSR za ostale VF. </w:t>
            </w:r>
            <w:bookmarkEnd w:id="13"/>
            <w:r w:rsidR="00224DB1" w:rsidRPr="00563BBC">
              <w:rPr>
                <w:rFonts w:ascii="Arial" w:hAnsi="Arial" w:cs="Arial"/>
                <w:sz w:val="22"/>
                <w:szCs w:val="22"/>
                <w:lang w:val="sl-SI"/>
              </w:rPr>
              <w:t xml:space="preserve">           </w:t>
            </w:r>
            <w:r w:rsidR="00D032FF" w:rsidRPr="00563BBC">
              <w:rPr>
                <w:rFonts w:ascii="Arial" w:hAnsi="Arial" w:cs="Arial"/>
                <w:sz w:val="22"/>
                <w:szCs w:val="22"/>
                <w:highlight w:val="green"/>
                <w:lang w:val="sl-SI"/>
              </w:rPr>
              <w:t>SPREJETO</w:t>
            </w:r>
          </w:p>
        </w:tc>
      </w:tr>
    </w:tbl>
    <w:p w14:paraId="49F46C5E" w14:textId="58DFCB54" w:rsidR="00747F0B" w:rsidRPr="00563BBC" w:rsidRDefault="00747F0B" w:rsidP="0016156B">
      <w:pPr>
        <w:spacing w:after="60"/>
        <w:rPr>
          <w:rFonts w:ascii="Arial" w:hAnsi="Arial" w:cs="Arial"/>
          <w:sz w:val="18"/>
          <w:szCs w:val="18"/>
          <w:lang w:val="sl-SI"/>
        </w:rPr>
      </w:pPr>
    </w:p>
    <w:p w14:paraId="1C8842D7" w14:textId="3278E61B" w:rsidR="00331F28" w:rsidRPr="00563BBC" w:rsidRDefault="00331F28" w:rsidP="0016156B">
      <w:pPr>
        <w:spacing w:after="60"/>
        <w:rPr>
          <w:rFonts w:ascii="Arial" w:hAnsi="Arial" w:cs="Arial"/>
          <w:sz w:val="18"/>
          <w:szCs w:val="18"/>
          <w:lang w:val="sl-SI"/>
        </w:rPr>
      </w:pPr>
    </w:p>
    <w:p w14:paraId="632075E5" w14:textId="09C57AD4" w:rsidR="00331F28" w:rsidRPr="00563BBC" w:rsidRDefault="00331F28" w:rsidP="00331F28">
      <w:pPr>
        <w:spacing w:after="60"/>
        <w:rPr>
          <w:rFonts w:ascii="Arial" w:hAnsi="Arial" w:cs="Arial"/>
          <w:sz w:val="18"/>
          <w:szCs w:val="18"/>
          <w:lang w:val="sl-SI"/>
        </w:rPr>
      </w:pPr>
      <w:r w:rsidRPr="00563BBC">
        <w:rPr>
          <w:rFonts w:ascii="Arial" w:hAnsi="Arial" w:cs="Arial"/>
          <w:sz w:val="22"/>
          <w:szCs w:val="22"/>
          <w:highlight w:val="green"/>
          <w:lang w:val="sl-SI"/>
        </w:rPr>
        <w:t>IZVEDB</w:t>
      </w:r>
      <w:r w:rsidR="006904AD" w:rsidRPr="00563BBC">
        <w:rPr>
          <w:rFonts w:ascii="Arial" w:hAnsi="Arial" w:cs="Arial"/>
          <w:sz w:val="22"/>
          <w:szCs w:val="22"/>
          <w:highlight w:val="green"/>
          <w:lang w:val="sl-SI"/>
        </w:rPr>
        <w:t>O</w:t>
      </w:r>
      <w:r w:rsidRPr="00563BBC">
        <w:rPr>
          <w:rFonts w:ascii="Arial" w:hAnsi="Arial" w:cs="Arial"/>
          <w:sz w:val="22"/>
          <w:szCs w:val="22"/>
          <w:highlight w:val="green"/>
          <w:lang w:val="sl-SI"/>
        </w:rPr>
        <w:t xml:space="preserve"> OZ. USKLAJEVANJE PROCESA PSR ZA VF17 FV TER VSEBINO/OBSEG PREGLEDA </w:t>
      </w:r>
      <w:r w:rsidR="006904AD" w:rsidRPr="00563BBC">
        <w:rPr>
          <w:rFonts w:ascii="Arial" w:hAnsi="Arial" w:cs="Arial"/>
          <w:sz w:val="22"/>
          <w:szCs w:val="22"/>
          <w:highlight w:val="green"/>
          <w:lang w:val="sl-SI"/>
        </w:rPr>
        <w:t>STA PREGLEDALA IN POTRDILA URSJV IN MNZ</w:t>
      </w:r>
    </w:p>
    <w:sectPr w:rsidR="00331F28" w:rsidRPr="00563BBC" w:rsidSect="0048118C">
      <w:headerReference w:type="default" r:id="rId12"/>
      <w:footerReference w:type="default" r:id="rId13"/>
      <w:headerReference w:type="first" r:id="rId14"/>
      <w:footerReference w:type="first" r:id="rId15"/>
      <w:pgSz w:w="16840" w:h="11907" w:orient="landscape" w:code="9"/>
      <w:pgMar w:top="1440" w:right="1440" w:bottom="1797" w:left="993"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F13D3" w14:textId="77777777" w:rsidR="001335F8" w:rsidRDefault="001335F8" w:rsidP="00B231CD">
      <w:r>
        <w:separator/>
      </w:r>
    </w:p>
  </w:endnote>
  <w:endnote w:type="continuationSeparator" w:id="0">
    <w:p w14:paraId="08E0AEB0" w14:textId="77777777" w:rsidR="001335F8" w:rsidRDefault="001335F8" w:rsidP="00B231CD">
      <w:r>
        <w:continuationSeparator/>
      </w:r>
    </w:p>
  </w:endnote>
  <w:endnote w:type="continuationNotice" w:id="1">
    <w:p w14:paraId="731E5539" w14:textId="77777777" w:rsidR="001335F8" w:rsidRDefault="00133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864126"/>
      <w:docPartObj>
        <w:docPartGallery w:val="Page Numbers (Bottom of Page)"/>
        <w:docPartUnique/>
      </w:docPartObj>
    </w:sdtPr>
    <w:sdtEndPr>
      <w:rPr>
        <w:noProof/>
      </w:rPr>
    </w:sdtEndPr>
    <w:sdtContent>
      <w:p w14:paraId="45EE21C9" w14:textId="30E1AFA1" w:rsidR="00A96E93" w:rsidRDefault="00A96E93">
        <w:pPr>
          <w:pStyle w:val="Noga"/>
          <w:jc w:val="center"/>
        </w:pPr>
        <w:r>
          <w:fldChar w:fldCharType="begin"/>
        </w:r>
        <w:r>
          <w:instrText xml:space="preserve"> PAGE   \* MERGEFORMAT </w:instrText>
        </w:r>
        <w:r>
          <w:fldChar w:fldCharType="separate"/>
        </w:r>
        <w:r>
          <w:rPr>
            <w:noProof/>
          </w:rPr>
          <w:t>17</w:t>
        </w:r>
        <w:r>
          <w:rPr>
            <w:noProof/>
          </w:rPr>
          <w:fldChar w:fldCharType="end"/>
        </w:r>
      </w:p>
    </w:sdtContent>
  </w:sdt>
  <w:p w14:paraId="34F569F1" w14:textId="77777777" w:rsidR="00A96E93" w:rsidRDefault="00A96E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696664"/>
      <w:docPartObj>
        <w:docPartGallery w:val="Page Numbers (Bottom of Page)"/>
        <w:docPartUnique/>
      </w:docPartObj>
    </w:sdtPr>
    <w:sdtEndPr>
      <w:rPr>
        <w:noProof/>
      </w:rPr>
    </w:sdtEndPr>
    <w:sdtContent>
      <w:p w14:paraId="7C546723" w14:textId="6C51B9C1" w:rsidR="00A96E93" w:rsidRDefault="00A96E93">
        <w:pPr>
          <w:pStyle w:val="Noga"/>
          <w:jc w:val="center"/>
        </w:pPr>
        <w:r>
          <w:fldChar w:fldCharType="begin"/>
        </w:r>
        <w:r>
          <w:instrText xml:space="preserve"> PAGE   \* MERGEFORMAT </w:instrText>
        </w:r>
        <w:r>
          <w:fldChar w:fldCharType="separate"/>
        </w:r>
        <w:r>
          <w:rPr>
            <w:noProof/>
          </w:rPr>
          <w:t>1</w:t>
        </w:r>
        <w:r>
          <w:rPr>
            <w:noProof/>
          </w:rPr>
          <w:fldChar w:fldCharType="end"/>
        </w:r>
      </w:p>
    </w:sdtContent>
  </w:sdt>
  <w:p w14:paraId="6A87B1E2" w14:textId="7F15A47E" w:rsidR="00A96E93" w:rsidRPr="00607EF7" w:rsidRDefault="00A96E93" w:rsidP="00150A09">
    <w:pPr>
      <w:pStyle w:val="Noga"/>
      <w:rPr>
        <w:sz w:val="20"/>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B0491" w14:textId="77777777" w:rsidR="001335F8" w:rsidRDefault="001335F8" w:rsidP="00B231CD">
      <w:r>
        <w:separator/>
      </w:r>
    </w:p>
  </w:footnote>
  <w:footnote w:type="continuationSeparator" w:id="0">
    <w:p w14:paraId="65BAF179" w14:textId="77777777" w:rsidR="001335F8" w:rsidRDefault="001335F8" w:rsidP="00B231CD">
      <w:r>
        <w:continuationSeparator/>
      </w:r>
    </w:p>
  </w:footnote>
  <w:footnote w:type="continuationNotice" w:id="1">
    <w:p w14:paraId="459B9B28" w14:textId="77777777" w:rsidR="001335F8" w:rsidRDefault="001335F8"/>
  </w:footnote>
  <w:footnote w:id="2">
    <w:p w14:paraId="49DFF5FF" w14:textId="77777777" w:rsidR="00A96E93" w:rsidRPr="009C02F8" w:rsidRDefault="00A96E93" w:rsidP="001B3014">
      <w:pPr>
        <w:pStyle w:val="Sprotnaopomba-besedilo"/>
        <w:rPr>
          <w:rFonts w:asciiTheme="minorHAnsi" w:hAnsiTheme="minorHAnsi"/>
          <w:lang w:val="sl-SI"/>
        </w:rPr>
      </w:pPr>
      <w:r>
        <w:rPr>
          <w:rStyle w:val="Sprotnaopomba-sklic"/>
        </w:rPr>
        <w:footnoteRef/>
      </w:r>
      <w:r>
        <w:t xml:space="preserve"> </w:t>
      </w:r>
      <w:r w:rsidRPr="009C02F8">
        <w:t>IAEA SSG-22 »Use of a Graded Approach in the Application of the Safety Requirements for Research Reactors«</w:t>
      </w:r>
      <w:r>
        <w:t>, 2012.</w:t>
      </w:r>
    </w:p>
  </w:footnote>
  <w:footnote w:id="3">
    <w:p w14:paraId="3E3AE17C" w14:textId="00C93618" w:rsidR="00331F28" w:rsidRPr="00331F28" w:rsidRDefault="00331F28">
      <w:pPr>
        <w:pStyle w:val="Sprotnaopomba-besedilo"/>
        <w:rPr>
          <w:rFonts w:asciiTheme="minorHAnsi" w:hAnsiTheme="minorHAnsi"/>
          <w:lang w:val="sl-SI"/>
        </w:rPr>
      </w:pPr>
      <w:r>
        <w:rPr>
          <w:rStyle w:val="Sprotnaopomba-sklic"/>
        </w:rPr>
        <w:footnoteRef/>
      </w:r>
      <w:r w:rsidRPr="00331F28">
        <w:rPr>
          <w:lang w:val="sl-SI"/>
        </w:rPr>
        <w:t xml:space="preserve"> Dodani tekst</w:t>
      </w:r>
      <w:r w:rsidR="00416E18">
        <w:rPr>
          <w:lang w:val="sl-SI"/>
        </w:rPr>
        <w:t xml:space="preserve"> v PS 1.01</w:t>
      </w:r>
      <w:r w:rsidRPr="00331F28">
        <w:rPr>
          <w:lang w:val="sl-SI"/>
        </w:rPr>
        <w:t xml:space="preserve">: </w:t>
      </w:r>
      <w:r>
        <w:rPr>
          <w:rFonts w:asciiTheme="minorHAnsi" w:hAnsiTheme="minorHAnsi"/>
          <w:lang w:val="sl-SI"/>
        </w:rPr>
        <w:t>»</w:t>
      </w:r>
      <w:r w:rsidRPr="00331F28">
        <w:rPr>
          <w:rFonts w:asciiTheme="minorHAnsi" w:hAnsiTheme="minorHAnsi"/>
          <w:i/>
          <w:lang w:val="sl-SI"/>
        </w:rPr>
        <w:t>Pregled fizičnega varovanja se izvaja ločeno od glavnega dela občasnega varnostnega pregleda. Vso dokumentacijo glede pregleda fizičnega varovanja se označuje kot tajno in do te dokumentacije ima dostop zelo omejeno število oseb, pristojnih za to področje. Posebej je treba določiti in odobriti program za pregled fizičnega varovanja ter pripraviti ločeno poročilo o pregledu te varnostne vsebine. V tem programu je treba predpisati pravila ravnanja z dokumenti, pristojne upravne organe (URSJV in MNZ), določiti ločeno organizacijo za ta pregled (kar vključuje imenovanje) ter organizacijo ravnanja z najdbami pregleda in ukrepi za izboljšave. Ves pregled fizičnega varovanja poteka vzporedno, a ločeno od glavnega procesa občasnega varnostnega pregleda za ostale varnostne vsebine.</w:t>
      </w:r>
      <w:r>
        <w:rPr>
          <w:rFonts w:asciiTheme="minorHAnsi" w:hAnsiTheme="minorHAnsi"/>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B1DC" w14:textId="77777777" w:rsidR="00A96E93" w:rsidRDefault="00A96E93">
    <w:pPr>
      <w:pStyle w:val="Glava"/>
    </w:pPr>
  </w:p>
  <w:p w14:paraId="6A87B1DD" w14:textId="77777777" w:rsidR="00A96E93" w:rsidRDefault="00A96E9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B1E1" w14:textId="6B93EAA3" w:rsidR="00A96E93" w:rsidRPr="00CD2949" w:rsidRDefault="00CD2949" w:rsidP="00CD2949">
    <w:pPr>
      <w:pStyle w:val="Glava"/>
      <w:jc w:val="center"/>
      <w:rPr>
        <w:lang w:val="it-IT"/>
      </w:rPr>
    </w:pPr>
    <w:r w:rsidRPr="00CD2949">
      <w:rPr>
        <w:lang w:val="it-IT"/>
      </w:rPr>
      <w:t>Odgovori na pripombe glede osnutka nove izdaje PS 1.01</w:t>
    </w:r>
    <w:r w:rsidR="00A96E93">
      <w:rPr>
        <w:noProof/>
        <w:lang w:val="sl-SI"/>
      </w:rPr>
      <mc:AlternateContent>
        <mc:Choice Requires="wps">
          <w:drawing>
            <wp:anchor distT="0" distB="0" distL="114300" distR="114300" simplePos="0" relativeHeight="251658240" behindDoc="0" locked="0" layoutInCell="1" allowOverlap="1" wp14:anchorId="6A87B1E5" wp14:editId="6C00DA73">
              <wp:simplePos x="0" y="0"/>
              <wp:positionH relativeFrom="column">
                <wp:posOffset>6429375</wp:posOffset>
              </wp:positionH>
              <wp:positionV relativeFrom="paragraph">
                <wp:posOffset>3093085</wp:posOffset>
              </wp:positionV>
              <wp:extent cx="190500" cy="0"/>
              <wp:effectExtent l="9525" t="6985" r="9525" b="12065"/>
              <wp:wrapNone/>
              <wp:docPr id="6"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ED228" id="_x0000_t32" coordsize="21600,21600" o:spt="32" o:oned="t" path="m,l21600,21600e" filled="f">
              <v:path arrowok="t" fillok="f" o:connecttype="none"/>
              <o:lock v:ext="edit" shapetype="t"/>
            </v:shapetype>
            <v:shape id="AutoShape 2" o:spid="_x0000_s1026" type="#_x0000_t32" style="position:absolute;margin-left:506.25pt;margin-top:243.55pt;width: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7F16"/>
    <w:multiLevelType w:val="hybridMultilevel"/>
    <w:tmpl w:val="7D3A82E0"/>
    <w:lvl w:ilvl="0" w:tplc="C1AA4E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8085D5D"/>
    <w:multiLevelType w:val="hybridMultilevel"/>
    <w:tmpl w:val="3630558C"/>
    <w:lvl w:ilvl="0" w:tplc="25D6C8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746FCC"/>
    <w:multiLevelType w:val="hybridMultilevel"/>
    <w:tmpl w:val="8910B384"/>
    <w:lvl w:ilvl="0" w:tplc="C1AA4E48">
      <w:start w:val="1"/>
      <w:numFmt w:val="bullet"/>
      <w:lvlText w:val=""/>
      <w:lvlJc w:val="left"/>
      <w:pPr>
        <w:tabs>
          <w:tab w:val="num" w:pos="357"/>
        </w:tabs>
        <w:ind w:left="357" w:hanging="357"/>
      </w:pPr>
      <w:rPr>
        <w:rFonts w:ascii="Symbol" w:hAnsi="Symbol" w:hint="default"/>
      </w:rPr>
    </w:lvl>
    <w:lvl w:ilvl="1" w:tplc="04240019">
      <w:numFmt w:val="bullet"/>
      <w:lvlText w:val="-"/>
      <w:lvlJc w:val="left"/>
      <w:pPr>
        <w:tabs>
          <w:tab w:val="num" w:pos="1440"/>
        </w:tabs>
        <w:ind w:left="1440" w:hanging="360"/>
      </w:pPr>
      <w:rPr>
        <w:rFonts w:ascii="Arial" w:eastAsia="Times New Roman" w:hAnsi="Aria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D95053"/>
    <w:multiLevelType w:val="hybridMultilevel"/>
    <w:tmpl w:val="672A31E6"/>
    <w:lvl w:ilvl="0" w:tplc="E55C9188">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08A783C"/>
    <w:multiLevelType w:val="hybridMultilevel"/>
    <w:tmpl w:val="A428141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5AB532B"/>
    <w:multiLevelType w:val="hybridMultilevel"/>
    <w:tmpl w:val="B928AF88"/>
    <w:lvl w:ilvl="0" w:tplc="C1AA4E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6B7028B"/>
    <w:multiLevelType w:val="hybridMultilevel"/>
    <w:tmpl w:val="75EA0FE0"/>
    <w:lvl w:ilvl="0" w:tplc="617C3AB8">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C8B00F4"/>
    <w:multiLevelType w:val="hybridMultilevel"/>
    <w:tmpl w:val="8B00EE6E"/>
    <w:lvl w:ilvl="0" w:tplc="5998A4B2">
      <w:start w:val="2"/>
      <w:numFmt w:val="bullet"/>
      <w:lvlText w:val="-"/>
      <w:lvlJc w:val="left"/>
      <w:pPr>
        <w:tabs>
          <w:tab w:val="num" w:pos="360"/>
        </w:tabs>
        <w:ind w:left="360" w:hanging="360"/>
      </w:pPr>
      <w:rPr>
        <w:rFonts w:ascii="Arial" w:eastAsia="Times New Roman" w:hAnsi="Arial" w:hint="default"/>
      </w:rPr>
    </w:lvl>
    <w:lvl w:ilvl="1" w:tplc="04240019">
      <w:numFmt w:val="bullet"/>
      <w:lvlText w:val="–"/>
      <w:lvlJc w:val="left"/>
      <w:pPr>
        <w:tabs>
          <w:tab w:val="num" w:pos="900"/>
        </w:tabs>
        <w:ind w:left="900" w:hanging="360"/>
      </w:pPr>
      <w:rPr>
        <w:rFonts w:ascii="Palatino Linotype" w:eastAsia="Times New Roman" w:hAnsi="Palatino Linotype" w:hint="default"/>
      </w:rPr>
    </w:lvl>
    <w:lvl w:ilvl="2" w:tplc="0424001B">
      <w:start w:val="1"/>
      <w:numFmt w:val="lowerRoman"/>
      <w:lvlText w:val="%3."/>
      <w:lvlJc w:val="right"/>
      <w:pPr>
        <w:tabs>
          <w:tab w:val="num" w:pos="1620"/>
        </w:tabs>
        <w:ind w:left="1620" w:hanging="180"/>
      </w:pPr>
      <w:rPr>
        <w:rFonts w:cs="Times New Roman"/>
      </w:rPr>
    </w:lvl>
    <w:lvl w:ilvl="3" w:tplc="0424000F" w:tentative="1">
      <w:start w:val="1"/>
      <w:numFmt w:val="decimal"/>
      <w:lvlText w:val="%4."/>
      <w:lvlJc w:val="left"/>
      <w:pPr>
        <w:tabs>
          <w:tab w:val="num" w:pos="2340"/>
        </w:tabs>
        <w:ind w:left="2340" w:hanging="360"/>
      </w:pPr>
      <w:rPr>
        <w:rFonts w:cs="Times New Roman"/>
      </w:rPr>
    </w:lvl>
    <w:lvl w:ilvl="4" w:tplc="04240019" w:tentative="1">
      <w:start w:val="1"/>
      <w:numFmt w:val="lowerLetter"/>
      <w:lvlText w:val="%5."/>
      <w:lvlJc w:val="left"/>
      <w:pPr>
        <w:tabs>
          <w:tab w:val="num" w:pos="3060"/>
        </w:tabs>
        <w:ind w:left="3060" w:hanging="360"/>
      </w:pPr>
      <w:rPr>
        <w:rFonts w:cs="Times New Roman"/>
      </w:rPr>
    </w:lvl>
    <w:lvl w:ilvl="5" w:tplc="0424001B" w:tentative="1">
      <w:start w:val="1"/>
      <w:numFmt w:val="lowerRoman"/>
      <w:lvlText w:val="%6."/>
      <w:lvlJc w:val="right"/>
      <w:pPr>
        <w:tabs>
          <w:tab w:val="num" w:pos="3780"/>
        </w:tabs>
        <w:ind w:left="3780" w:hanging="180"/>
      </w:pPr>
      <w:rPr>
        <w:rFonts w:cs="Times New Roman"/>
      </w:rPr>
    </w:lvl>
    <w:lvl w:ilvl="6" w:tplc="0424000F" w:tentative="1">
      <w:start w:val="1"/>
      <w:numFmt w:val="decimal"/>
      <w:lvlText w:val="%7."/>
      <w:lvlJc w:val="left"/>
      <w:pPr>
        <w:tabs>
          <w:tab w:val="num" w:pos="4500"/>
        </w:tabs>
        <w:ind w:left="4500" w:hanging="360"/>
      </w:pPr>
      <w:rPr>
        <w:rFonts w:cs="Times New Roman"/>
      </w:rPr>
    </w:lvl>
    <w:lvl w:ilvl="7" w:tplc="04240019" w:tentative="1">
      <w:start w:val="1"/>
      <w:numFmt w:val="lowerLetter"/>
      <w:lvlText w:val="%8."/>
      <w:lvlJc w:val="left"/>
      <w:pPr>
        <w:tabs>
          <w:tab w:val="num" w:pos="5220"/>
        </w:tabs>
        <w:ind w:left="5220" w:hanging="360"/>
      </w:pPr>
      <w:rPr>
        <w:rFonts w:cs="Times New Roman"/>
      </w:rPr>
    </w:lvl>
    <w:lvl w:ilvl="8" w:tplc="0424001B" w:tentative="1">
      <w:start w:val="1"/>
      <w:numFmt w:val="lowerRoman"/>
      <w:lvlText w:val="%9."/>
      <w:lvlJc w:val="right"/>
      <w:pPr>
        <w:tabs>
          <w:tab w:val="num" w:pos="5940"/>
        </w:tabs>
        <w:ind w:left="5940" w:hanging="180"/>
      </w:pPr>
      <w:rPr>
        <w:rFonts w:cs="Times New Roman"/>
      </w:rPr>
    </w:lvl>
  </w:abstractNum>
  <w:abstractNum w:abstractNumId="8" w15:restartNumberingAfterBreak="0">
    <w:nsid w:val="32261926"/>
    <w:multiLevelType w:val="hybridMultilevel"/>
    <w:tmpl w:val="F18AE002"/>
    <w:lvl w:ilvl="0" w:tplc="5998A4B2">
      <w:start w:val="2"/>
      <w:numFmt w:val="bullet"/>
      <w:lvlText w:val="-"/>
      <w:lvlJc w:val="left"/>
      <w:pPr>
        <w:tabs>
          <w:tab w:val="num" w:pos="360"/>
        </w:tabs>
        <w:ind w:left="360" w:hanging="360"/>
      </w:pPr>
      <w:rPr>
        <w:rFonts w:ascii="Arial" w:eastAsia="Times New Roman" w:hAnsi="Arial" w:hint="default"/>
      </w:rPr>
    </w:lvl>
    <w:lvl w:ilvl="1" w:tplc="04240019">
      <w:numFmt w:val="bullet"/>
      <w:lvlText w:val="–"/>
      <w:lvlJc w:val="left"/>
      <w:pPr>
        <w:tabs>
          <w:tab w:val="num" w:pos="900"/>
        </w:tabs>
        <w:ind w:left="900" w:hanging="360"/>
      </w:pPr>
      <w:rPr>
        <w:rFonts w:ascii="Palatino Linotype" w:eastAsia="Times New Roman" w:hAnsi="Palatino Linotype" w:hint="default"/>
      </w:rPr>
    </w:lvl>
    <w:lvl w:ilvl="2" w:tplc="0424001B">
      <w:start w:val="1"/>
      <w:numFmt w:val="lowerRoman"/>
      <w:lvlText w:val="%3."/>
      <w:lvlJc w:val="right"/>
      <w:pPr>
        <w:tabs>
          <w:tab w:val="num" w:pos="1620"/>
        </w:tabs>
        <w:ind w:left="1620" w:hanging="180"/>
      </w:pPr>
      <w:rPr>
        <w:rFonts w:cs="Times New Roman"/>
      </w:rPr>
    </w:lvl>
    <w:lvl w:ilvl="3" w:tplc="0424000F" w:tentative="1">
      <w:start w:val="1"/>
      <w:numFmt w:val="decimal"/>
      <w:lvlText w:val="%4."/>
      <w:lvlJc w:val="left"/>
      <w:pPr>
        <w:tabs>
          <w:tab w:val="num" w:pos="2340"/>
        </w:tabs>
        <w:ind w:left="2340" w:hanging="360"/>
      </w:pPr>
      <w:rPr>
        <w:rFonts w:cs="Times New Roman"/>
      </w:rPr>
    </w:lvl>
    <w:lvl w:ilvl="4" w:tplc="04240019" w:tentative="1">
      <w:start w:val="1"/>
      <w:numFmt w:val="lowerLetter"/>
      <w:lvlText w:val="%5."/>
      <w:lvlJc w:val="left"/>
      <w:pPr>
        <w:tabs>
          <w:tab w:val="num" w:pos="3060"/>
        </w:tabs>
        <w:ind w:left="3060" w:hanging="360"/>
      </w:pPr>
      <w:rPr>
        <w:rFonts w:cs="Times New Roman"/>
      </w:rPr>
    </w:lvl>
    <w:lvl w:ilvl="5" w:tplc="0424001B" w:tentative="1">
      <w:start w:val="1"/>
      <w:numFmt w:val="lowerRoman"/>
      <w:lvlText w:val="%6."/>
      <w:lvlJc w:val="right"/>
      <w:pPr>
        <w:tabs>
          <w:tab w:val="num" w:pos="3780"/>
        </w:tabs>
        <w:ind w:left="3780" w:hanging="180"/>
      </w:pPr>
      <w:rPr>
        <w:rFonts w:cs="Times New Roman"/>
      </w:rPr>
    </w:lvl>
    <w:lvl w:ilvl="6" w:tplc="0424000F" w:tentative="1">
      <w:start w:val="1"/>
      <w:numFmt w:val="decimal"/>
      <w:lvlText w:val="%7."/>
      <w:lvlJc w:val="left"/>
      <w:pPr>
        <w:tabs>
          <w:tab w:val="num" w:pos="4500"/>
        </w:tabs>
        <w:ind w:left="4500" w:hanging="360"/>
      </w:pPr>
      <w:rPr>
        <w:rFonts w:cs="Times New Roman"/>
      </w:rPr>
    </w:lvl>
    <w:lvl w:ilvl="7" w:tplc="04240019" w:tentative="1">
      <w:start w:val="1"/>
      <w:numFmt w:val="lowerLetter"/>
      <w:lvlText w:val="%8."/>
      <w:lvlJc w:val="left"/>
      <w:pPr>
        <w:tabs>
          <w:tab w:val="num" w:pos="5220"/>
        </w:tabs>
        <w:ind w:left="5220" w:hanging="360"/>
      </w:pPr>
      <w:rPr>
        <w:rFonts w:cs="Times New Roman"/>
      </w:rPr>
    </w:lvl>
    <w:lvl w:ilvl="8" w:tplc="0424001B" w:tentative="1">
      <w:start w:val="1"/>
      <w:numFmt w:val="lowerRoman"/>
      <w:lvlText w:val="%9."/>
      <w:lvlJc w:val="right"/>
      <w:pPr>
        <w:tabs>
          <w:tab w:val="num" w:pos="5940"/>
        </w:tabs>
        <w:ind w:left="5940" w:hanging="180"/>
      </w:pPr>
      <w:rPr>
        <w:rFonts w:cs="Times New Roman"/>
      </w:rPr>
    </w:lvl>
  </w:abstractNum>
  <w:abstractNum w:abstractNumId="9" w15:restartNumberingAfterBreak="0">
    <w:nsid w:val="35C9172B"/>
    <w:multiLevelType w:val="hybridMultilevel"/>
    <w:tmpl w:val="619C24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1E427A"/>
    <w:multiLevelType w:val="hybridMultilevel"/>
    <w:tmpl w:val="CD96AC64"/>
    <w:lvl w:ilvl="0" w:tplc="CDC20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B8E047A"/>
    <w:multiLevelType w:val="hybridMultilevel"/>
    <w:tmpl w:val="B1F813B4"/>
    <w:lvl w:ilvl="0" w:tplc="FFFFFFFF">
      <w:start w:val="1"/>
      <w:numFmt w:val="decimal"/>
      <w:lvlText w:val="%1."/>
      <w:lvlJc w:val="left"/>
      <w:pPr>
        <w:tabs>
          <w:tab w:val="num" w:pos="-74"/>
        </w:tabs>
        <w:ind w:left="-74" w:hanging="360"/>
      </w:pPr>
      <w:rPr>
        <w:rFonts w:cs="Times New Roman"/>
      </w:rPr>
    </w:lvl>
    <w:lvl w:ilvl="1" w:tplc="04240019" w:tentative="1">
      <w:start w:val="1"/>
      <w:numFmt w:val="lowerLetter"/>
      <w:lvlText w:val="%2."/>
      <w:lvlJc w:val="left"/>
      <w:pPr>
        <w:tabs>
          <w:tab w:val="num" w:pos="646"/>
        </w:tabs>
        <w:ind w:left="646" w:hanging="360"/>
      </w:pPr>
      <w:rPr>
        <w:rFonts w:cs="Times New Roman"/>
      </w:rPr>
    </w:lvl>
    <w:lvl w:ilvl="2" w:tplc="0424001B" w:tentative="1">
      <w:start w:val="1"/>
      <w:numFmt w:val="lowerRoman"/>
      <w:lvlText w:val="%3."/>
      <w:lvlJc w:val="right"/>
      <w:pPr>
        <w:tabs>
          <w:tab w:val="num" w:pos="1366"/>
        </w:tabs>
        <w:ind w:left="1366" w:hanging="180"/>
      </w:pPr>
      <w:rPr>
        <w:rFonts w:cs="Times New Roman"/>
      </w:rPr>
    </w:lvl>
    <w:lvl w:ilvl="3" w:tplc="0424000F" w:tentative="1">
      <w:start w:val="1"/>
      <w:numFmt w:val="decimal"/>
      <w:lvlText w:val="%4."/>
      <w:lvlJc w:val="left"/>
      <w:pPr>
        <w:tabs>
          <w:tab w:val="num" w:pos="2086"/>
        </w:tabs>
        <w:ind w:left="2086" w:hanging="360"/>
      </w:pPr>
      <w:rPr>
        <w:rFonts w:cs="Times New Roman"/>
      </w:rPr>
    </w:lvl>
    <w:lvl w:ilvl="4" w:tplc="04240019" w:tentative="1">
      <w:start w:val="1"/>
      <w:numFmt w:val="lowerLetter"/>
      <w:lvlText w:val="%5."/>
      <w:lvlJc w:val="left"/>
      <w:pPr>
        <w:tabs>
          <w:tab w:val="num" w:pos="2806"/>
        </w:tabs>
        <w:ind w:left="2806" w:hanging="360"/>
      </w:pPr>
      <w:rPr>
        <w:rFonts w:cs="Times New Roman"/>
      </w:rPr>
    </w:lvl>
    <w:lvl w:ilvl="5" w:tplc="0424001B" w:tentative="1">
      <w:start w:val="1"/>
      <w:numFmt w:val="lowerRoman"/>
      <w:lvlText w:val="%6."/>
      <w:lvlJc w:val="right"/>
      <w:pPr>
        <w:tabs>
          <w:tab w:val="num" w:pos="3526"/>
        </w:tabs>
        <w:ind w:left="3526" w:hanging="180"/>
      </w:pPr>
      <w:rPr>
        <w:rFonts w:cs="Times New Roman"/>
      </w:rPr>
    </w:lvl>
    <w:lvl w:ilvl="6" w:tplc="0424000F" w:tentative="1">
      <w:start w:val="1"/>
      <w:numFmt w:val="decimal"/>
      <w:lvlText w:val="%7."/>
      <w:lvlJc w:val="left"/>
      <w:pPr>
        <w:tabs>
          <w:tab w:val="num" w:pos="4246"/>
        </w:tabs>
        <w:ind w:left="4246" w:hanging="360"/>
      </w:pPr>
      <w:rPr>
        <w:rFonts w:cs="Times New Roman"/>
      </w:rPr>
    </w:lvl>
    <w:lvl w:ilvl="7" w:tplc="04240019" w:tentative="1">
      <w:start w:val="1"/>
      <w:numFmt w:val="lowerLetter"/>
      <w:lvlText w:val="%8."/>
      <w:lvlJc w:val="left"/>
      <w:pPr>
        <w:tabs>
          <w:tab w:val="num" w:pos="4966"/>
        </w:tabs>
        <w:ind w:left="4966" w:hanging="360"/>
      </w:pPr>
      <w:rPr>
        <w:rFonts w:cs="Times New Roman"/>
      </w:rPr>
    </w:lvl>
    <w:lvl w:ilvl="8" w:tplc="0424001B" w:tentative="1">
      <w:start w:val="1"/>
      <w:numFmt w:val="lowerRoman"/>
      <w:lvlText w:val="%9."/>
      <w:lvlJc w:val="right"/>
      <w:pPr>
        <w:tabs>
          <w:tab w:val="num" w:pos="5686"/>
        </w:tabs>
        <w:ind w:left="5686" w:hanging="180"/>
      </w:pPr>
      <w:rPr>
        <w:rFonts w:cs="Times New Roman"/>
      </w:rPr>
    </w:lvl>
  </w:abstractNum>
  <w:abstractNum w:abstractNumId="12" w15:restartNumberingAfterBreak="0">
    <w:nsid w:val="48A51925"/>
    <w:multiLevelType w:val="hybridMultilevel"/>
    <w:tmpl w:val="C99E35A6"/>
    <w:lvl w:ilvl="0" w:tplc="DD0814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DC257C0"/>
    <w:multiLevelType w:val="hybridMultilevel"/>
    <w:tmpl w:val="90128F4A"/>
    <w:lvl w:ilvl="0" w:tplc="6DC0CFCE">
      <w:start w:val="1"/>
      <w:numFmt w:val="lowerLetter"/>
      <w:lvlText w:val="%1)"/>
      <w:lvlJc w:val="left"/>
      <w:pPr>
        <w:ind w:left="711" w:hanging="504"/>
      </w:pPr>
      <w:rPr>
        <w:rFonts w:hint="default"/>
      </w:rPr>
    </w:lvl>
    <w:lvl w:ilvl="1" w:tplc="04240019" w:tentative="1">
      <w:start w:val="1"/>
      <w:numFmt w:val="lowerLetter"/>
      <w:lvlText w:val="%2."/>
      <w:lvlJc w:val="left"/>
      <w:pPr>
        <w:ind w:left="1287" w:hanging="360"/>
      </w:pPr>
    </w:lvl>
    <w:lvl w:ilvl="2" w:tplc="0424001B" w:tentative="1">
      <w:start w:val="1"/>
      <w:numFmt w:val="lowerRoman"/>
      <w:lvlText w:val="%3."/>
      <w:lvlJc w:val="right"/>
      <w:pPr>
        <w:ind w:left="2007" w:hanging="180"/>
      </w:pPr>
    </w:lvl>
    <w:lvl w:ilvl="3" w:tplc="0424000F" w:tentative="1">
      <w:start w:val="1"/>
      <w:numFmt w:val="decimal"/>
      <w:lvlText w:val="%4."/>
      <w:lvlJc w:val="left"/>
      <w:pPr>
        <w:ind w:left="2727" w:hanging="360"/>
      </w:pPr>
    </w:lvl>
    <w:lvl w:ilvl="4" w:tplc="04240019" w:tentative="1">
      <w:start w:val="1"/>
      <w:numFmt w:val="lowerLetter"/>
      <w:lvlText w:val="%5."/>
      <w:lvlJc w:val="left"/>
      <w:pPr>
        <w:ind w:left="3447" w:hanging="360"/>
      </w:pPr>
    </w:lvl>
    <w:lvl w:ilvl="5" w:tplc="0424001B" w:tentative="1">
      <w:start w:val="1"/>
      <w:numFmt w:val="lowerRoman"/>
      <w:lvlText w:val="%6."/>
      <w:lvlJc w:val="right"/>
      <w:pPr>
        <w:ind w:left="4167" w:hanging="180"/>
      </w:pPr>
    </w:lvl>
    <w:lvl w:ilvl="6" w:tplc="0424000F" w:tentative="1">
      <w:start w:val="1"/>
      <w:numFmt w:val="decimal"/>
      <w:lvlText w:val="%7."/>
      <w:lvlJc w:val="left"/>
      <w:pPr>
        <w:ind w:left="4887" w:hanging="360"/>
      </w:pPr>
    </w:lvl>
    <w:lvl w:ilvl="7" w:tplc="04240019" w:tentative="1">
      <w:start w:val="1"/>
      <w:numFmt w:val="lowerLetter"/>
      <w:lvlText w:val="%8."/>
      <w:lvlJc w:val="left"/>
      <w:pPr>
        <w:ind w:left="5607" w:hanging="360"/>
      </w:pPr>
    </w:lvl>
    <w:lvl w:ilvl="8" w:tplc="0424001B" w:tentative="1">
      <w:start w:val="1"/>
      <w:numFmt w:val="lowerRoman"/>
      <w:lvlText w:val="%9."/>
      <w:lvlJc w:val="right"/>
      <w:pPr>
        <w:ind w:left="6327" w:hanging="180"/>
      </w:pPr>
    </w:lvl>
  </w:abstractNum>
  <w:abstractNum w:abstractNumId="14" w15:restartNumberingAfterBreak="0">
    <w:nsid w:val="527806F3"/>
    <w:multiLevelType w:val="hybridMultilevel"/>
    <w:tmpl w:val="A54856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5491E12"/>
    <w:multiLevelType w:val="hybridMultilevel"/>
    <w:tmpl w:val="34E8F28E"/>
    <w:lvl w:ilvl="0" w:tplc="BE8A6E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FF575E6"/>
    <w:multiLevelType w:val="hybridMultilevel"/>
    <w:tmpl w:val="FE12A0A8"/>
    <w:lvl w:ilvl="0" w:tplc="1F7AF1A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952D4E"/>
    <w:multiLevelType w:val="hybridMultilevel"/>
    <w:tmpl w:val="4726FF8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3406CEC"/>
    <w:multiLevelType w:val="hybridMultilevel"/>
    <w:tmpl w:val="B7D88DEC"/>
    <w:lvl w:ilvl="0" w:tplc="2000000F">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637100C"/>
    <w:multiLevelType w:val="hybridMultilevel"/>
    <w:tmpl w:val="0512EF8E"/>
    <w:lvl w:ilvl="0" w:tplc="29FE6BC6">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5F3D83"/>
    <w:multiLevelType w:val="hybridMultilevel"/>
    <w:tmpl w:val="1A28FB14"/>
    <w:lvl w:ilvl="0" w:tplc="290C3484">
      <w:start w:val="1"/>
      <w:numFmt w:val="decimal"/>
      <w:lvlText w:val="%1."/>
      <w:lvlJc w:val="left"/>
      <w:pPr>
        <w:tabs>
          <w:tab w:val="num" w:pos="720"/>
        </w:tabs>
        <w:ind w:left="720" w:hanging="360"/>
      </w:pPr>
      <w:rPr>
        <w:rFonts w:cs="Times New Roman" w:hint="default"/>
      </w:rPr>
    </w:lvl>
    <w:lvl w:ilvl="1" w:tplc="F3FA47C2" w:tentative="1">
      <w:start w:val="1"/>
      <w:numFmt w:val="lowerLetter"/>
      <w:lvlText w:val="%2."/>
      <w:lvlJc w:val="left"/>
      <w:pPr>
        <w:tabs>
          <w:tab w:val="num" w:pos="1440"/>
        </w:tabs>
        <w:ind w:left="1440" w:hanging="360"/>
      </w:pPr>
      <w:rPr>
        <w:rFonts w:cs="Times New Roman"/>
      </w:rPr>
    </w:lvl>
    <w:lvl w:ilvl="2" w:tplc="50762BAC" w:tentative="1">
      <w:start w:val="1"/>
      <w:numFmt w:val="lowerRoman"/>
      <w:lvlText w:val="%3."/>
      <w:lvlJc w:val="right"/>
      <w:pPr>
        <w:tabs>
          <w:tab w:val="num" w:pos="2160"/>
        </w:tabs>
        <w:ind w:left="2160" w:hanging="180"/>
      </w:pPr>
      <w:rPr>
        <w:rFonts w:cs="Times New Roman"/>
      </w:rPr>
    </w:lvl>
    <w:lvl w:ilvl="3" w:tplc="D15681D0" w:tentative="1">
      <w:start w:val="1"/>
      <w:numFmt w:val="decimal"/>
      <w:lvlText w:val="%4."/>
      <w:lvlJc w:val="left"/>
      <w:pPr>
        <w:tabs>
          <w:tab w:val="num" w:pos="2880"/>
        </w:tabs>
        <w:ind w:left="2880" w:hanging="360"/>
      </w:pPr>
      <w:rPr>
        <w:rFonts w:cs="Times New Roman"/>
      </w:rPr>
    </w:lvl>
    <w:lvl w:ilvl="4" w:tplc="773E0EDE" w:tentative="1">
      <w:start w:val="1"/>
      <w:numFmt w:val="lowerLetter"/>
      <w:lvlText w:val="%5."/>
      <w:lvlJc w:val="left"/>
      <w:pPr>
        <w:tabs>
          <w:tab w:val="num" w:pos="3600"/>
        </w:tabs>
        <w:ind w:left="3600" w:hanging="360"/>
      </w:pPr>
      <w:rPr>
        <w:rFonts w:cs="Times New Roman"/>
      </w:rPr>
    </w:lvl>
    <w:lvl w:ilvl="5" w:tplc="BD68D504" w:tentative="1">
      <w:start w:val="1"/>
      <w:numFmt w:val="lowerRoman"/>
      <w:lvlText w:val="%6."/>
      <w:lvlJc w:val="right"/>
      <w:pPr>
        <w:tabs>
          <w:tab w:val="num" w:pos="4320"/>
        </w:tabs>
        <w:ind w:left="4320" w:hanging="180"/>
      </w:pPr>
      <w:rPr>
        <w:rFonts w:cs="Times New Roman"/>
      </w:rPr>
    </w:lvl>
    <w:lvl w:ilvl="6" w:tplc="76725330" w:tentative="1">
      <w:start w:val="1"/>
      <w:numFmt w:val="decimal"/>
      <w:lvlText w:val="%7."/>
      <w:lvlJc w:val="left"/>
      <w:pPr>
        <w:tabs>
          <w:tab w:val="num" w:pos="5040"/>
        </w:tabs>
        <w:ind w:left="5040" w:hanging="360"/>
      </w:pPr>
      <w:rPr>
        <w:rFonts w:cs="Times New Roman"/>
      </w:rPr>
    </w:lvl>
    <w:lvl w:ilvl="7" w:tplc="D53609EE" w:tentative="1">
      <w:start w:val="1"/>
      <w:numFmt w:val="lowerLetter"/>
      <w:lvlText w:val="%8."/>
      <w:lvlJc w:val="left"/>
      <w:pPr>
        <w:tabs>
          <w:tab w:val="num" w:pos="5760"/>
        </w:tabs>
        <w:ind w:left="5760" w:hanging="360"/>
      </w:pPr>
      <w:rPr>
        <w:rFonts w:cs="Times New Roman"/>
      </w:rPr>
    </w:lvl>
    <w:lvl w:ilvl="8" w:tplc="6F00EFE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B5D0CF3"/>
    <w:multiLevelType w:val="hybridMultilevel"/>
    <w:tmpl w:val="8608478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E4B13E8"/>
    <w:multiLevelType w:val="hybridMultilevel"/>
    <w:tmpl w:val="D8CC8652"/>
    <w:lvl w:ilvl="0" w:tplc="FA0C6B9E">
      <w:start w:val="1"/>
      <w:numFmt w:val="decimal"/>
      <w:lvlText w:val="(%1)"/>
      <w:lvlJc w:val="left"/>
      <w:pPr>
        <w:tabs>
          <w:tab w:val="num" w:pos="357"/>
        </w:tabs>
        <w:ind w:left="357" w:hanging="357"/>
      </w:pPr>
      <w:rPr>
        <w:rFonts w:cs="Times New Roman" w:hint="default"/>
      </w:rPr>
    </w:lvl>
    <w:lvl w:ilvl="1" w:tplc="F83CA00C" w:tentative="1">
      <w:start w:val="1"/>
      <w:numFmt w:val="lowerLetter"/>
      <w:lvlText w:val="%2."/>
      <w:lvlJc w:val="left"/>
      <w:pPr>
        <w:tabs>
          <w:tab w:val="num" w:pos="1440"/>
        </w:tabs>
        <w:ind w:left="1440" w:hanging="360"/>
      </w:pPr>
      <w:rPr>
        <w:rFonts w:cs="Times New Roman"/>
      </w:rPr>
    </w:lvl>
    <w:lvl w:ilvl="2" w:tplc="74DA73AC" w:tentative="1">
      <w:start w:val="1"/>
      <w:numFmt w:val="lowerRoman"/>
      <w:lvlText w:val="%3."/>
      <w:lvlJc w:val="right"/>
      <w:pPr>
        <w:tabs>
          <w:tab w:val="num" w:pos="2160"/>
        </w:tabs>
        <w:ind w:left="2160" w:hanging="180"/>
      </w:pPr>
      <w:rPr>
        <w:rFonts w:cs="Times New Roman"/>
      </w:rPr>
    </w:lvl>
    <w:lvl w:ilvl="3" w:tplc="260869C0" w:tentative="1">
      <w:start w:val="1"/>
      <w:numFmt w:val="decimal"/>
      <w:lvlText w:val="%4."/>
      <w:lvlJc w:val="left"/>
      <w:pPr>
        <w:tabs>
          <w:tab w:val="num" w:pos="2880"/>
        </w:tabs>
        <w:ind w:left="2880" w:hanging="360"/>
      </w:pPr>
      <w:rPr>
        <w:rFonts w:cs="Times New Roman"/>
      </w:rPr>
    </w:lvl>
    <w:lvl w:ilvl="4" w:tplc="43B6EF24" w:tentative="1">
      <w:start w:val="1"/>
      <w:numFmt w:val="lowerLetter"/>
      <w:lvlText w:val="%5."/>
      <w:lvlJc w:val="left"/>
      <w:pPr>
        <w:tabs>
          <w:tab w:val="num" w:pos="3600"/>
        </w:tabs>
        <w:ind w:left="3600" w:hanging="360"/>
      </w:pPr>
      <w:rPr>
        <w:rFonts w:cs="Times New Roman"/>
      </w:rPr>
    </w:lvl>
    <w:lvl w:ilvl="5" w:tplc="E86C35F0" w:tentative="1">
      <w:start w:val="1"/>
      <w:numFmt w:val="lowerRoman"/>
      <w:lvlText w:val="%6."/>
      <w:lvlJc w:val="right"/>
      <w:pPr>
        <w:tabs>
          <w:tab w:val="num" w:pos="4320"/>
        </w:tabs>
        <w:ind w:left="4320" w:hanging="180"/>
      </w:pPr>
      <w:rPr>
        <w:rFonts w:cs="Times New Roman"/>
      </w:rPr>
    </w:lvl>
    <w:lvl w:ilvl="6" w:tplc="9F805F72" w:tentative="1">
      <w:start w:val="1"/>
      <w:numFmt w:val="decimal"/>
      <w:lvlText w:val="%7."/>
      <w:lvlJc w:val="left"/>
      <w:pPr>
        <w:tabs>
          <w:tab w:val="num" w:pos="5040"/>
        </w:tabs>
        <w:ind w:left="5040" w:hanging="360"/>
      </w:pPr>
      <w:rPr>
        <w:rFonts w:cs="Times New Roman"/>
      </w:rPr>
    </w:lvl>
    <w:lvl w:ilvl="7" w:tplc="1FFEC22C" w:tentative="1">
      <w:start w:val="1"/>
      <w:numFmt w:val="lowerLetter"/>
      <w:lvlText w:val="%8."/>
      <w:lvlJc w:val="left"/>
      <w:pPr>
        <w:tabs>
          <w:tab w:val="num" w:pos="5760"/>
        </w:tabs>
        <w:ind w:left="5760" w:hanging="360"/>
      </w:pPr>
      <w:rPr>
        <w:rFonts w:cs="Times New Roman"/>
      </w:rPr>
    </w:lvl>
    <w:lvl w:ilvl="8" w:tplc="B5C85246" w:tentative="1">
      <w:start w:val="1"/>
      <w:numFmt w:val="lowerRoman"/>
      <w:lvlText w:val="%9."/>
      <w:lvlJc w:val="right"/>
      <w:pPr>
        <w:tabs>
          <w:tab w:val="num" w:pos="6480"/>
        </w:tabs>
        <w:ind w:left="6480" w:hanging="180"/>
      </w:pPr>
      <w:rPr>
        <w:rFonts w:cs="Times New Roman"/>
      </w:rPr>
    </w:lvl>
  </w:abstractNum>
  <w:abstractNum w:abstractNumId="23" w15:restartNumberingAfterBreak="0">
    <w:nsid w:val="748B4264"/>
    <w:multiLevelType w:val="hybridMultilevel"/>
    <w:tmpl w:val="6F0EFFD6"/>
    <w:lvl w:ilvl="0" w:tplc="0424000F">
      <w:start w:val="1"/>
      <w:numFmt w:val="decimal"/>
      <w:lvlText w:val="%1."/>
      <w:lvlJc w:val="left"/>
      <w:pPr>
        <w:tabs>
          <w:tab w:val="num" w:pos="-1431"/>
        </w:tabs>
        <w:ind w:left="-1431" w:hanging="360"/>
      </w:pPr>
      <w:rPr>
        <w:rFonts w:cs="Times New Roman"/>
      </w:rPr>
    </w:lvl>
    <w:lvl w:ilvl="1" w:tplc="5998A4B2">
      <w:start w:val="2"/>
      <w:numFmt w:val="bullet"/>
      <w:lvlText w:val="-"/>
      <w:lvlJc w:val="left"/>
      <w:pPr>
        <w:tabs>
          <w:tab w:val="num" w:pos="-711"/>
        </w:tabs>
        <w:ind w:left="-711" w:hanging="360"/>
      </w:pPr>
      <w:rPr>
        <w:rFonts w:ascii="Arial" w:eastAsia="Times New Roman" w:hAnsi="Arial" w:hint="default"/>
      </w:rPr>
    </w:lvl>
    <w:lvl w:ilvl="2" w:tplc="0424001B" w:tentative="1">
      <w:start w:val="1"/>
      <w:numFmt w:val="lowerRoman"/>
      <w:lvlText w:val="%3."/>
      <w:lvlJc w:val="right"/>
      <w:pPr>
        <w:tabs>
          <w:tab w:val="num" w:pos="9"/>
        </w:tabs>
        <w:ind w:left="9" w:hanging="180"/>
      </w:pPr>
      <w:rPr>
        <w:rFonts w:cs="Times New Roman"/>
      </w:rPr>
    </w:lvl>
    <w:lvl w:ilvl="3" w:tplc="0424000F" w:tentative="1">
      <w:start w:val="1"/>
      <w:numFmt w:val="decimal"/>
      <w:lvlText w:val="%4."/>
      <w:lvlJc w:val="left"/>
      <w:pPr>
        <w:tabs>
          <w:tab w:val="num" w:pos="729"/>
        </w:tabs>
        <w:ind w:left="729" w:hanging="360"/>
      </w:pPr>
      <w:rPr>
        <w:rFonts w:cs="Times New Roman"/>
      </w:rPr>
    </w:lvl>
    <w:lvl w:ilvl="4" w:tplc="04240019" w:tentative="1">
      <w:start w:val="1"/>
      <w:numFmt w:val="lowerLetter"/>
      <w:lvlText w:val="%5."/>
      <w:lvlJc w:val="left"/>
      <w:pPr>
        <w:tabs>
          <w:tab w:val="num" w:pos="1449"/>
        </w:tabs>
        <w:ind w:left="1449" w:hanging="360"/>
      </w:pPr>
      <w:rPr>
        <w:rFonts w:cs="Times New Roman"/>
      </w:rPr>
    </w:lvl>
    <w:lvl w:ilvl="5" w:tplc="0424001B" w:tentative="1">
      <w:start w:val="1"/>
      <w:numFmt w:val="lowerRoman"/>
      <w:lvlText w:val="%6."/>
      <w:lvlJc w:val="right"/>
      <w:pPr>
        <w:tabs>
          <w:tab w:val="num" w:pos="2169"/>
        </w:tabs>
        <w:ind w:left="2169" w:hanging="180"/>
      </w:pPr>
      <w:rPr>
        <w:rFonts w:cs="Times New Roman"/>
      </w:rPr>
    </w:lvl>
    <w:lvl w:ilvl="6" w:tplc="0424000F" w:tentative="1">
      <w:start w:val="1"/>
      <w:numFmt w:val="decimal"/>
      <w:lvlText w:val="%7."/>
      <w:lvlJc w:val="left"/>
      <w:pPr>
        <w:tabs>
          <w:tab w:val="num" w:pos="2889"/>
        </w:tabs>
        <w:ind w:left="2889" w:hanging="360"/>
      </w:pPr>
      <w:rPr>
        <w:rFonts w:cs="Times New Roman"/>
      </w:rPr>
    </w:lvl>
    <w:lvl w:ilvl="7" w:tplc="04240019" w:tentative="1">
      <w:start w:val="1"/>
      <w:numFmt w:val="lowerLetter"/>
      <w:lvlText w:val="%8."/>
      <w:lvlJc w:val="left"/>
      <w:pPr>
        <w:tabs>
          <w:tab w:val="num" w:pos="3609"/>
        </w:tabs>
        <w:ind w:left="3609" w:hanging="360"/>
      </w:pPr>
      <w:rPr>
        <w:rFonts w:cs="Times New Roman"/>
      </w:rPr>
    </w:lvl>
    <w:lvl w:ilvl="8" w:tplc="0424001B" w:tentative="1">
      <w:start w:val="1"/>
      <w:numFmt w:val="lowerRoman"/>
      <w:lvlText w:val="%9."/>
      <w:lvlJc w:val="right"/>
      <w:pPr>
        <w:tabs>
          <w:tab w:val="num" w:pos="4329"/>
        </w:tabs>
        <w:ind w:left="4329" w:hanging="180"/>
      </w:pPr>
      <w:rPr>
        <w:rFonts w:cs="Times New Roman"/>
      </w:rPr>
    </w:lvl>
  </w:abstractNum>
  <w:abstractNum w:abstractNumId="24" w15:restartNumberingAfterBreak="0">
    <w:nsid w:val="7A096E7E"/>
    <w:multiLevelType w:val="hybridMultilevel"/>
    <w:tmpl w:val="A9F000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DD827C2"/>
    <w:multiLevelType w:val="hybridMultilevel"/>
    <w:tmpl w:val="D41606A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7"/>
  </w:num>
  <w:num w:numId="2">
    <w:abstractNumId w:val="16"/>
  </w:num>
  <w:num w:numId="3">
    <w:abstractNumId w:val="7"/>
  </w:num>
  <w:num w:numId="4">
    <w:abstractNumId w:val="14"/>
  </w:num>
  <w:num w:numId="5">
    <w:abstractNumId w:val="23"/>
  </w:num>
  <w:num w:numId="6">
    <w:abstractNumId w:val="22"/>
  </w:num>
  <w:num w:numId="7">
    <w:abstractNumId w:val="8"/>
  </w:num>
  <w:num w:numId="8">
    <w:abstractNumId w:val="5"/>
  </w:num>
  <w:num w:numId="9">
    <w:abstractNumId w:val="2"/>
  </w:num>
  <w:num w:numId="10">
    <w:abstractNumId w:val="0"/>
  </w:num>
  <w:num w:numId="11">
    <w:abstractNumId w:val="11"/>
  </w:num>
  <w:num w:numId="12">
    <w:abstractNumId w:val="12"/>
  </w:num>
  <w:num w:numId="13">
    <w:abstractNumId w:val="10"/>
  </w:num>
  <w:num w:numId="14">
    <w:abstractNumId w:val="6"/>
  </w:num>
  <w:num w:numId="15">
    <w:abstractNumId w:val="3"/>
  </w:num>
  <w:num w:numId="16">
    <w:abstractNumId w:val="9"/>
  </w:num>
  <w:num w:numId="17">
    <w:abstractNumId w:val="20"/>
  </w:num>
  <w:num w:numId="18">
    <w:abstractNumId w:val="1"/>
  </w:num>
  <w:num w:numId="19">
    <w:abstractNumId w:val="15"/>
  </w:num>
  <w:num w:numId="20">
    <w:abstractNumId w:val="18"/>
  </w:num>
  <w:num w:numId="21">
    <w:abstractNumId w:val="21"/>
  </w:num>
  <w:num w:numId="22">
    <w:abstractNumId w:val="25"/>
  </w:num>
  <w:num w:numId="23">
    <w:abstractNumId w:val="19"/>
  </w:num>
  <w:num w:numId="24">
    <w:abstractNumId w:val="4"/>
  </w:num>
  <w:num w:numId="25">
    <w:abstractNumId w:val="24"/>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cumentProtection w:edit="form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35"/>
    <w:rsid w:val="00001D18"/>
    <w:rsid w:val="0000327F"/>
    <w:rsid w:val="00011AE9"/>
    <w:rsid w:val="00015493"/>
    <w:rsid w:val="00016D14"/>
    <w:rsid w:val="0002037B"/>
    <w:rsid w:val="0002078A"/>
    <w:rsid w:val="00030B72"/>
    <w:rsid w:val="00034970"/>
    <w:rsid w:val="00045047"/>
    <w:rsid w:val="00045EB1"/>
    <w:rsid w:val="00045F7E"/>
    <w:rsid w:val="00047051"/>
    <w:rsid w:val="00053749"/>
    <w:rsid w:val="00055E75"/>
    <w:rsid w:val="00062781"/>
    <w:rsid w:val="00063307"/>
    <w:rsid w:val="000653DF"/>
    <w:rsid w:val="00082B4C"/>
    <w:rsid w:val="00095FDB"/>
    <w:rsid w:val="000967E8"/>
    <w:rsid w:val="000A182C"/>
    <w:rsid w:val="000A3670"/>
    <w:rsid w:val="000A6CF4"/>
    <w:rsid w:val="000B168A"/>
    <w:rsid w:val="000B43E9"/>
    <w:rsid w:val="000D19AE"/>
    <w:rsid w:val="000D3AD4"/>
    <w:rsid w:val="000D78E3"/>
    <w:rsid w:val="000E09BA"/>
    <w:rsid w:val="000E3C8B"/>
    <w:rsid w:val="000F283A"/>
    <w:rsid w:val="000F7348"/>
    <w:rsid w:val="00100E66"/>
    <w:rsid w:val="00102022"/>
    <w:rsid w:val="001101A0"/>
    <w:rsid w:val="00114382"/>
    <w:rsid w:val="001176ED"/>
    <w:rsid w:val="00122240"/>
    <w:rsid w:val="00133162"/>
    <w:rsid w:val="001335F8"/>
    <w:rsid w:val="00134E35"/>
    <w:rsid w:val="0013623C"/>
    <w:rsid w:val="001416B4"/>
    <w:rsid w:val="00142339"/>
    <w:rsid w:val="001438B4"/>
    <w:rsid w:val="001447B8"/>
    <w:rsid w:val="001472D3"/>
    <w:rsid w:val="00150A09"/>
    <w:rsid w:val="001537F8"/>
    <w:rsid w:val="001603C6"/>
    <w:rsid w:val="001609B4"/>
    <w:rsid w:val="0016156B"/>
    <w:rsid w:val="00162237"/>
    <w:rsid w:val="00162B40"/>
    <w:rsid w:val="0016651E"/>
    <w:rsid w:val="00166566"/>
    <w:rsid w:val="00166671"/>
    <w:rsid w:val="00170BFD"/>
    <w:rsid w:val="00171120"/>
    <w:rsid w:val="00171C08"/>
    <w:rsid w:val="00184A69"/>
    <w:rsid w:val="00191C6F"/>
    <w:rsid w:val="00192019"/>
    <w:rsid w:val="00195129"/>
    <w:rsid w:val="00196A28"/>
    <w:rsid w:val="001A4E7E"/>
    <w:rsid w:val="001B1617"/>
    <w:rsid w:val="001B3014"/>
    <w:rsid w:val="001B3991"/>
    <w:rsid w:val="001B4052"/>
    <w:rsid w:val="001B423A"/>
    <w:rsid w:val="001C48D8"/>
    <w:rsid w:val="001C7690"/>
    <w:rsid w:val="001D216B"/>
    <w:rsid w:val="001D410B"/>
    <w:rsid w:val="001D48F8"/>
    <w:rsid w:val="001D5043"/>
    <w:rsid w:val="001D62AF"/>
    <w:rsid w:val="001E33F1"/>
    <w:rsid w:val="001E4548"/>
    <w:rsid w:val="002022EC"/>
    <w:rsid w:val="00202A9D"/>
    <w:rsid w:val="00203A4D"/>
    <w:rsid w:val="00214325"/>
    <w:rsid w:val="00214CFC"/>
    <w:rsid w:val="00222C08"/>
    <w:rsid w:val="00224DB1"/>
    <w:rsid w:val="0022531C"/>
    <w:rsid w:val="00225809"/>
    <w:rsid w:val="002270A5"/>
    <w:rsid w:val="0023287C"/>
    <w:rsid w:val="0023594D"/>
    <w:rsid w:val="0024234F"/>
    <w:rsid w:val="00243AE3"/>
    <w:rsid w:val="002447E2"/>
    <w:rsid w:val="00244DC3"/>
    <w:rsid w:val="00247705"/>
    <w:rsid w:val="00250B7D"/>
    <w:rsid w:val="00251AF8"/>
    <w:rsid w:val="0025610D"/>
    <w:rsid w:val="00260342"/>
    <w:rsid w:val="00261560"/>
    <w:rsid w:val="00262370"/>
    <w:rsid w:val="00262EEE"/>
    <w:rsid w:val="00275731"/>
    <w:rsid w:val="002764AD"/>
    <w:rsid w:val="002766A2"/>
    <w:rsid w:val="002847A0"/>
    <w:rsid w:val="00290ED8"/>
    <w:rsid w:val="00292422"/>
    <w:rsid w:val="00295269"/>
    <w:rsid w:val="002A1EAC"/>
    <w:rsid w:val="002A5A64"/>
    <w:rsid w:val="002A7031"/>
    <w:rsid w:val="002B1667"/>
    <w:rsid w:val="002B4059"/>
    <w:rsid w:val="002B4A6D"/>
    <w:rsid w:val="002B5A77"/>
    <w:rsid w:val="002C211D"/>
    <w:rsid w:val="002C445E"/>
    <w:rsid w:val="002C53EA"/>
    <w:rsid w:val="002D1597"/>
    <w:rsid w:val="002D2A49"/>
    <w:rsid w:val="002D503B"/>
    <w:rsid w:val="002D5B14"/>
    <w:rsid w:val="002D5EA3"/>
    <w:rsid w:val="002E08F9"/>
    <w:rsid w:val="002E0A1D"/>
    <w:rsid w:val="002E466D"/>
    <w:rsid w:val="002E6B66"/>
    <w:rsid w:val="002E7929"/>
    <w:rsid w:val="002F0DF0"/>
    <w:rsid w:val="002F241D"/>
    <w:rsid w:val="00303A74"/>
    <w:rsid w:val="00310077"/>
    <w:rsid w:val="0031175C"/>
    <w:rsid w:val="00314B33"/>
    <w:rsid w:val="00316574"/>
    <w:rsid w:val="00327F39"/>
    <w:rsid w:val="00331F28"/>
    <w:rsid w:val="00333392"/>
    <w:rsid w:val="003335EE"/>
    <w:rsid w:val="00337795"/>
    <w:rsid w:val="00341E9B"/>
    <w:rsid w:val="00347389"/>
    <w:rsid w:val="00347D16"/>
    <w:rsid w:val="00350110"/>
    <w:rsid w:val="00353CBC"/>
    <w:rsid w:val="00356DED"/>
    <w:rsid w:val="00357845"/>
    <w:rsid w:val="00361B52"/>
    <w:rsid w:val="0037655F"/>
    <w:rsid w:val="00380C50"/>
    <w:rsid w:val="003821CA"/>
    <w:rsid w:val="00383C0C"/>
    <w:rsid w:val="00383C46"/>
    <w:rsid w:val="00385FF7"/>
    <w:rsid w:val="00387EF1"/>
    <w:rsid w:val="00390BEB"/>
    <w:rsid w:val="0039209D"/>
    <w:rsid w:val="00395626"/>
    <w:rsid w:val="003A3408"/>
    <w:rsid w:val="003B4C20"/>
    <w:rsid w:val="003B6200"/>
    <w:rsid w:val="003C2C4C"/>
    <w:rsid w:val="003C36BD"/>
    <w:rsid w:val="003C4C02"/>
    <w:rsid w:val="003C6E62"/>
    <w:rsid w:val="003D3F2A"/>
    <w:rsid w:val="003D4808"/>
    <w:rsid w:val="003D4DA5"/>
    <w:rsid w:val="003F14A7"/>
    <w:rsid w:val="003F3ACA"/>
    <w:rsid w:val="00403C97"/>
    <w:rsid w:val="0040436E"/>
    <w:rsid w:val="004044EA"/>
    <w:rsid w:val="00404C01"/>
    <w:rsid w:val="004057BA"/>
    <w:rsid w:val="00405FBF"/>
    <w:rsid w:val="004077BA"/>
    <w:rsid w:val="00410B47"/>
    <w:rsid w:val="00416315"/>
    <w:rsid w:val="00416E18"/>
    <w:rsid w:val="00421B63"/>
    <w:rsid w:val="004322D9"/>
    <w:rsid w:val="004340FB"/>
    <w:rsid w:val="004351B6"/>
    <w:rsid w:val="00437E9A"/>
    <w:rsid w:val="00442727"/>
    <w:rsid w:val="00446108"/>
    <w:rsid w:val="00447820"/>
    <w:rsid w:val="0045146D"/>
    <w:rsid w:val="00457419"/>
    <w:rsid w:val="00460F3C"/>
    <w:rsid w:val="00462C0B"/>
    <w:rsid w:val="004639C6"/>
    <w:rsid w:val="00466663"/>
    <w:rsid w:val="00471020"/>
    <w:rsid w:val="00471A33"/>
    <w:rsid w:val="00472972"/>
    <w:rsid w:val="00472EA2"/>
    <w:rsid w:val="00474F1B"/>
    <w:rsid w:val="00475DDE"/>
    <w:rsid w:val="0047608A"/>
    <w:rsid w:val="0047630A"/>
    <w:rsid w:val="00476B53"/>
    <w:rsid w:val="00477DD5"/>
    <w:rsid w:val="0048118C"/>
    <w:rsid w:val="00486607"/>
    <w:rsid w:val="00491201"/>
    <w:rsid w:val="00496AC7"/>
    <w:rsid w:val="004A148A"/>
    <w:rsid w:val="004A3F81"/>
    <w:rsid w:val="004B6B1E"/>
    <w:rsid w:val="004B7B30"/>
    <w:rsid w:val="004C4D98"/>
    <w:rsid w:val="004C5CC3"/>
    <w:rsid w:val="004C76F6"/>
    <w:rsid w:val="004D06CE"/>
    <w:rsid w:val="004D1010"/>
    <w:rsid w:val="004D1584"/>
    <w:rsid w:val="004D3F8D"/>
    <w:rsid w:val="004D5903"/>
    <w:rsid w:val="004E23CB"/>
    <w:rsid w:val="004E3B75"/>
    <w:rsid w:val="004F1F0D"/>
    <w:rsid w:val="004F4CBC"/>
    <w:rsid w:val="00504358"/>
    <w:rsid w:val="00507837"/>
    <w:rsid w:val="00511205"/>
    <w:rsid w:val="0051293C"/>
    <w:rsid w:val="005131D3"/>
    <w:rsid w:val="0051597A"/>
    <w:rsid w:val="00522F5B"/>
    <w:rsid w:val="00524935"/>
    <w:rsid w:val="00532C26"/>
    <w:rsid w:val="0054015F"/>
    <w:rsid w:val="00541B5F"/>
    <w:rsid w:val="0054264A"/>
    <w:rsid w:val="005441BC"/>
    <w:rsid w:val="00547FD0"/>
    <w:rsid w:val="00552835"/>
    <w:rsid w:val="005540A8"/>
    <w:rsid w:val="00561668"/>
    <w:rsid w:val="00563BBC"/>
    <w:rsid w:val="00564045"/>
    <w:rsid w:val="00574951"/>
    <w:rsid w:val="0057674D"/>
    <w:rsid w:val="005770F6"/>
    <w:rsid w:val="0058011F"/>
    <w:rsid w:val="00591D11"/>
    <w:rsid w:val="005939E1"/>
    <w:rsid w:val="0059626C"/>
    <w:rsid w:val="005A3B31"/>
    <w:rsid w:val="005A61E1"/>
    <w:rsid w:val="005C203B"/>
    <w:rsid w:val="005C316C"/>
    <w:rsid w:val="005C6764"/>
    <w:rsid w:val="005D0610"/>
    <w:rsid w:val="005D0635"/>
    <w:rsid w:val="005D2241"/>
    <w:rsid w:val="005D460A"/>
    <w:rsid w:val="005D795F"/>
    <w:rsid w:val="005E297C"/>
    <w:rsid w:val="005E3B7F"/>
    <w:rsid w:val="005E4870"/>
    <w:rsid w:val="005E51DE"/>
    <w:rsid w:val="005E5D17"/>
    <w:rsid w:val="005F32F8"/>
    <w:rsid w:val="005F5F5E"/>
    <w:rsid w:val="005F6CDE"/>
    <w:rsid w:val="005F784F"/>
    <w:rsid w:val="006000EF"/>
    <w:rsid w:val="00602319"/>
    <w:rsid w:val="00604F97"/>
    <w:rsid w:val="006129FF"/>
    <w:rsid w:val="00620AA3"/>
    <w:rsid w:val="00624344"/>
    <w:rsid w:val="00625BBF"/>
    <w:rsid w:val="00632A23"/>
    <w:rsid w:val="00640240"/>
    <w:rsid w:val="00643EFF"/>
    <w:rsid w:val="006535F3"/>
    <w:rsid w:val="00654912"/>
    <w:rsid w:val="006556D0"/>
    <w:rsid w:val="0066002C"/>
    <w:rsid w:val="006607DF"/>
    <w:rsid w:val="00663553"/>
    <w:rsid w:val="00663765"/>
    <w:rsid w:val="006643BA"/>
    <w:rsid w:val="006650F1"/>
    <w:rsid w:val="006728ED"/>
    <w:rsid w:val="00677E9A"/>
    <w:rsid w:val="006904AD"/>
    <w:rsid w:val="00690741"/>
    <w:rsid w:val="0069147B"/>
    <w:rsid w:val="00692631"/>
    <w:rsid w:val="006A469D"/>
    <w:rsid w:val="006B2F42"/>
    <w:rsid w:val="006C5069"/>
    <w:rsid w:val="006C5704"/>
    <w:rsid w:val="006C5948"/>
    <w:rsid w:val="006C6A09"/>
    <w:rsid w:val="006C738E"/>
    <w:rsid w:val="006F10AE"/>
    <w:rsid w:val="006F3476"/>
    <w:rsid w:val="006F5984"/>
    <w:rsid w:val="00700FFC"/>
    <w:rsid w:val="007156C8"/>
    <w:rsid w:val="00725DF2"/>
    <w:rsid w:val="0072634E"/>
    <w:rsid w:val="00732FAE"/>
    <w:rsid w:val="0073571A"/>
    <w:rsid w:val="00735981"/>
    <w:rsid w:val="00736282"/>
    <w:rsid w:val="007443FE"/>
    <w:rsid w:val="007463D5"/>
    <w:rsid w:val="007479BC"/>
    <w:rsid w:val="00747A7A"/>
    <w:rsid w:val="00747DCE"/>
    <w:rsid w:val="00747F0B"/>
    <w:rsid w:val="00750B5D"/>
    <w:rsid w:val="00752000"/>
    <w:rsid w:val="0075496C"/>
    <w:rsid w:val="007705AC"/>
    <w:rsid w:val="007710CD"/>
    <w:rsid w:val="0077113A"/>
    <w:rsid w:val="00771C3B"/>
    <w:rsid w:val="0077548A"/>
    <w:rsid w:val="00777AB8"/>
    <w:rsid w:val="0078188A"/>
    <w:rsid w:val="007827DB"/>
    <w:rsid w:val="00783D2A"/>
    <w:rsid w:val="00785651"/>
    <w:rsid w:val="00786B44"/>
    <w:rsid w:val="00787AB5"/>
    <w:rsid w:val="007961EA"/>
    <w:rsid w:val="007B18DB"/>
    <w:rsid w:val="007B347D"/>
    <w:rsid w:val="007C24B5"/>
    <w:rsid w:val="007C544A"/>
    <w:rsid w:val="007D5765"/>
    <w:rsid w:val="007D6872"/>
    <w:rsid w:val="007E0493"/>
    <w:rsid w:val="007E0ECD"/>
    <w:rsid w:val="007E1CEC"/>
    <w:rsid w:val="007E4389"/>
    <w:rsid w:val="007F23AF"/>
    <w:rsid w:val="007F3369"/>
    <w:rsid w:val="007F4979"/>
    <w:rsid w:val="007F62E7"/>
    <w:rsid w:val="00802184"/>
    <w:rsid w:val="00802E5D"/>
    <w:rsid w:val="00805B34"/>
    <w:rsid w:val="00816602"/>
    <w:rsid w:val="00816CD4"/>
    <w:rsid w:val="00816D87"/>
    <w:rsid w:val="008219B3"/>
    <w:rsid w:val="0084167A"/>
    <w:rsid w:val="00842D4B"/>
    <w:rsid w:val="00845789"/>
    <w:rsid w:val="008461F5"/>
    <w:rsid w:val="00852AB7"/>
    <w:rsid w:val="008536DD"/>
    <w:rsid w:val="00861CDC"/>
    <w:rsid w:val="0087053D"/>
    <w:rsid w:val="00875A7B"/>
    <w:rsid w:val="00875FE1"/>
    <w:rsid w:val="008839AA"/>
    <w:rsid w:val="0088699C"/>
    <w:rsid w:val="008871E6"/>
    <w:rsid w:val="008910DF"/>
    <w:rsid w:val="008912F0"/>
    <w:rsid w:val="008A1772"/>
    <w:rsid w:val="008A1F21"/>
    <w:rsid w:val="008B1578"/>
    <w:rsid w:val="008B31F5"/>
    <w:rsid w:val="008B5651"/>
    <w:rsid w:val="008B6006"/>
    <w:rsid w:val="008B601B"/>
    <w:rsid w:val="008C4132"/>
    <w:rsid w:val="008C49FF"/>
    <w:rsid w:val="008C5B21"/>
    <w:rsid w:val="008C758E"/>
    <w:rsid w:val="008D0184"/>
    <w:rsid w:val="008D26A6"/>
    <w:rsid w:val="008D2A80"/>
    <w:rsid w:val="008D3EB4"/>
    <w:rsid w:val="008D6180"/>
    <w:rsid w:val="008E3778"/>
    <w:rsid w:val="008E5AD8"/>
    <w:rsid w:val="008F4E48"/>
    <w:rsid w:val="008F554D"/>
    <w:rsid w:val="0090413D"/>
    <w:rsid w:val="00910358"/>
    <w:rsid w:val="00916DAD"/>
    <w:rsid w:val="00921657"/>
    <w:rsid w:val="009216C4"/>
    <w:rsid w:val="009252DE"/>
    <w:rsid w:val="009323CB"/>
    <w:rsid w:val="00936DF8"/>
    <w:rsid w:val="0094256C"/>
    <w:rsid w:val="00944752"/>
    <w:rsid w:val="0094790E"/>
    <w:rsid w:val="00955AE6"/>
    <w:rsid w:val="00961DA0"/>
    <w:rsid w:val="0096341B"/>
    <w:rsid w:val="00965C21"/>
    <w:rsid w:val="00977428"/>
    <w:rsid w:val="0098771D"/>
    <w:rsid w:val="009913D4"/>
    <w:rsid w:val="00996DFC"/>
    <w:rsid w:val="009A27B0"/>
    <w:rsid w:val="009A547B"/>
    <w:rsid w:val="009B05EB"/>
    <w:rsid w:val="009B0A93"/>
    <w:rsid w:val="009B1B1B"/>
    <w:rsid w:val="009B236D"/>
    <w:rsid w:val="009B5A65"/>
    <w:rsid w:val="009B7886"/>
    <w:rsid w:val="009C02F8"/>
    <w:rsid w:val="009C1B92"/>
    <w:rsid w:val="009C1C78"/>
    <w:rsid w:val="009C47C5"/>
    <w:rsid w:val="009C5879"/>
    <w:rsid w:val="009C69C9"/>
    <w:rsid w:val="009C754B"/>
    <w:rsid w:val="009D6133"/>
    <w:rsid w:val="009D6D7D"/>
    <w:rsid w:val="00A03264"/>
    <w:rsid w:val="00A05ECA"/>
    <w:rsid w:val="00A07482"/>
    <w:rsid w:val="00A07E6C"/>
    <w:rsid w:val="00A1044F"/>
    <w:rsid w:val="00A11C7A"/>
    <w:rsid w:val="00A17419"/>
    <w:rsid w:val="00A213E3"/>
    <w:rsid w:val="00A23567"/>
    <w:rsid w:val="00A23E5A"/>
    <w:rsid w:val="00A24F0B"/>
    <w:rsid w:val="00A257FF"/>
    <w:rsid w:val="00A2663B"/>
    <w:rsid w:val="00A338BE"/>
    <w:rsid w:val="00A36094"/>
    <w:rsid w:val="00A42198"/>
    <w:rsid w:val="00A45A96"/>
    <w:rsid w:val="00A46642"/>
    <w:rsid w:val="00A4713E"/>
    <w:rsid w:val="00A47F14"/>
    <w:rsid w:val="00A50741"/>
    <w:rsid w:val="00A569FB"/>
    <w:rsid w:val="00A57B9A"/>
    <w:rsid w:val="00A61F48"/>
    <w:rsid w:val="00A63DA3"/>
    <w:rsid w:val="00A6565C"/>
    <w:rsid w:val="00A663D5"/>
    <w:rsid w:val="00A671ED"/>
    <w:rsid w:val="00A67470"/>
    <w:rsid w:val="00A71BA9"/>
    <w:rsid w:val="00A7213C"/>
    <w:rsid w:val="00A74C62"/>
    <w:rsid w:val="00A7588A"/>
    <w:rsid w:val="00A75EDE"/>
    <w:rsid w:val="00A75F95"/>
    <w:rsid w:val="00A763CE"/>
    <w:rsid w:val="00A7758F"/>
    <w:rsid w:val="00A808AE"/>
    <w:rsid w:val="00A81F3F"/>
    <w:rsid w:val="00A8243C"/>
    <w:rsid w:val="00A85874"/>
    <w:rsid w:val="00A91810"/>
    <w:rsid w:val="00A95816"/>
    <w:rsid w:val="00A95A10"/>
    <w:rsid w:val="00A96E93"/>
    <w:rsid w:val="00A9738A"/>
    <w:rsid w:val="00A97481"/>
    <w:rsid w:val="00AA3ADF"/>
    <w:rsid w:val="00AA4B26"/>
    <w:rsid w:val="00AA4CEE"/>
    <w:rsid w:val="00AA5C30"/>
    <w:rsid w:val="00AB0B8F"/>
    <w:rsid w:val="00AC19E3"/>
    <w:rsid w:val="00AC23F7"/>
    <w:rsid w:val="00AC2EA0"/>
    <w:rsid w:val="00AC7A92"/>
    <w:rsid w:val="00AD3673"/>
    <w:rsid w:val="00AE28EE"/>
    <w:rsid w:val="00AF02EF"/>
    <w:rsid w:val="00AF2638"/>
    <w:rsid w:val="00AF3379"/>
    <w:rsid w:val="00AF58B1"/>
    <w:rsid w:val="00B01B86"/>
    <w:rsid w:val="00B0245D"/>
    <w:rsid w:val="00B042D7"/>
    <w:rsid w:val="00B0468A"/>
    <w:rsid w:val="00B231CD"/>
    <w:rsid w:val="00B24AC2"/>
    <w:rsid w:val="00B25AD8"/>
    <w:rsid w:val="00B30077"/>
    <w:rsid w:val="00B30204"/>
    <w:rsid w:val="00B316AB"/>
    <w:rsid w:val="00B32E61"/>
    <w:rsid w:val="00B37BF0"/>
    <w:rsid w:val="00B41B7A"/>
    <w:rsid w:val="00B47CB0"/>
    <w:rsid w:val="00B53305"/>
    <w:rsid w:val="00B71D5D"/>
    <w:rsid w:val="00B730C8"/>
    <w:rsid w:val="00B76F4E"/>
    <w:rsid w:val="00B867A6"/>
    <w:rsid w:val="00B87EB6"/>
    <w:rsid w:val="00B95035"/>
    <w:rsid w:val="00B9584F"/>
    <w:rsid w:val="00BA01EE"/>
    <w:rsid w:val="00BA379D"/>
    <w:rsid w:val="00BA5AB4"/>
    <w:rsid w:val="00BB0C6D"/>
    <w:rsid w:val="00BB12C8"/>
    <w:rsid w:val="00BB31F5"/>
    <w:rsid w:val="00BB440C"/>
    <w:rsid w:val="00BB5F29"/>
    <w:rsid w:val="00BC606F"/>
    <w:rsid w:val="00BD0492"/>
    <w:rsid w:val="00BD27E6"/>
    <w:rsid w:val="00BD428B"/>
    <w:rsid w:val="00BD60DE"/>
    <w:rsid w:val="00BD7599"/>
    <w:rsid w:val="00BF09A1"/>
    <w:rsid w:val="00BF3FB1"/>
    <w:rsid w:val="00BF763C"/>
    <w:rsid w:val="00C0043C"/>
    <w:rsid w:val="00C020A2"/>
    <w:rsid w:val="00C03780"/>
    <w:rsid w:val="00C056B8"/>
    <w:rsid w:val="00C10F3D"/>
    <w:rsid w:val="00C15E12"/>
    <w:rsid w:val="00C20F13"/>
    <w:rsid w:val="00C2356B"/>
    <w:rsid w:val="00C23B09"/>
    <w:rsid w:val="00C25755"/>
    <w:rsid w:val="00C31C1A"/>
    <w:rsid w:val="00C467B6"/>
    <w:rsid w:val="00C56D65"/>
    <w:rsid w:val="00C71C36"/>
    <w:rsid w:val="00C75B14"/>
    <w:rsid w:val="00C75BDB"/>
    <w:rsid w:val="00C83638"/>
    <w:rsid w:val="00C83FE4"/>
    <w:rsid w:val="00C85954"/>
    <w:rsid w:val="00C87A0E"/>
    <w:rsid w:val="00C941E9"/>
    <w:rsid w:val="00CA5884"/>
    <w:rsid w:val="00CB0076"/>
    <w:rsid w:val="00CB2BC0"/>
    <w:rsid w:val="00CC122B"/>
    <w:rsid w:val="00CC2B22"/>
    <w:rsid w:val="00CC7DA0"/>
    <w:rsid w:val="00CD0B12"/>
    <w:rsid w:val="00CD2949"/>
    <w:rsid w:val="00CE0ED3"/>
    <w:rsid w:val="00CE4B29"/>
    <w:rsid w:val="00CE752B"/>
    <w:rsid w:val="00CF0C2D"/>
    <w:rsid w:val="00CF5839"/>
    <w:rsid w:val="00CF5CCD"/>
    <w:rsid w:val="00CF79CB"/>
    <w:rsid w:val="00D00860"/>
    <w:rsid w:val="00D03096"/>
    <w:rsid w:val="00D032FF"/>
    <w:rsid w:val="00D1188A"/>
    <w:rsid w:val="00D1247D"/>
    <w:rsid w:val="00D14764"/>
    <w:rsid w:val="00D2030C"/>
    <w:rsid w:val="00D3699A"/>
    <w:rsid w:val="00D4131E"/>
    <w:rsid w:val="00D46B3F"/>
    <w:rsid w:val="00D4756D"/>
    <w:rsid w:val="00D5046D"/>
    <w:rsid w:val="00D523CE"/>
    <w:rsid w:val="00D57911"/>
    <w:rsid w:val="00D57934"/>
    <w:rsid w:val="00D62879"/>
    <w:rsid w:val="00D6395F"/>
    <w:rsid w:val="00D63A42"/>
    <w:rsid w:val="00D644F1"/>
    <w:rsid w:val="00D66817"/>
    <w:rsid w:val="00D71A52"/>
    <w:rsid w:val="00D72846"/>
    <w:rsid w:val="00D729DA"/>
    <w:rsid w:val="00D736BC"/>
    <w:rsid w:val="00D76FCA"/>
    <w:rsid w:val="00D77610"/>
    <w:rsid w:val="00D808F8"/>
    <w:rsid w:val="00D83C15"/>
    <w:rsid w:val="00D858F8"/>
    <w:rsid w:val="00D910D9"/>
    <w:rsid w:val="00D923D1"/>
    <w:rsid w:val="00D955F4"/>
    <w:rsid w:val="00D96163"/>
    <w:rsid w:val="00DA0660"/>
    <w:rsid w:val="00DA1809"/>
    <w:rsid w:val="00DA1CA7"/>
    <w:rsid w:val="00DA1FD9"/>
    <w:rsid w:val="00DA3F43"/>
    <w:rsid w:val="00DB284B"/>
    <w:rsid w:val="00DC2C25"/>
    <w:rsid w:val="00DC4A37"/>
    <w:rsid w:val="00DC5ED5"/>
    <w:rsid w:val="00DF2996"/>
    <w:rsid w:val="00E0001A"/>
    <w:rsid w:val="00E14BBE"/>
    <w:rsid w:val="00E1713B"/>
    <w:rsid w:val="00E2056F"/>
    <w:rsid w:val="00E20CFD"/>
    <w:rsid w:val="00E212B8"/>
    <w:rsid w:val="00E21569"/>
    <w:rsid w:val="00E23FA3"/>
    <w:rsid w:val="00E24264"/>
    <w:rsid w:val="00E32B96"/>
    <w:rsid w:val="00E3692D"/>
    <w:rsid w:val="00E4053B"/>
    <w:rsid w:val="00E4118C"/>
    <w:rsid w:val="00E56C7B"/>
    <w:rsid w:val="00E64816"/>
    <w:rsid w:val="00E72971"/>
    <w:rsid w:val="00E746A7"/>
    <w:rsid w:val="00E76679"/>
    <w:rsid w:val="00E81177"/>
    <w:rsid w:val="00E829C0"/>
    <w:rsid w:val="00E85C86"/>
    <w:rsid w:val="00E86834"/>
    <w:rsid w:val="00E9478C"/>
    <w:rsid w:val="00E96C7F"/>
    <w:rsid w:val="00EA22BA"/>
    <w:rsid w:val="00EA6B5A"/>
    <w:rsid w:val="00EB08B2"/>
    <w:rsid w:val="00EB1950"/>
    <w:rsid w:val="00EB1E60"/>
    <w:rsid w:val="00EB1F3E"/>
    <w:rsid w:val="00EB46DC"/>
    <w:rsid w:val="00EC0C39"/>
    <w:rsid w:val="00EC112D"/>
    <w:rsid w:val="00EC5E48"/>
    <w:rsid w:val="00EC6877"/>
    <w:rsid w:val="00ED78FB"/>
    <w:rsid w:val="00EE11D3"/>
    <w:rsid w:val="00EE3A33"/>
    <w:rsid w:val="00EE4449"/>
    <w:rsid w:val="00EE4DBE"/>
    <w:rsid w:val="00EF77BF"/>
    <w:rsid w:val="00F0670F"/>
    <w:rsid w:val="00F140FE"/>
    <w:rsid w:val="00F1564A"/>
    <w:rsid w:val="00F17923"/>
    <w:rsid w:val="00F17FF8"/>
    <w:rsid w:val="00F20E0E"/>
    <w:rsid w:val="00F20E2F"/>
    <w:rsid w:val="00F26E00"/>
    <w:rsid w:val="00F27C34"/>
    <w:rsid w:val="00F31775"/>
    <w:rsid w:val="00F32FD3"/>
    <w:rsid w:val="00F36A35"/>
    <w:rsid w:val="00F50E6B"/>
    <w:rsid w:val="00F512DA"/>
    <w:rsid w:val="00F607A1"/>
    <w:rsid w:val="00F61D64"/>
    <w:rsid w:val="00F62439"/>
    <w:rsid w:val="00F633A3"/>
    <w:rsid w:val="00F6597D"/>
    <w:rsid w:val="00F65A53"/>
    <w:rsid w:val="00F7586C"/>
    <w:rsid w:val="00F809AD"/>
    <w:rsid w:val="00F81C16"/>
    <w:rsid w:val="00F848A8"/>
    <w:rsid w:val="00F90FB1"/>
    <w:rsid w:val="00FA2E16"/>
    <w:rsid w:val="00FA41F5"/>
    <w:rsid w:val="00FA72A2"/>
    <w:rsid w:val="00FB1633"/>
    <w:rsid w:val="00FB5310"/>
    <w:rsid w:val="00FC4C30"/>
    <w:rsid w:val="00FC7236"/>
    <w:rsid w:val="00FC7CEB"/>
    <w:rsid w:val="00FD391D"/>
    <w:rsid w:val="00FD394F"/>
    <w:rsid w:val="00FD4D6F"/>
    <w:rsid w:val="00FE4562"/>
    <w:rsid w:val="00FE65F9"/>
    <w:rsid w:val="00FE7148"/>
    <w:rsid w:val="00FF59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7B1BC"/>
  <w15:docId w15:val="{4EA134FD-4AEE-4352-8C86-9610CDD3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vaden tekst"/>
    <w:qFormat/>
    <w:rsid w:val="00B231CD"/>
    <w:pPr>
      <w:spacing w:after="0" w:line="240" w:lineRule="auto"/>
    </w:pPr>
    <w:rPr>
      <w:rFonts w:ascii="Times New Roman" w:eastAsia="Times New Roman" w:hAnsi="Times New Roman" w:cs="Times New Roman"/>
      <w:sz w:val="24"/>
      <w:szCs w:val="20"/>
      <w:lang w:val="en-US" w:eastAsia="sl-SI"/>
    </w:rPr>
  </w:style>
  <w:style w:type="paragraph" w:styleId="Naslov1">
    <w:name w:val="heading 1"/>
    <w:basedOn w:val="Navaden"/>
    <w:next w:val="Navaden"/>
    <w:link w:val="Naslov1Znak"/>
    <w:uiPriority w:val="9"/>
    <w:qFormat/>
    <w:rsid w:val="00E14B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qFormat/>
    <w:rsid w:val="00E14BBE"/>
    <w:pPr>
      <w:keepNext/>
      <w:spacing w:before="240" w:after="240"/>
      <w:jc w:val="center"/>
      <w:outlineLvl w:val="1"/>
    </w:pPr>
    <w:rPr>
      <w:b/>
      <w:sz w:val="22"/>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B231CD"/>
    <w:pPr>
      <w:tabs>
        <w:tab w:val="center" w:pos="4536"/>
        <w:tab w:val="right" w:pos="9072"/>
      </w:tabs>
    </w:pPr>
  </w:style>
  <w:style w:type="character" w:customStyle="1" w:styleId="GlavaZnak">
    <w:name w:val="Glava Znak"/>
    <w:basedOn w:val="Privzetapisavaodstavka"/>
    <w:link w:val="Glava"/>
    <w:rsid w:val="00B231CD"/>
    <w:rPr>
      <w:rFonts w:ascii="Times New Roman" w:eastAsia="Times New Roman" w:hAnsi="Times New Roman" w:cs="Times New Roman"/>
      <w:sz w:val="24"/>
      <w:szCs w:val="20"/>
      <w:lang w:val="en-US" w:eastAsia="sl-SI"/>
    </w:rPr>
  </w:style>
  <w:style w:type="paragraph" w:customStyle="1" w:styleId="zadeva">
    <w:name w:val="zadeva"/>
    <w:basedOn w:val="Navaden"/>
    <w:next w:val="Navaden"/>
    <w:rsid w:val="00B231CD"/>
    <w:pPr>
      <w:spacing w:before="1920" w:after="720"/>
    </w:pPr>
    <w:rPr>
      <w:b/>
    </w:rPr>
  </w:style>
  <w:style w:type="paragraph" w:customStyle="1" w:styleId="naslovnik">
    <w:name w:val="naslovnik"/>
    <w:basedOn w:val="Navaden"/>
    <w:rsid w:val="00B231CD"/>
    <w:pPr>
      <w:ind w:right="418"/>
      <w:jc w:val="both"/>
    </w:pPr>
    <w:rPr>
      <w:b/>
    </w:rPr>
  </w:style>
  <w:style w:type="paragraph" w:styleId="Noga">
    <w:name w:val="footer"/>
    <w:basedOn w:val="Navaden"/>
    <w:link w:val="NogaZnak"/>
    <w:uiPriority w:val="99"/>
    <w:rsid w:val="00B231CD"/>
    <w:pPr>
      <w:tabs>
        <w:tab w:val="center" w:pos="4536"/>
        <w:tab w:val="right" w:pos="9072"/>
      </w:tabs>
    </w:pPr>
  </w:style>
  <w:style w:type="character" w:customStyle="1" w:styleId="NogaZnak">
    <w:name w:val="Noga Znak"/>
    <w:basedOn w:val="Privzetapisavaodstavka"/>
    <w:link w:val="Noga"/>
    <w:uiPriority w:val="99"/>
    <w:rsid w:val="00B231CD"/>
    <w:rPr>
      <w:rFonts w:ascii="Times New Roman" w:eastAsia="Times New Roman" w:hAnsi="Times New Roman" w:cs="Times New Roman"/>
      <w:sz w:val="24"/>
      <w:szCs w:val="20"/>
      <w:lang w:val="en-US" w:eastAsia="sl-SI"/>
    </w:rPr>
  </w:style>
  <w:style w:type="paragraph" w:styleId="Besedilooblaka">
    <w:name w:val="Balloon Text"/>
    <w:basedOn w:val="Navaden"/>
    <w:link w:val="BesedilooblakaZnak"/>
    <w:uiPriority w:val="99"/>
    <w:semiHidden/>
    <w:unhideWhenUsed/>
    <w:rsid w:val="00B231C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231CD"/>
    <w:rPr>
      <w:rFonts w:ascii="Tahoma" w:eastAsia="Times New Roman" w:hAnsi="Tahoma" w:cs="Tahoma"/>
      <w:sz w:val="16"/>
      <w:szCs w:val="16"/>
      <w:lang w:val="en-US" w:eastAsia="sl-SI"/>
    </w:rPr>
  </w:style>
  <w:style w:type="paragraph" w:styleId="Odstavekseznama">
    <w:name w:val="List Paragraph"/>
    <w:basedOn w:val="Navaden"/>
    <w:uiPriority w:val="34"/>
    <w:qFormat/>
    <w:rsid w:val="00D1247D"/>
    <w:pPr>
      <w:ind w:left="720"/>
      <w:contextualSpacing/>
    </w:pPr>
  </w:style>
  <w:style w:type="table" w:styleId="Tabelamrea">
    <w:name w:val="Table Grid"/>
    <w:basedOn w:val="Navadnatabela"/>
    <w:uiPriority w:val="59"/>
    <w:rsid w:val="0051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48118C"/>
    <w:rPr>
      <w:color w:val="0000FF" w:themeColor="hyperlink"/>
      <w:u w:val="single"/>
    </w:rPr>
  </w:style>
  <w:style w:type="paragraph" w:customStyle="1" w:styleId="CharChar">
    <w:name w:val="Char Char"/>
    <w:basedOn w:val="Navaden"/>
    <w:autoRedefine/>
    <w:rsid w:val="00654912"/>
    <w:pPr>
      <w:tabs>
        <w:tab w:val="left" w:pos="500"/>
      </w:tabs>
      <w:spacing w:after="120"/>
    </w:pPr>
    <w:rPr>
      <w:rFonts w:ascii="Tahoma" w:hAnsi="Tahoma"/>
      <w:sz w:val="20"/>
      <w:lang w:eastAsia="en-US"/>
    </w:rPr>
  </w:style>
  <w:style w:type="paragraph" w:styleId="Telobesedila">
    <w:name w:val="Body Text"/>
    <w:basedOn w:val="Navaden"/>
    <w:link w:val="TelobesedilaZnak"/>
    <w:rsid w:val="00996DFC"/>
    <w:pPr>
      <w:spacing w:after="120"/>
      <w:jc w:val="both"/>
    </w:pPr>
    <w:rPr>
      <w:lang w:val="sl-SI" w:eastAsia="en-US"/>
    </w:rPr>
  </w:style>
  <w:style w:type="character" w:customStyle="1" w:styleId="TelobesedilaZnak">
    <w:name w:val="Telo besedila Znak"/>
    <w:basedOn w:val="Privzetapisavaodstavka"/>
    <w:link w:val="Telobesedila"/>
    <w:rsid w:val="00996DFC"/>
    <w:rPr>
      <w:rFonts w:ascii="Times New Roman" w:eastAsia="Times New Roman" w:hAnsi="Times New Roman" w:cs="Times New Roman"/>
      <w:sz w:val="24"/>
      <w:szCs w:val="20"/>
    </w:rPr>
  </w:style>
  <w:style w:type="character" w:styleId="Pripombasklic">
    <w:name w:val="annotation reference"/>
    <w:semiHidden/>
    <w:rsid w:val="00996DFC"/>
    <w:rPr>
      <w:sz w:val="16"/>
      <w:szCs w:val="16"/>
    </w:rPr>
  </w:style>
  <w:style w:type="paragraph" w:styleId="Pripombabesedilo">
    <w:name w:val="annotation text"/>
    <w:basedOn w:val="Navaden"/>
    <w:link w:val="PripombabesediloZnak"/>
    <w:semiHidden/>
    <w:rsid w:val="00996DFC"/>
    <w:pPr>
      <w:spacing w:after="120"/>
      <w:jc w:val="both"/>
    </w:pPr>
    <w:rPr>
      <w:sz w:val="20"/>
      <w:lang w:val="sl-SI" w:eastAsia="en-US"/>
    </w:rPr>
  </w:style>
  <w:style w:type="character" w:customStyle="1" w:styleId="PripombabesediloZnak">
    <w:name w:val="Pripomba – besedilo Znak"/>
    <w:basedOn w:val="Privzetapisavaodstavka"/>
    <w:link w:val="Pripombabesedilo"/>
    <w:semiHidden/>
    <w:rsid w:val="00996DFC"/>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F27C34"/>
    <w:pPr>
      <w:spacing w:after="0"/>
      <w:jc w:val="left"/>
    </w:pPr>
    <w:rPr>
      <w:b/>
      <w:bCs/>
      <w:lang w:val="en-US" w:eastAsia="sl-SI"/>
    </w:rPr>
  </w:style>
  <w:style w:type="character" w:customStyle="1" w:styleId="ZadevapripombeZnak">
    <w:name w:val="Zadeva pripombe Znak"/>
    <w:basedOn w:val="PripombabesediloZnak"/>
    <w:link w:val="Zadevapripombe"/>
    <w:uiPriority w:val="99"/>
    <w:semiHidden/>
    <w:rsid w:val="00F27C34"/>
    <w:rPr>
      <w:rFonts w:ascii="Times New Roman" w:eastAsia="Times New Roman" w:hAnsi="Times New Roman" w:cs="Times New Roman"/>
      <w:b/>
      <w:bCs/>
      <w:sz w:val="20"/>
      <w:szCs w:val="20"/>
      <w:lang w:val="en-US" w:eastAsia="sl-SI"/>
    </w:rPr>
  </w:style>
  <w:style w:type="character" w:customStyle="1" w:styleId="Naslov2Znak">
    <w:name w:val="Naslov 2 Znak"/>
    <w:basedOn w:val="Privzetapisavaodstavka"/>
    <w:link w:val="Naslov2"/>
    <w:rsid w:val="00E14BBE"/>
    <w:rPr>
      <w:rFonts w:ascii="Times New Roman" w:eastAsia="Times New Roman" w:hAnsi="Times New Roman" w:cs="Times New Roman"/>
      <w:b/>
      <w:szCs w:val="20"/>
    </w:rPr>
  </w:style>
  <w:style w:type="character" w:customStyle="1" w:styleId="Naslov1Znak">
    <w:name w:val="Naslov 1 Znak"/>
    <w:basedOn w:val="Privzetapisavaodstavka"/>
    <w:link w:val="Naslov1"/>
    <w:uiPriority w:val="9"/>
    <w:rsid w:val="00E14BBE"/>
    <w:rPr>
      <w:rFonts w:asciiTheme="majorHAnsi" w:eastAsiaTheme="majorEastAsia" w:hAnsiTheme="majorHAnsi" w:cstheme="majorBidi"/>
      <w:b/>
      <w:bCs/>
      <w:color w:val="365F91" w:themeColor="accent1" w:themeShade="BF"/>
      <w:sz w:val="28"/>
      <w:szCs w:val="28"/>
      <w:lang w:val="en-US" w:eastAsia="sl-SI"/>
    </w:rPr>
  </w:style>
  <w:style w:type="paragraph" w:customStyle="1" w:styleId="SlogNaslov2Arial">
    <w:name w:val="Slog Naslov 2 + Arial"/>
    <w:basedOn w:val="Naslov2"/>
    <w:link w:val="SlogNaslov2ArialZnakZnak"/>
    <w:autoRedefine/>
    <w:rsid w:val="00E14BBE"/>
    <w:pPr>
      <w:tabs>
        <w:tab w:val="left" w:pos="1134"/>
      </w:tabs>
      <w:spacing w:after="60"/>
      <w:jc w:val="left"/>
    </w:pPr>
    <w:rPr>
      <w:rFonts w:ascii="Arial" w:hAnsi="Arial"/>
      <w:bCs/>
      <w:lang w:eastAsia="sl-SI"/>
    </w:rPr>
  </w:style>
  <w:style w:type="character" w:customStyle="1" w:styleId="SlogNaslov2ArialZnakZnak">
    <w:name w:val="Slog Naslov 2 + Arial Znak Znak"/>
    <w:basedOn w:val="Naslov2Znak"/>
    <w:link w:val="SlogNaslov2Arial"/>
    <w:rsid w:val="00E14BBE"/>
    <w:rPr>
      <w:rFonts w:ascii="Arial" w:eastAsia="Times New Roman" w:hAnsi="Arial" w:cs="Times New Roman"/>
      <w:b/>
      <w:bCs/>
      <w:szCs w:val="20"/>
      <w:lang w:eastAsia="sl-SI"/>
    </w:rPr>
  </w:style>
  <w:style w:type="character" w:customStyle="1" w:styleId="apple-converted-space">
    <w:name w:val="apple-converted-space"/>
    <w:rsid w:val="002A7031"/>
  </w:style>
  <w:style w:type="paragraph" w:styleId="Sprotnaopomba-besedilo">
    <w:name w:val="footnote text"/>
    <w:basedOn w:val="Navaden"/>
    <w:link w:val="Sprotnaopomba-besediloZnak"/>
    <w:semiHidden/>
    <w:rsid w:val="00225809"/>
    <w:pPr>
      <w:spacing w:before="40" w:after="40"/>
    </w:pPr>
    <w:rPr>
      <w:rFonts w:ascii="Garamond MT" w:eastAsia="MS Mincho" w:hAnsi="Garamond MT"/>
      <w:sz w:val="20"/>
      <w:lang w:val="en-GB"/>
    </w:rPr>
  </w:style>
  <w:style w:type="character" w:customStyle="1" w:styleId="Sprotnaopomba-besediloZnak">
    <w:name w:val="Sprotna opomba - besedilo Znak"/>
    <w:basedOn w:val="Privzetapisavaodstavka"/>
    <w:link w:val="Sprotnaopomba-besedilo"/>
    <w:semiHidden/>
    <w:rsid w:val="00225809"/>
    <w:rPr>
      <w:rFonts w:ascii="Garamond MT" w:eastAsia="MS Mincho" w:hAnsi="Garamond MT" w:cs="Times New Roman"/>
      <w:sz w:val="20"/>
      <w:szCs w:val="20"/>
      <w:lang w:val="en-GB" w:eastAsia="sl-SI"/>
    </w:rPr>
  </w:style>
  <w:style w:type="character" w:styleId="Sprotnaopomba-sklic">
    <w:name w:val="footnote reference"/>
    <w:semiHidden/>
    <w:rsid w:val="00225809"/>
    <w:rPr>
      <w:b/>
      <w:color w:val="FF0000"/>
      <w:sz w:val="24"/>
      <w:vertAlign w:val="superscript"/>
    </w:rPr>
  </w:style>
  <w:style w:type="character" w:styleId="Nerazreenaomemba">
    <w:name w:val="Unresolved Mention"/>
    <w:basedOn w:val="Privzetapisavaodstavka"/>
    <w:uiPriority w:val="99"/>
    <w:semiHidden/>
    <w:unhideWhenUsed/>
    <w:rsid w:val="004057BA"/>
    <w:rPr>
      <w:color w:val="605E5C"/>
      <w:shd w:val="clear" w:color="auto" w:fill="E1DFDD"/>
    </w:rPr>
  </w:style>
  <w:style w:type="paragraph" w:customStyle="1" w:styleId="SlogArialObojestranskoPred6pt">
    <w:name w:val="Slog Arial Obojestransko Pred:  6 pt"/>
    <w:basedOn w:val="Navaden"/>
    <w:rsid w:val="00A95816"/>
    <w:pPr>
      <w:spacing w:before="120"/>
      <w:jc w:val="both"/>
    </w:pPr>
    <w:rPr>
      <w:rFonts w:ascii="Arial" w:hAnsi="Arial"/>
      <w:sz w:val="22"/>
      <w:lang w:val="sl-SI" w:eastAsia="en-US"/>
    </w:rPr>
  </w:style>
  <w:style w:type="paragraph" w:styleId="Naslov">
    <w:name w:val="Title"/>
    <w:basedOn w:val="Navaden"/>
    <w:next w:val="Navaden"/>
    <w:link w:val="NaslovZnak"/>
    <w:uiPriority w:val="10"/>
    <w:qFormat/>
    <w:rsid w:val="001B3014"/>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B3014"/>
    <w:rPr>
      <w:rFonts w:asciiTheme="majorHAnsi" w:eastAsiaTheme="majorEastAsia" w:hAnsiTheme="majorHAnsi" w:cstheme="majorBidi"/>
      <w:spacing w:val="-10"/>
      <w:kern w:val="28"/>
      <w:sz w:val="56"/>
      <w:szCs w:val="56"/>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FF952531D677F743A1C5CD68EFCD3CEA" ma:contentTypeVersion="14" ma:contentTypeDescription="Create a new document." ma:contentTypeScope="" ma:versionID="a6a74f54ad555412897fdf9fa7c7c7f7">
  <xsd:schema xmlns:xsd="http://www.w3.org/2001/XMLSchema" xmlns:xs="http://www.w3.org/2001/XMLSchema" xmlns:p="http://schemas.microsoft.com/office/2006/metadata/properties" xmlns:ns1="http://schemas.microsoft.com/sharepoint/v3" xmlns:ns2="edede7c8-842a-4b9e-bc2e-e8cf41011bb6" xmlns:ns3="ce82f350-ac46-488d-a29f-1396886f2f8b" xmlns:ns4="46fe432f-8c80-4df1-9847-fc8ad5081bcb" targetNamespace="http://schemas.microsoft.com/office/2006/metadata/properties" ma:root="true" ma:fieldsID="2ed4069d1e729ad5c6fba09ffa9b9d6d" ns1:_="" ns2:_="" ns3:_="" ns4:_="">
    <xsd:import namespace="http://schemas.microsoft.com/sharepoint/v3"/>
    <xsd:import namespace="edede7c8-842a-4b9e-bc2e-e8cf41011bb6"/>
    <xsd:import namespace="ce82f350-ac46-488d-a29f-1396886f2f8b"/>
    <xsd:import namespace="46fe432f-8c80-4df1-9847-fc8ad5081b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1:PublishingStartDate" minOccurs="0"/>
                <xsd:element ref="ns1:PublishingExpirationDate" minOccurs="0"/>
                <xsd:element ref="ns3:_Flow_SignoffStatu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ede7c8-842a-4b9e-bc2e-e8cf41011b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82f350-ac46-488d-a29f-1396886f2f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7" nillable="true" ma:displayName="Sign-off status" ma:internalName="_x0024_Resources_x003a_core_x002c_Signoff_Status_x003b_">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e432f-8c80-4df1-9847-fc8ad5081b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Flow_SignoffStatus xmlns="ce82f350-ac46-488d-a29f-1396886f2f8b"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3BC5-76FB-498B-BB91-988045692BE2}">
  <ds:schemaRefs>
    <ds:schemaRef ds:uri="http://schemas.microsoft.com/sharepoint/events"/>
  </ds:schemaRefs>
</ds:datastoreItem>
</file>

<file path=customXml/itemProps2.xml><?xml version="1.0" encoding="utf-8"?>
<ds:datastoreItem xmlns:ds="http://schemas.openxmlformats.org/officeDocument/2006/customXml" ds:itemID="{276BED42-E0C3-4C02-B93C-D1A584D47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ede7c8-842a-4b9e-bc2e-e8cf41011bb6"/>
    <ds:schemaRef ds:uri="ce82f350-ac46-488d-a29f-1396886f2f8b"/>
    <ds:schemaRef ds:uri="46fe432f-8c80-4df1-9847-fc8ad5081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56FD0-6062-450B-BB74-E0C004E21D09}">
  <ds:schemaRefs>
    <ds:schemaRef ds:uri="edede7c8-842a-4b9e-bc2e-e8cf41011bb6"/>
    <ds:schemaRef ds:uri="http://schemas.microsoft.com/office/infopath/2007/PartnerControls"/>
    <ds:schemaRef ds:uri="http://purl.org/dc/elements/1.1/"/>
    <ds:schemaRef ds:uri="http://schemas.microsoft.com/office/2006/metadata/properties"/>
    <ds:schemaRef ds:uri="ce82f350-ac46-488d-a29f-1396886f2f8b"/>
    <ds:schemaRef ds:uri="http://purl.org/dc/terms/"/>
    <ds:schemaRef ds:uri="46fe432f-8c80-4df1-9847-fc8ad5081bcb"/>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E687989-8453-4D99-9D6C-826116327A7C}">
  <ds:schemaRefs>
    <ds:schemaRef ds:uri="http://schemas.microsoft.com/sharepoint/v3/contenttype/forms"/>
  </ds:schemaRefs>
</ds:datastoreItem>
</file>

<file path=customXml/itemProps5.xml><?xml version="1.0" encoding="utf-8"?>
<ds:datastoreItem xmlns:ds="http://schemas.openxmlformats.org/officeDocument/2006/customXml" ds:itemID="{F53E5DA4-1A05-4D40-B631-C91E39ED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4470</Words>
  <Characters>25483</Characters>
  <Application>Microsoft Office Word</Application>
  <DocSecurity>4</DocSecurity>
  <Lines>212</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Agencija za radioaktivne odpadke</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 Lukanović</dc:creator>
  <cp:lastModifiedBy>Anja Grabner</cp:lastModifiedBy>
  <cp:revision>2</cp:revision>
  <cp:lastPrinted>2020-11-13T10:31:00Z</cp:lastPrinted>
  <dcterms:created xsi:type="dcterms:W3CDTF">2021-01-08T11:57:00Z</dcterms:created>
  <dcterms:modified xsi:type="dcterms:W3CDTF">2021-01-08T11:57:00Z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0x010100FF952531D677F743A1C5CD68EFCD3CEA</vt:lpwstr>
  </property>
</Properties>
</file>