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79EE" w14:textId="0377146A" w:rsidR="003F3CBA" w:rsidRPr="00B20D1A" w:rsidRDefault="003F3CBA" w:rsidP="00C3139F">
      <w:pPr>
        <w:jc w:val="center"/>
        <w:rPr>
          <w:rFonts w:cstheme="minorHAnsi"/>
          <w:b/>
          <w:bCs/>
        </w:rPr>
      </w:pPr>
      <w:r w:rsidRPr="00B20D1A">
        <w:rPr>
          <w:rFonts w:cstheme="minorHAnsi"/>
          <w:b/>
          <w:bCs/>
          <w:sz w:val="24"/>
          <w:szCs w:val="24"/>
        </w:rPr>
        <w:t>PREGLED PODANIH PRIPOMB IZ JAVNE OBRAVNAVE IN ODGOVORI</w:t>
      </w:r>
    </w:p>
    <w:p w14:paraId="162C4595" w14:textId="77777777" w:rsidR="00B20D1A" w:rsidRPr="003F3CBA" w:rsidRDefault="00B20D1A" w:rsidP="003F3CBA">
      <w:pPr>
        <w:jc w:val="center"/>
        <w:rPr>
          <w:b/>
          <w:bCs/>
        </w:rPr>
      </w:pPr>
    </w:p>
    <w:p w14:paraId="1FA6FFD9" w14:textId="712D939D" w:rsidR="003F3CBA" w:rsidRPr="00DA2804" w:rsidRDefault="00B20D1A" w:rsidP="00B20D1A">
      <w:pPr>
        <w:jc w:val="center"/>
        <w:rPr>
          <w:b/>
          <w:bCs/>
          <w:sz w:val="24"/>
          <w:szCs w:val="24"/>
        </w:rPr>
      </w:pPr>
      <w:r w:rsidRPr="00DA2804">
        <w:rPr>
          <w:b/>
          <w:bCs/>
          <w:sz w:val="24"/>
          <w:szCs w:val="24"/>
        </w:rPr>
        <w:t xml:space="preserve">I. </w:t>
      </w:r>
      <w:r w:rsidR="003F3CBA" w:rsidRPr="00DA2804">
        <w:rPr>
          <w:b/>
          <w:bCs/>
          <w:sz w:val="24"/>
          <w:szCs w:val="24"/>
        </w:rPr>
        <w:t>Uredba o načinu in pogojih izvajanja obvezne državne gospodarske javne službe za ravnanje z radioaktivnimi odpadki – javna obravnava november 2020</w:t>
      </w:r>
    </w:p>
    <w:p w14:paraId="5F9FF001" w14:textId="77777777" w:rsidR="00B20D1A" w:rsidRDefault="00B20D1A" w:rsidP="00B20D1A">
      <w:pPr>
        <w:jc w:val="center"/>
        <w:rPr>
          <w:b/>
          <w:bCs/>
        </w:rPr>
      </w:pPr>
    </w:p>
    <w:tbl>
      <w:tblPr>
        <w:tblStyle w:val="Tabelamrea"/>
        <w:tblW w:w="0" w:type="auto"/>
        <w:tblLook w:val="04A0" w:firstRow="1" w:lastRow="0" w:firstColumn="1" w:lastColumn="0" w:noHBand="0" w:noVBand="1"/>
      </w:tblPr>
      <w:tblGrid>
        <w:gridCol w:w="4253"/>
        <w:gridCol w:w="7508"/>
        <w:gridCol w:w="1350"/>
      </w:tblGrid>
      <w:tr w:rsidR="00AC1C47" w14:paraId="0C5D6C05" w14:textId="3F186145" w:rsidTr="007826E5">
        <w:trPr>
          <w:trHeight w:val="626"/>
        </w:trPr>
        <w:tc>
          <w:tcPr>
            <w:tcW w:w="4253" w:type="dxa"/>
            <w:shd w:val="clear" w:color="auto" w:fill="D9E2F3" w:themeFill="accent1" w:themeFillTint="33"/>
          </w:tcPr>
          <w:p w14:paraId="28D4CC95" w14:textId="0B88434D" w:rsidR="00AC1C47" w:rsidRDefault="00AC1C47" w:rsidP="00B20D1A">
            <w:pPr>
              <w:spacing w:before="240"/>
              <w:jc w:val="center"/>
              <w:rPr>
                <w:b/>
                <w:bCs/>
              </w:rPr>
            </w:pPr>
            <w:r>
              <w:rPr>
                <w:b/>
                <w:bCs/>
              </w:rPr>
              <w:t>PREDLOG SPREMEMBE PREDLAGATELJA</w:t>
            </w:r>
          </w:p>
        </w:tc>
        <w:tc>
          <w:tcPr>
            <w:tcW w:w="7508" w:type="dxa"/>
            <w:shd w:val="clear" w:color="auto" w:fill="D9E2F3" w:themeFill="accent1" w:themeFillTint="33"/>
          </w:tcPr>
          <w:p w14:paraId="06B94374" w14:textId="6CF93CF5" w:rsidR="00AC1C47" w:rsidRDefault="00AC1C47" w:rsidP="00B20D1A">
            <w:pPr>
              <w:spacing w:before="240"/>
              <w:jc w:val="center"/>
              <w:rPr>
                <w:b/>
                <w:bCs/>
              </w:rPr>
            </w:pPr>
            <w:r>
              <w:rPr>
                <w:b/>
                <w:bCs/>
              </w:rPr>
              <w:t>STALIŠČE/ UTEMELJITEV</w:t>
            </w:r>
          </w:p>
        </w:tc>
        <w:tc>
          <w:tcPr>
            <w:tcW w:w="1057" w:type="dxa"/>
            <w:shd w:val="clear" w:color="auto" w:fill="D9E2F3" w:themeFill="accent1" w:themeFillTint="33"/>
          </w:tcPr>
          <w:p w14:paraId="2558770C" w14:textId="3132E406" w:rsidR="00AC1C47" w:rsidRDefault="00AC1C47" w:rsidP="00B20D1A">
            <w:pPr>
              <w:spacing w:before="240"/>
              <w:jc w:val="center"/>
              <w:rPr>
                <w:b/>
                <w:bCs/>
              </w:rPr>
            </w:pPr>
            <w:r>
              <w:rPr>
                <w:b/>
                <w:bCs/>
              </w:rPr>
              <w:t>REŠITEV</w:t>
            </w:r>
          </w:p>
        </w:tc>
      </w:tr>
      <w:tr w:rsidR="00AC1C47" w14:paraId="0815DDEC" w14:textId="4DDBDF2D" w:rsidTr="007826E5">
        <w:tc>
          <w:tcPr>
            <w:tcW w:w="4253" w:type="dxa"/>
          </w:tcPr>
          <w:p w14:paraId="42EF475C" w14:textId="0862844A" w:rsidR="00AC1C47" w:rsidRDefault="00AC1C47" w:rsidP="003F3CBA">
            <w:pPr>
              <w:rPr>
                <w:rFonts w:ascii="Calibri" w:hAnsi="Calibri" w:cs="Calibri"/>
                <w:color w:val="000000"/>
              </w:rPr>
            </w:pPr>
            <w:r>
              <w:rPr>
                <w:rFonts w:ascii="Calibri" w:hAnsi="Calibri" w:cs="Calibri"/>
                <w:color w:val="000000"/>
              </w:rPr>
              <w:t>Predlagamo, da se 4. točka, 1. odstavka, 5. člena (naloge javne službe ravnanja z RAO) spremeni tako, da se glasi: »obdelava in priprava končnih odlagalnih paketov za prevzem in odlaganje radioaktivnih odpadkov«.</w:t>
            </w:r>
            <w:r>
              <w:rPr>
                <w:rFonts w:ascii="Calibri" w:hAnsi="Calibri" w:cs="Calibri"/>
                <w:color w:val="000000"/>
              </w:rPr>
              <w:br/>
              <w:t xml:space="preserve">Obrazložitev: Sedaj predlagano besedilo ni dovolj jasno in je lahko zavajajoče ter je v nasprotju s 2. točko, 1. odstavka, 4. člena predloga uredbe oziroma 2. točko, 3. odstavka, 122. člena ZVISJV - 1, ki določata, da obvezna državna gospodarska javna služba za ravnanje z radioaktivnimi odpadki obsega predelavo radioaktivnih odpadkov in izrabljenega goriva pred odlaganjem. ARAO mora namreč NSRAO iz NEK prevzeti v obliki, ki je skladna s kriteriji za dolgoročno skladiščenje. Za morebitno dodatno </w:t>
            </w:r>
            <w:r>
              <w:rPr>
                <w:rFonts w:ascii="Calibri" w:hAnsi="Calibri" w:cs="Calibri"/>
                <w:color w:val="000000"/>
              </w:rPr>
              <w:lastRenderedPageBreak/>
              <w:t>obdelavo in pripravo za odlaganje v skladu s kriteriji sprejemljivosti za odlaganje, ki pa še niso sprejeti/odobreni, je po ZVISJV odgovoren ARAO. V NEK tudi ne obstaja poseben prostor in oprema za obdelavo odpada.</w:t>
            </w:r>
          </w:p>
          <w:p w14:paraId="64B34923" w14:textId="77777777" w:rsidR="00AC1C47" w:rsidRDefault="00AC1C47" w:rsidP="003F3CBA">
            <w:pPr>
              <w:rPr>
                <w:b/>
                <w:bCs/>
              </w:rPr>
            </w:pPr>
          </w:p>
        </w:tc>
        <w:tc>
          <w:tcPr>
            <w:tcW w:w="7508" w:type="dxa"/>
          </w:tcPr>
          <w:p w14:paraId="4D09B29C" w14:textId="68997679" w:rsidR="00AC1C47" w:rsidRPr="003F3CBA" w:rsidRDefault="00AC1C47" w:rsidP="00B20D1A">
            <w:pPr>
              <w:rPr>
                <w:rFonts w:ascii="Calibri" w:hAnsi="Calibri" w:cs="Calibri"/>
                <w:color w:val="FF0000"/>
              </w:rPr>
            </w:pPr>
            <w:r>
              <w:rPr>
                <w:rFonts w:ascii="Calibri" w:hAnsi="Calibri" w:cs="Calibri"/>
              </w:rPr>
              <w:lastRenderedPageBreak/>
              <w:t xml:space="preserve">Nedvoumno je, da predelava radioaktivnih odpadkov pred odlaganjem glede na določila tretjega odstavka 122. člena ZVISJV-1 in prvega odstavka 4. člena predloga uredbe del javne službe ravnanja z RAO. Z vašim predlogom želite, da se tekst »preverjanje meril sprejemljivosti in svetovanje imetnikom radioaktivnih odpadkov za prevzem, skladiščenje ali odlaganje radioaktivnih odpadkov« nadomesti s tekstom »»obdelava in priprava končnih odlagalnih paketov za prevzem in odlaganje radioaktivnih odpadkov«. S tem predlogom korenito posegate v vsebino 4. točke prvega odstavka 5. člena in ji bistveno spreminjate pomen. Po našem mnenju je predlog vašega teksta že vsebovan v 5. točki navedenega člena, ki se glasi, da je del javne službe tudi »predelava radioaktivnih odpadkov za skladiščenje in odlaganje«*. Ta dikcija je dikcija je celo bolj natančna in pokriva tako postopke pred skladiščenjem in pred odlaganjem. Glede na definicijo iz Pravilnika o ravnanju z radioaktivnimi odpadki, predelava vključuje tako obdelavo in pripravo odpadkov na skladiščenje in odlaganje. Z upoštevanjem vašega predloga besedila bi se tudi izgubila vsebina, da mora izvajalec javne službe ob sprejemu radioaktivnih odpadkov na skladiščenje ali odlaganje preveriti ali odpadki izpolnjujejo predpisana merila sprejemljivosti za sprejem v skladišče ali odlagališče. V primeru, da ne ustrezajo jim mora izvajalec </w:t>
            </w:r>
            <w:r>
              <w:rPr>
                <w:rFonts w:ascii="Calibri" w:hAnsi="Calibri" w:cs="Calibri"/>
              </w:rPr>
              <w:lastRenderedPageBreak/>
              <w:t>javne službe glede na 5. točko navedenega člena, da ustrezajo predpisanim merilom sprejemljivosti. Glede na zgoraj navedeno menimo, da ni potrebno spreminjati 4. točke prvega odstavka 5. člena, zato vašega predloga ne bomo upoštevali, bomo pa dopolnili obrazložitev člena.</w:t>
            </w:r>
            <w:r>
              <w:rPr>
                <w:rFonts w:ascii="Calibri" w:hAnsi="Calibri" w:cs="Calibri"/>
              </w:rPr>
              <w:br/>
            </w:r>
            <w:r>
              <w:rPr>
                <w:rFonts w:ascii="Calibri" w:hAnsi="Calibri" w:cs="Calibri"/>
              </w:rPr>
              <w:br/>
              <w:t>*</w:t>
            </w:r>
            <w:r>
              <w:rPr>
                <w:rFonts w:ascii="Calibri" w:hAnsi="Calibri" w:cs="Calibri"/>
                <w:i/>
                <w:iCs/>
              </w:rPr>
              <w:t>Predelava so naslednji postopki obdelave radioaktivnih odpadkov ali izrabljenega goriva pred skladiščenjem, prevozom ali odlaganjem:</w:t>
            </w:r>
            <w:r>
              <w:rPr>
                <w:rFonts w:ascii="Calibri" w:hAnsi="Calibri" w:cs="Calibri"/>
                <w:i/>
                <w:iCs/>
              </w:rPr>
              <w:br/>
              <w:t xml:space="preserve">- postopki </w:t>
            </w:r>
            <w:proofErr w:type="spellStart"/>
            <w:r>
              <w:rPr>
                <w:rFonts w:ascii="Calibri" w:hAnsi="Calibri" w:cs="Calibri"/>
                <w:i/>
                <w:iCs/>
              </w:rPr>
              <w:t>predobdelave</w:t>
            </w:r>
            <w:proofErr w:type="spellEnd"/>
            <w:r>
              <w:rPr>
                <w:rFonts w:ascii="Calibri" w:hAnsi="Calibri" w:cs="Calibri"/>
                <w:i/>
                <w:iCs/>
              </w:rPr>
              <w:t>, s katerimi se radioaktivne odpadke ali izrabljeno gorivo pripravi na obdelavo;</w:t>
            </w:r>
            <w:r>
              <w:rPr>
                <w:rFonts w:ascii="Calibri" w:hAnsi="Calibri" w:cs="Calibri"/>
                <w:i/>
                <w:iCs/>
              </w:rPr>
              <w:br/>
              <w:t>- postopki obdelave, s katerimi se spremenijo lastnosti radioaktivnih odpadkov ali izrabljenega goriva zaradi tehničnih, ekonomskih ali varnostnih razlogov, ter</w:t>
            </w:r>
            <w:r>
              <w:rPr>
                <w:rFonts w:ascii="Calibri" w:hAnsi="Calibri" w:cs="Calibri"/>
                <w:i/>
                <w:iCs/>
              </w:rPr>
              <w:br/>
              <w:t>- postopki priprave, s katerimi se pripravijo pakirani ali nepakirani radioaktivni odpadki ali izrabljeno gorivo v obliko, ki ustreza zahtevam za prevoz, skladiščenje ali odlaganje;</w:t>
            </w:r>
          </w:p>
        </w:tc>
        <w:tc>
          <w:tcPr>
            <w:tcW w:w="1057" w:type="dxa"/>
          </w:tcPr>
          <w:p w14:paraId="070D96B2" w14:textId="40847713" w:rsidR="00AC1C47" w:rsidRPr="003F3CBA" w:rsidRDefault="00AC1C47" w:rsidP="003F3CBA">
            <w:pPr>
              <w:jc w:val="center"/>
            </w:pPr>
            <w:r w:rsidRPr="003F3CBA">
              <w:lastRenderedPageBreak/>
              <w:t>Ni upoštevano.</w:t>
            </w:r>
          </w:p>
        </w:tc>
      </w:tr>
      <w:tr w:rsidR="00AC1C47" w14:paraId="1E53B698" w14:textId="2F5AD9DF" w:rsidTr="007826E5">
        <w:tc>
          <w:tcPr>
            <w:tcW w:w="4253" w:type="dxa"/>
          </w:tcPr>
          <w:p w14:paraId="385B3B30" w14:textId="77777777" w:rsidR="00AC1C47" w:rsidRDefault="00AC1C47" w:rsidP="003F3CBA">
            <w:pPr>
              <w:rPr>
                <w:rFonts w:ascii="Calibri" w:hAnsi="Calibri" w:cs="Calibri"/>
                <w:color w:val="000000"/>
              </w:rPr>
            </w:pPr>
            <w:r>
              <w:rPr>
                <w:rFonts w:ascii="Calibri" w:hAnsi="Calibri" w:cs="Calibri"/>
                <w:color w:val="000000"/>
              </w:rPr>
              <w:t>1. predlog: predlagamo novo določbo v razdelku II. ORGANIZACIJSKA OBLIKA JAVNE SLUŽBE RAVNANJA Z RAO Predlagamo, da se v uvodnem delu ugotovi tudi sedež Javne službe z naslovom na območju občine Krško, kjer je tudi glavni vir radioaktivnega odpada in je tudi umeščeno odlagališče NSRAO ter skladišče IJG.</w:t>
            </w:r>
          </w:p>
          <w:p w14:paraId="72DE7850" w14:textId="77777777" w:rsidR="00AC1C47" w:rsidRDefault="00AC1C47" w:rsidP="003F3CBA">
            <w:pPr>
              <w:rPr>
                <w:b/>
                <w:bCs/>
              </w:rPr>
            </w:pPr>
          </w:p>
        </w:tc>
        <w:tc>
          <w:tcPr>
            <w:tcW w:w="7508" w:type="dxa"/>
          </w:tcPr>
          <w:p w14:paraId="5CC591DD" w14:textId="77777777" w:rsidR="00AC1C47" w:rsidRDefault="00AC1C47" w:rsidP="003F3CBA">
            <w:pPr>
              <w:rPr>
                <w:rFonts w:ascii="Calibri" w:hAnsi="Calibri" w:cs="Calibri"/>
              </w:rPr>
            </w:pPr>
            <w:r>
              <w:rPr>
                <w:rFonts w:ascii="Calibri" w:hAnsi="Calibri" w:cs="Calibri"/>
              </w:rPr>
              <w:t>Predlagano je urejeno v 3. členu predloga Odloka o ustanovitvi javnega gospodarskega zavoda ARAO – Agencija za radioaktivne odpadke, Ljubljana, ki določa, da je sedež zavoda v Krškem, Vrbina 17, 8270 Krško in ga, enako kot Uredbo, sprejme Vlada.</w:t>
            </w:r>
          </w:p>
          <w:p w14:paraId="5BBA8A2D" w14:textId="77777777" w:rsidR="00AC1C47" w:rsidRDefault="00AC1C47" w:rsidP="003F3CBA">
            <w:pPr>
              <w:jc w:val="center"/>
              <w:rPr>
                <w:b/>
                <w:bCs/>
              </w:rPr>
            </w:pPr>
          </w:p>
        </w:tc>
        <w:tc>
          <w:tcPr>
            <w:tcW w:w="1057" w:type="dxa"/>
          </w:tcPr>
          <w:p w14:paraId="4B65041F" w14:textId="3D8D0C1C" w:rsidR="00AC1C47" w:rsidRPr="003F3CBA" w:rsidRDefault="00AC1C47" w:rsidP="003F3CBA">
            <w:pPr>
              <w:jc w:val="center"/>
            </w:pPr>
            <w:r w:rsidRPr="003F3CBA">
              <w:t>Upoštevano.</w:t>
            </w:r>
          </w:p>
        </w:tc>
      </w:tr>
      <w:tr w:rsidR="00AC1C47" w14:paraId="170E0803" w14:textId="7D5BF75E" w:rsidTr="007826E5">
        <w:tc>
          <w:tcPr>
            <w:tcW w:w="4253" w:type="dxa"/>
          </w:tcPr>
          <w:p w14:paraId="7C389CA0" w14:textId="77777777" w:rsidR="00AC1C47" w:rsidRDefault="00AC1C47" w:rsidP="003F3CBA">
            <w:pPr>
              <w:rPr>
                <w:rFonts w:ascii="Calibri" w:hAnsi="Calibri" w:cs="Calibri"/>
                <w:color w:val="000000"/>
              </w:rPr>
            </w:pPr>
            <w:r>
              <w:rPr>
                <w:rFonts w:ascii="Calibri" w:hAnsi="Calibri" w:cs="Calibri"/>
                <w:color w:val="000000"/>
              </w:rPr>
              <w:t xml:space="preserve">2. pripomba: menimo, da je v uredbi pomanjkljivo definirano upravljanje s skladiščem izrabljenega jedrskega </w:t>
            </w:r>
            <w:r>
              <w:rPr>
                <w:rFonts w:ascii="Calibri" w:hAnsi="Calibri" w:cs="Calibri"/>
              </w:rPr>
              <w:t>goriva</w:t>
            </w:r>
            <w:r>
              <w:rPr>
                <w:rFonts w:ascii="Calibri" w:hAnsi="Calibri" w:cs="Calibri"/>
                <w:color w:val="000000"/>
              </w:rPr>
              <w:t xml:space="preserve">, ki bo v funkciji do izgradnje odlagališča visoko radioaktivnega odpada oziroma do prevoza v </w:t>
            </w:r>
            <w:r>
              <w:rPr>
                <w:rFonts w:ascii="Calibri" w:hAnsi="Calibri" w:cs="Calibri"/>
                <w:color w:val="000000"/>
              </w:rPr>
              <w:lastRenderedPageBreak/>
              <w:t>tujino. Skladišče bo v funkciji tudi po zaprtju NEK. Postavlja se nam vprašanja, kdo bo takrat upravljal z objektom.</w:t>
            </w:r>
          </w:p>
          <w:p w14:paraId="6E8654CD" w14:textId="77777777" w:rsidR="00AC1C47" w:rsidRDefault="00AC1C47" w:rsidP="003F3CBA">
            <w:pPr>
              <w:jc w:val="center"/>
              <w:rPr>
                <w:b/>
                <w:bCs/>
              </w:rPr>
            </w:pPr>
          </w:p>
        </w:tc>
        <w:tc>
          <w:tcPr>
            <w:tcW w:w="7508" w:type="dxa"/>
          </w:tcPr>
          <w:p w14:paraId="32703E2D" w14:textId="5FCAEFDB" w:rsidR="00AC1C47" w:rsidRPr="00B20D1A" w:rsidRDefault="00AC1C47" w:rsidP="00B20D1A">
            <w:pPr>
              <w:spacing w:after="240"/>
              <w:rPr>
                <w:rFonts w:ascii="Calibri" w:hAnsi="Calibri" w:cs="Calibri"/>
              </w:rPr>
            </w:pPr>
            <w:r>
              <w:rPr>
                <w:rFonts w:ascii="Calibri" w:hAnsi="Calibri" w:cs="Calibri"/>
              </w:rPr>
              <w:lastRenderedPageBreak/>
              <w:t xml:space="preserve">Obratovanje suhega skladišča izrabljenega goriva je opredelila meddržavna komisija za spremljanje izvajanja meddržavne pogodbe med Vlado Republike Slovenije in Vlado Republike Hrvaške o ureditvi statusnih in drugih pravnih razmerij, povezanih z vlaganjem v NEK, njenim izkoriščanjem in razgradnjo (Uradni list RS – MP, št. 5/03; v nadaljnjem besedilu: meddržavna pogodba </w:t>
            </w:r>
            <w:r>
              <w:rPr>
                <w:rFonts w:ascii="Calibri" w:hAnsi="Calibri" w:cs="Calibri"/>
              </w:rPr>
              <w:lastRenderedPageBreak/>
              <w:t>BHRNEK) na 10. seji, ki je bila julija 2015. Meddržavna komisija je odločila, da je gradnja suhega skladišča na lokaciji NE Krško do konca obratovanja NEK (2043) del skupne rešitve odlaganja izrabljenega goriva v skladu s sedmo točko 10. člena meddržavne pogodbe BHRNEK. Po letu 2043 se morata državi ponovno dogovoriti o nadaljnjem ravnanju z IG, ki bo skladiščeno v suhem skladišču na lokaciji NEK. V letošnjem letu je meddržavna komisija sprejela tretjo revizijo programa odlaganja radioaktivnih odpadkov in izrabljenega goriva ("</w:t>
            </w:r>
            <w:proofErr w:type="spellStart"/>
            <w:r>
              <w:rPr>
                <w:rFonts w:ascii="Calibri" w:hAnsi="Calibri" w:cs="Calibri"/>
              </w:rPr>
              <w:t>Third</w:t>
            </w:r>
            <w:proofErr w:type="spellEnd"/>
            <w:r>
              <w:rPr>
                <w:rFonts w:ascii="Calibri" w:hAnsi="Calibri" w:cs="Calibri"/>
              </w:rPr>
              <w:t xml:space="preserve"> </w:t>
            </w:r>
            <w:proofErr w:type="spellStart"/>
            <w:r>
              <w:rPr>
                <w:rFonts w:ascii="Calibri" w:hAnsi="Calibri" w:cs="Calibri"/>
              </w:rPr>
              <w:t>Revision</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Krško NPP </w:t>
            </w:r>
            <w:proofErr w:type="spellStart"/>
            <w:r>
              <w:rPr>
                <w:rFonts w:ascii="Calibri" w:hAnsi="Calibri" w:cs="Calibri"/>
              </w:rPr>
              <w:t>Radioactive</w:t>
            </w:r>
            <w:proofErr w:type="spellEnd"/>
            <w:r>
              <w:rPr>
                <w:rFonts w:ascii="Calibri" w:hAnsi="Calibri" w:cs="Calibri"/>
              </w:rPr>
              <w:t xml:space="preserve"> </w:t>
            </w:r>
            <w:proofErr w:type="spellStart"/>
            <w:r>
              <w:rPr>
                <w:rFonts w:ascii="Calibri" w:hAnsi="Calibri" w:cs="Calibri"/>
              </w:rPr>
              <w:t>Waste</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Spent</w:t>
            </w:r>
            <w:proofErr w:type="spellEnd"/>
            <w:r>
              <w:rPr>
                <w:rFonts w:ascii="Calibri" w:hAnsi="Calibri" w:cs="Calibri"/>
              </w:rPr>
              <w:t xml:space="preserve"> </w:t>
            </w:r>
            <w:proofErr w:type="spellStart"/>
            <w:r>
              <w:rPr>
                <w:rFonts w:ascii="Calibri" w:hAnsi="Calibri" w:cs="Calibri"/>
              </w:rPr>
              <w:t>Fuel</w:t>
            </w:r>
            <w:proofErr w:type="spellEnd"/>
            <w:r>
              <w:rPr>
                <w:rFonts w:ascii="Calibri" w:hAnsi="Calibri" w:cs="Calibri"/>
              </w:rPr>
              <w:t xml:space="preserve"> </w:t>
            </w:r>
            <w:proofErr w:type="spellStart"/>
            <w:r>
              <w:rPr>
                <w:rFonts w:ascii="Calibri" w:hAnsi="Calibri" w:cs="Calibri"/>
              </w:rPr>
              <w:t>Disposal</w:t>
            </w:r>
            <w:proofErr w:type="spellEnd"/>
            <w:r>
              <w:rPr>
                <w:rFonts w:ascii="Calibri" w:hAnsi="Calibri" w:cs="Calibri"/>
              </w:rPr>
              <w:t xml:space="preserve"> Program, </w:t>
            </w:r>
            <w:proofErr w:type="spellStart"/>
            <w:r>
              <w:rPr>
                <w:rFonts w:ascii="Calibri" w:hAnsi="Calibri" w:cs="Calibri"/>
              </w:rPr>
              <w:t>version</w:t>
            </w:r>
            <w:proofErr w:type="spellEnd"/>
            <w:r>
              <w:rPr>
                <w:rFonts w:ascii="Calibri" w:hAnsi="Calibri" w:cs="Calibri"/>
              </w:rPr>
              <w:t xml:space="preserve"> 1.3, September 2019"), iz katere izhaja, da bosta državi iskali skupno rešitev odlaganja IG v Sloveniji, na Hrvaškem ali tretji državi. Glede na zgoraj navedeno menimo, da je preuranjeno, da bi osnutku Uredbe sedaj opredeljevali rešitve glede upravljalca suhega skladišča po letu 2043, ker bi s tem lahko prejudicirali rešitve, ki še niso dogovorjene med državama. Menimo, da ni potrebno v osnutku Uredbe nič spremeniti.</w:t>
            </w:r>
          </w:p>
        </w:tc>
        <w:tc>
          <w:tcPr>
            <w:tcW w:w="1057" w:type="dxa"/>
          </w:tcPr>
          <w:p w14:paraId="3F49B4B0" w14:textId="77777777" w:rsidR="00AC1C47" w:rsidRDefault="00AC1C47" w:rsidP="003F3CBA">
            <w:pPr>
              <w:jc w:val="center"/>
            </w:pPr>
            <w:r w:rsidRPr="00B20D1A">
              <w:lastRenderedPageBreak/>
              <w:t>Ni upoštevano.</w:t>
            </w:r>
          </w:p>
          <w:p w14:paraId="4C2DD6BF" w14:textId="541B8853" w:rsidR="00AC1C47" w:rsidRPr="00B20D1A" w:rsidRDefault="00AC1C47" w:rsidP="003F3CBA">
            <w:pPr>
              <w:jc w:val="center"/>
            </w:pPr>
          </w:p>
        </w:tc>
      </w:tr>
    </w:tbl>
    <w:p w14:paraId="61608441" w14:textId="4EBE9F75" w:rsidR="003F3CBA" w:rsidRDefault="003F3CBA" w:rsidP="00B20D1A">
      <w:pPr>
        <w:rPr>
          <w:b/>
          <w:bCs/>
        </w:rPr>
      </w:pPr>
    </w:p>
    <w:p w14:paraId="01F83049" w14:textId="29611FC3" w:rsidR="003F3CBA" w:rsidRDefault="003F3CBA" w:rsidP="003F3CBA">
      <w:pPr>
        <w:jc w:val="center"/>
        <w:rPr>
          <w:b/>
          <w:bCs/>
        </w:rPr>
      </w:pPr>
    </w:p>
    <w:p w14:paraId="06408AEE" w14:textId="458C09CC" w:rsidR="003F3CBA" w:rsidRPr="00DA2804" w:rsidRDefault="00B20D1A" w:rsidP="003F3CBA">
      <w:pPr>
        <w:jc w:val="center"/>
        <w:rPr>
          <w:b/>
          <w:bCs/>
          <w:sz w:val="24"/>
          <w:szCs w:val="24"/>
        </w:rPr>
      </w:pPr>
      <w:r w:rsidRPr="00DA2804">
        <w:rPr>
          <w:b/>
          <w:bCs/>
          <w:sz w:val="24"/>
          <w:szCs w:val="24"/>
        </w:rPr>
        <w:t xml:space="preserve">II. </w:t>
      </w:r>
      <w:r w:rsidR="003F3CBA" w:rsidRPr="00DA2804">
        <w:rPr>
          <w:b/>
          <w:bCs/>
          <w:sz w:val="24"/>
          <w:szCs w:val="24"/>
        </w:rPr>
        <w:t>Odlok o preoblikovanju javnega gospodarskega zavoda ARAO – Agencija za radioaktivne odpadke, Ljubljana v javno podjetje – javna obravnava november 2020</w:t>
      </w:r>
    </w:p>
    <w:p w14:paraId="0E0C3B03" w14:textId="26CA2D97" w:rsidR="003F3CBA" w:rsidRDefault="003F3CBA" w:rsidP="003F3CBA">
      <w:pPr>
        <w:jc w:val="center"/>
        <w:rPr>
          <w:b/>
          <w:bCs/>
        </w:rPr>
      </w:pPr>
    </w:p>
    <w:tbl>
      <w:tblPr>
        <w:tblStyle w:val="Tabelamrea"/>
        <w:tblW w:w="0" w:type="auto"/>
        <w:tblLook w:val="04A0" w:firstRow="1" w:lastRow="0" w:firstColumn="1" w:lastColumn="0" w:noHBand="0" w:noVBand="1"/>
      </w:tblPr>
      <w:tblGrid>
        <w:gridCol w:w="5670"/>
        <w:gridCol w:w="6091"/>
        <w:gridCol w:w="2126"/>
      </w:tblGrid>
      <w:tr w:rsidR="00AC1C47" w14:paraId="0D302D6B" w14:textId="77777777" w:rsidTr="007826E5">
        <w:trPr>
          <w:trHeight w:val="626"/>
        </w:trPr>
        <w:tc>
          <w:tcPr>
            <w:tcW w:w="5670" w:type="dxa"/>
            <w:shd w:val="clear" w:color="auto" w:fill="D9E2F3" w:themeFill="accent1" w:themeFillTint="33"/>
          </w:tcPr>
          <w:p w14:paraId="27AAA210" w14:textId="77777777" w:rsidR="00AC1C47" w:rsidRDefault="00AC1C47" w:rsidP="00AF5D54">
            <w:pPr>
              <w:spacing w:before="240"/>
              <w:jc w:val="center"/>
              <w:rPr>
                <w:b/>
                <w:bCs/>
              </w:rPr>
            </w:pPr>
            <w:r>
              <w:rPr>
                <w:b/>
                <w:bCs/>
              </w:rPr>
              <w:t>PREDLOG SPREMEMBE PREDLAGATELJA</w:t>
            </w:r>
          </w:p>
        </w:tc>
        <w:tc>
          <w:tcPr>
            <w:tcW w:w="6091" w:type="dxa"/>
            <w:shd w:val="clear" w:color="auto" w:fill="D9E2F3" w:themeFill="accent1" w:themeFillTint="33"/>
          </w:tcPr>
          <w:p w14:paraId="5817F95C" w14:textId="65010127" w:rsidR="00AC1C47" w:rsidRDefault="00AC1C47" w:rsidP="00AF5D54">
            <w:pPr>
              <w:spacing w:before="240"/>
              <w:jc w:val="center"/>
              <w:rPr>
                <w:b/>
                <w:bCs/>
              </w:rPr>
            </w:pPr>
            <w:r>
              <w:rPr>
                <w:b/>
                <w:bCs/>
              </w:rPr>
              <w:t>STALIŠČE/UTEMELJITEV</w:t>
            </w:r>
          </w:p>
        </w:tc>
        <w:tc>
          <w:tcPr>
            <w:tcW w:w="2126" w:type="dxa"/>
            <w:shd w:val="clear" w:color="auto" w:fill="D9E2F3" w:themeFill="accent1" w:themeFillTint="33"/>
          </w:tcPr>
          <w:p w14:paraId="2AC61C15" w14:textId="4679B0A6" w:rsidR="00AC1C47" w:rsidRDefault="00AC1C47" w:rsidP="00AF5D54">
            <w:pPr>
              <w:spacing w:before="240"/>
              <w:jc w:val="center"/>
              <w:rPr>
                <w:b/>
                <w:bCs/>
              </w:rPr>
            </w:pPr>
            <w:r>
              <w:rPr>
                <w:b/>
                <w:bCs/>
              </w:rPr>
              <w:t xml:space="preserve"> REŠITEV</w:t>
            </w:r>
          </w:p>
        </w:tc>
      </w:tr>
      <w:tr w:rsidR="00AC1C47" w14:paraId="5FE55640" w14:textId="77777777" w:rsidTr="007826E5">
        <w:tc>
          <w:tcPr>
            <w:tcW w:w="5670" w:type="dxa"/>
          </w:tcPr>
          <w:p w14:paraId="5D7AF342" w14:textId="6CE0770A" w:rsidR="00AC1C47" w:rsidRPr="00C3139F" w:rsidRDefault="00AC1C47" w:rsidP="00AF5D54">
            <w:pPr>
              <w:rPr>
                <w:rFonts w:ascii="Calibri" w:hAnsi="Calibri" w:cs="Calibri"/>
                <w:color w:val="000000"/>
              </w:rPr>
            </w:pPr>
            <w:r>
              <w:rPr>
                <w:rFonts w:ascii="Calibri" w:hAnsi="Calibri" w:cs="Calibri"/>
                <w:color w:val="000000"/>
              </w:rPr>
              <w:t xml:space="preserve">NEK predlaga, da se 2. odstavek 15. člena (nadzorni svet) spremeni tako, da se glasi: »(2) V nadzornem svetu je šest članov. Tri člane imenuje ustanovitelj na predlog ministra, </w:t>
            </w:r>
            <w:r>
              <w:rPr>
                <w:rFonts w:ascii="Calibri" w:hAnsi="Calibri" w:cs="Calibri"/>
                <w:color w:val="000000"/>
              </w:rPr>
              <w:lastRenderedPageBreak/>
              <w:t>pristojnega za energijo, enega člana imenuje GEN-energija, enega Nuklearna elektrarna Krško, en član pa zastopa interese delavcev ter ga izvolijo in odpokličejo zaposleni javnega podjetja. Člani nadzornega sveta se imenujejo oziroma izvolijo za dobo štirih let in so po preteku mandata lahko znova imenovani.«</w:t>
            </w:r>
            <w:r>
              <w:rPr>
                <w:rFonts w:ascii="Calibri" w:hAnsi="Calibri" w:cs="Calibri"/>
                <w:color w:val="000000"/>
              </w:rPr>
              <w:br/>
              <w:t xml:space="preserve">Obrazložitev: Glede na to, da je NEK pretežni imetnik radioaktivnih odpadkov, ki jih tudi začasno skladišči, je nujno potrebno, da je v nadzornem svetu javnega podjetja vsaj eden predstavnik NEK; tudi v obstoječem upravnem odboru je imela NEK svojega predstavnika. Prav tako je potrebno, da je v nadzornem svetu prisoten en član, ki ga imenuje GEN-energija, ki zagotavlja financiranje javnega podjetja preko Sklada za </w:t>
            </w:r>
            <w:proofErr w:type="spellStart"/>
            <w:r>
              <w:rPr>
                <w:rFonts w:ascii="Calibri" w:hAnsi="Calibri" w:cs="Calibri"/>
                <w:color w:val="000000"/>
              </w:rPr>
              <w:t>dekomisijo</w:t>
            </w:r>
            <w:proofErr w:type="spellEnd"/>
            <w:r>
              <w:rPr>
                <w:rFonts w:ascii="Calibri" w:hAnsi="Calibri" w:cs="Calibri"/>
                <w:color w:val="000000"/>
              </w:rPr>
              <w:t>.</w:t>
            </w:r>
          </w:p>
        </w:tc>
        <w:tc>
          <w:tcPr>
            <w:tcW w:w="6091" w:type="dxa"/>
          </w:tcPr>
          <w:p w14:paraId="2CE2C7FD" w14:textId="6FCEE9CB" w:rsidR="00AC1C47" w:rsidRDefault="00AC1C47" w:rsidP="00C3139F">
            <w:pPr>
              <w:rPr>
                <w:rFonts w:ascii="Calibri" w:hAnsi="Calibri" w:cs="Calibri"/>
              </w:rPr>
            </w:pPr>
            <w:r>
              <w:rPr>
                <w:rFonts w:ascii="Calibri" w:hAnsi="Calibri" w:cs="Calibri"/>
              </w:rPr>
              <w:lastRenderedPageBreak/>
              <w:t xml:space="preserve">Zaradi nasprotujočih si predlogov, sodelujočih v javni obravnavi, se podani predlogi k tej določbi zaenkrat ne morejo upoštevati. Posledično ostaja določba nespremenjena, kar pa dopušča </w:t>
            </w:r>
            <w:r>
              <w:rPr>
                <w:rFonts w:ascii="Calibri" w:hAnsi="Calibri" w:cs="Calibri"/>
              </w:rPr>
              <w:lastRenderedPageBreak/>
              <w:t xml:space="preserve">možnosti za ministra, pristojnega za energijo, da pri predlaganju 4 članov upošteva v praksi tudi podane predloge.  </w:t>
            </w:r>
          </w:p>
          <w:p w14:paraId="50D31EAA" w14:textId="00BFA2A5" w:rsidR="00AC1C47" w:rsidRPr="003F3CBA" w:rsidRDefault="00AC1C47" w:rsidP="00AF5D54">
            <w:pPr>
              <w:rPr>
                <w:rFonts w:ascii="Calibri" w:hAnsi="Calibri" w:cs="Calibri"/>
                <w:color w:val="FF0000"/>
              </w:rPr>
            </w:pPr>
          </w:p>
        </w:tc>
        <w:tc>
          <w:tcPr>
            <w:tcW w:w="2126" w:type="dxa"/>
          </w:tcPr>
          <w:p w14:paraId="4E4C4AFB" w14:textId="77777777" w:rsidR="00AC1C47" w:rsidRPr="003F3CBA" w:rsidRDefault="00AC1C47" w:rsidP="00AF5D54">
            <w:pPr>
              <w:jc w:val="center"/>
            </w:pPr>
            <w:r w:rsidRPr="003F3CBA">
              <w:lastRenderedPageBreak/>
              <w:t>Ni upoštevano.</w:t>
            </w:r>
          </w:p>
        </w:tc>
      </w:tr>
      <w:tr w:rsidR="00AC1C47" w14:paraId="1DF8369E" w14:textId="77777777" w:rsidTr="007826E5">
        <w:tc>
          <w:tcPr>
            <w:tcW w:w="5670" w:type="dxa"/>
          </w:tcPr>
          <w:p w14:paraId="111F1138" w14:textId="3A34BE78" w:rsidR="00AC1C47" w:rsidRPr="00C3139F" w:rsidRDefault="00AC1C47" w:rsidP="00AF5D54">
            <w:pPr>
              <w:rPr>
                <w:rFonts w:ascii="Calibri" w:hAnsi="Calibri" w:cs="Calibri"/>
                <w:color w:val="000000"/>
              </w:rPr>
            </w:pPr>
            <w:r>
              <w:rPr>
                <w:rFonts w:ascii="Calibri" w:hAnsi="Calibri" w:cs="Calibri"/>
                <w:color w:val="000000"/>
              </w:rPr>
              <w:t xml:space="preserve">Predlagamo dopolnitev 2. odstavka 15. člena Odloka, tako da se glasi: V nadzornem svetu je pet članov. Štiri člane imenuje ustanovitelj, od tega enega na predlog ministra, pristojnega za energijo, enega na predlog Nuklearne elektrarne Krško </w:t>
            </w:r>
            <w:proofErr w:type="spellStart"/>
            <w:r>
              <w:rPr>
                <w:rFonts w:ascii="Calibri" w:hAnsi="Calibri" w:cs="Calibri"/>
                <w:color w:val="000000"/>
              </w:rPr>
              <w:t>d.o.o</w:t>
            </w:r>
            <w:proofErr w:type="spellEnd"/>
            <w:r>
              <w:rPr>
                <w:rFonts w:ascii="Calibri" w:hAnsi="Calibri" w:cs="Calibri"/>
                <w:color w:val="000000"/>
              </w:rPr>
              <w:t xml:space="preserve">. in enega na predlog GEN energije </w:t>
            </w:r>
            <w:proofErr w:type="spellStart"/>
            <w:r>
              <w:rPr>
                <w:rFonts w:ascii="Calibri" w:hAnsi="Calibri" w:cs="Calibri"/>
                <w:color w:val="000000"/>
              </w:rPr>
              <w:t>d.o.o</w:t>
            </w:r>
            <w:proofErr w:type="spellEnd"/>
            <w:r>
              <w:rPr>
                <w:rFonts w:ascii="Calibri" w:hAnsi="Calibri" w:cs="Calibri"/>
                <w:color w:val="000000"/>
              </w:rPr>
              <w:t xml:space="preserve">. Enega člana, ki zastopa interese delavcev, pa izvolijo in odpokličejo zaposleni javnega podjetja. Člani nadzornega sveta se imenujejo oziroma izvolijo za dobo štirih let in so po poteku mandata lahko znova imenovani. Obrazložitev: Pretežni imetnik radioaktivnih odpadkov, ki jih tudi začasno skladišči, je Nuklearna elektrarna Krško </w:t>
            </w:r>
            <w:proofErr w:type="spellStart"/>
            <w:r>
              <w:rPr>
                <w:rFonts w:ascii="Calibri" w:hAnsi="Calibri" w:cs="Calibri"/>
                <w:color w:val="000000"/>
              </w:rPr>
              <w:t>d.o.o</w:t>
            </w:r>
            <w:proofErr w:type="spellEnd"/>
            <w:r>
              <w:rPr>
                <w:rFonts w:ascii="Calibri" w:hAnsi="Calibri" w:cs="Calibri"/>
                <w:color w:val="000000"/>
              </w:rPr>
              <w:t xml:space="preserve">., zato predlagamo, da v nadzorni svet predlaga vsaj enega predstavnika, kot je bil to primer tudi v sedanjem upravnem odboru ARAO. GEN energija pa je plačnik sredstev v Sklad za </w:t>
            </w:r>
            <w:r>
              <w:rPr>
                <w:rFonts w:ascii="Calibri" w:hAnsi="Calibri" w:cs="Calibri"/>
                <w:color w:val="000000"/>
              </w:rPr>
              <w:lastRenderedPageBreak/>
              <w:t xml:space="preserve">razgradnjo NEK, preko katerega se zagotavlja financiranje javnega podjetja. </w:t>
            </w:r>
          </w:p>
        </w:tc>
        <w:tc>
          <w:tcPr>
            <w:tcW w:w="6091" w:type="dxa"/>
          </w:tcPr>
          <w:p w14:paraId="235C1C06" w14:textId="400AA820" w:rsidR="00AC1C47" w:rsidRDefault="00AC1C47" w:rsidP="0091339A">
            <w:pPr>
              <w:rPr>
                <w:b/>
                <w:bCs/>
              </w:rPr>
            </w:pPr>
            <w:r>
              <w:rPr>
                <w:rFonts w:ascii="Calibri" w:hAnsi="Calibri" w:cs="Calibri"/>
              </w:rPr>
              <w:lastRenderedPageBreak/>
              <w:t xml:space="preserve">Zaradi nasprotujočih si predlogov, sodelujočih v javni obravnavi, se podani predlogi k tej določbi zaenkrat ne morejo upoštevati. Posledično ostaja določba nespremenjena, kar pa dopušča možnosti za ministra, pristojnega za energijo, da pri predlaganju 4 članov upošteva v praksi tudi podane predloge. Poleg tega se podan predlog tudi računsko ne izide. </w:t>
            </w:r>
          </w:p>
        </w:tc>
        <w:tc>
          <w:tcPr>
            <w:tcW w:w="2126" w:type="dxa"/>
          </w:tcPr>
          <w:p w14:paraId="1FABD432" w14:textId="4D6C3F64" w:rsidR="00AC1C47" w:rsidRPr="003F3CBA" w:rsidRDefault="00AC1C47" w:rsidP="00AF5D54">
            <w:pPr>
              <w:jc w:val="center"/>
            </w:pPr>
            <w:r>
              <w:t>Ni u</w:t>
            </w:r>
            <w:r w:rsidRPr="003F3CBA">
              <w:t>poštevano.</w:t>
            </w:r>
          </w:p>
        </w:tc>
      </w:tr>
      <w:tr w:rsidR="00AC1C47" w14:paraId="50F24810" w14:textId="77777777" w:rsidTr="007826E5">
        <w:trPr>
          <w:trHeight w:val="1139"/>
        </w:trPr>
        <w:tc>
          <w:tcPr>
            <w:tcW w:w="5670" w:type="dxa"/>
          </w:tcPr>
          <w:p w14:paraId="66FA7A70" w14:textId="147BCFD2" w:rsidR="00AC1C47" w:rsidRPr="00C3139F" w:rsidRDefault="00AC1C47" w:rsidP="00C3139F">
            <w:pPr>
              <w:rPr>
                <w:rFonts w:ascii="Calibri" w:hAnsi="Calibri" w:cs="Calibri"/>
                <w:color w:val="000000"/>
              </w:rPr>
            </w:pPr>
            <w:r>
              <w:rPr>
                <w:rFonts w:ascii="Calibri" w:hAnsi="Calibri" w:cs="Calibri"/>
                <w:color w:val="000000"/>
              </w:rPr>
              <w:t xml:space="preserve">3. člen Republika Slovenija, ki je edini družbenik in ustanovitelj, za obveznosti javnega podjetja ne odgovarja, po drugi strani pa stečaja ali likvidacijskega postopka (po predlagani Uredbi in zakonu) ni mogoče izvesti. Javno podjetje odgovarja za svoje obveznosti z vsem svojim premoženjem. Izpostavljamo vprašanje premoženja javnega podjetja. </w:t>
            </w:r>
          </w:p>
        </w:tc>
        <w:tc>
          <w:tcPr>
            <w:tcW w:w="6091" w:type="dxa"/>
          </w:tcPr>
          <w:p w14:paraId="7572CEF0" w14:textId="266975AA" w:rsidR="00AC1C47" w:rsidRPr="003C1315" w:rsidRDefault="00AC1C47" w:rsidP="00C3139F">
            <w:pPr>
              <w:rPr>
                <w:rFonts w:ascii="Calibri" w:hAnsi="Calibri" w:cs="Calibri"/>
              </w:rPr>
            </w:pPr>
            <w:r w:rsidRPr="0091339A">
              <w:rPr>
                <w:rFonts w:ascii="Calibri" w:hAnsi="Calibri" w:cs="Calibri"/>
              </w:rPr>
              <w:t xml:space="preserve">Med usklajevanjem obeh predlogov predpisov je prišlo do spremembe, in sicer zaradi </w:t>
            </w:r>
            <w:r>
              <w:rPr>
                <w:rFonts w:ascii="Calibri" w:hAnsi="Calibri" w:cs="Calibri"/>
              </w:rPr>
              <w:t xml:space="preserve">dejstva, da javno podjetje ne more upravljati z državno infrastrukturo </w:t>
            </w:r>
            <w:r w:rsidRPr="004E2F26">
              <w:rPr>
                <w:rFonts w:ascii="Calibri" w:hAnsi="Calibri" w:cs="Calibri"/>
              </w:rPr>
              <w:t>po Zakonu o stvarnem premoženju države in samoupravnih lokalnih skupnosti</w:t>
            </w:r>
            <w:r w:rsidRPr="0091339A">
              <w:rPr>
                <w:rFonts w:ascii="Calibri" w:hAnsi="Calibri" w:cs="Calibri"/>
              </w:rPr>
              <w:t>. Ker se v predlogu ohranja dosedanja pravnoorganizacijska oblika javne službe ravnanja z RAO, in sicer javni gospodarski zavod, posledično pripomba ni več relevantna.</w:t>
            </w:r>
            <w:r w:rsidRPr="003C1315">
              <w:rPr>
                <w:rFonts w:ascii="Calibri" w:hAnsi="Calibri" w:cs="Calibri"/>
              </w:rPr>
              <w:t xml:space="preserve"> </w:t>
            </w:r>
          </w:p>
          <w:p w14:paraId="32380576" w14:textId="443D74DF" w:rsidR="00AC1C47" w:rsidRPr="003C1315" w:rsidRDefault="00AC1C47" w:rsidP="00AF5D54">
            <w:pPr>
              <w:spacing w:after="240"/>
              <w:rPr>
                <w:rFonts w:ascii="Calibri" w:hAnsi="Calibri" w:cs="Calibri"/>
              </w:rPr>
            </w:pPr>
          </w:p>
        </w:tc>
        <w:tc>
          <w:tcPr>
            <w:tcW w:w="2126" w:type="dxa"/>
          </w:tcPr>
          <w:p w14:paraId="012DB12A" w14:textId="1C58D600" w:rsidR="00AC1C47" w:rsidRPr="00B20D1A" w:rsidRDefault="00AC1C47" w:rsidP="00C3139F">
            <w:pPr>
              <w:jc w:val="center"/>
            </w:pPr>
            <w:r>
              <w:t>/</w:t>
            </w:r>
          </w:p>
        </w:tc>
      </w:tr>
      <w:tr w:rsidR="00AC1C47" w14:paraId="27489E46" w14:textId="77777777" w:rsidTr="007826E5">
        <w:tc>
          <w:tcPr>
            <w:tcW w:w="5670" w:type="dxa"/>
          </w:tcPr>
          <w:p w14:paraId="5D2C740F" w14:textId="7A43ACF8" w:rsidR="00AC1C47" w:rsidRDefault="00AC1C47" w:rsidP="00C3139F">
            <w:pPr>
              <w:rPr>
                <w:rFonts w:ascii="Calibri" w:hAnsi="Calibri" w:cs="Calibri"/>
                <w:color w:val="000000"/>
              </w:rPr>
            </w:pPr>
            <w:r>
              <w:rPr>
                <w:rFonts w:ascii="Calibri" w:hAnsi="Calibri" w:cs="Calibri"/>
                <w:color w:val="000000"/>
              </w:rPr>
              <w:t xml:space="preserve">4. člen Eno izmed pomembnih in smiselnih sprememb predstavlja določba o lokaciji sedeža ARAO, ki naj bo po novem v Krškem. V zadnjem obdobju je zaznati pomembne premike na področju gradnje odlagališča nizko- in </w:t>
            </w:r>
            <w:proofErr w:type="spellStart"/>
            <w:r>
              <w:rPr>
                <w:rFonts w:ascii="Calibri" w:hAnsi="Calibri" w:cs="Calibri"/>
                <w:color w:val="000000"/>
              </w:rPr>
              <w:t>srednjeradioaktivnih</w:t>
            </w:r>
            <w:proofErr w:type="spellEnd"/>
            <w:r>
              <w:rPr>
                <w:rFonts w:ascii="Calibri" w:hAnsi="Calibri" w:cs="Calibri"/>
                <w:color w:val="000000"/>
              </w:rPr>
              <w:t xml:space="preserve"> odpadkov (NSRAO) Vrbina, s tem v zvezi pa lahko predvidimo povečane aktivnosti služb ARAO na lokaciji gradnje. Pretežni del aktivnosti ARAO bo potekal na gradbišču, v tesni povezavi z delom v pisarnah. Menimo, da bo ARAO posledično potreboval prostore za svoje delo, ki bodo v neposredni bližini gradbišča oz. lokacije odlagališča NSRAO. Leta 2008 so bile sprejete spremembe Zakona o Skladu, ki so opredelile sistem poslovanja Sklada na način, da se zagotovi transparentnost upravljanja in smotrnost porabe sredstev, ki jih Sklad izplača ARAO. Vsa sredstva/premoženje Sklada se uporabljajo strogo namensko in izključno za kritje razgradnje NEK in kritje stroškov odlaganja radioaktivnih odpadkov ter plačil nadomestila za omejeno rabo prostora </w:t>
            </w:r>
            <w:r>
              <w:rPr>
                <w:rFonts w:ascii="Calibri" w:hAnsi="Calibri" w:cs="Calibri"/>
                <w:color w:val="000000"/>
              </w:rPr>
              <w:lastRenderedPageBreak/>
              <w:t xml:space="preserve">lokalni skupnosti v skladu z Uredbo. Sklad je lastnik poslovnih prostorov na naslovu Cesta 4. julija v Krškem in hkrati plačnih stroškov ARAO, med drugim tudi najemnim za poslovne prostore, v katerih ARAO opravlja svoje dejavnosti. Z namenom znižanja stroškov je Sklad na ARAO naslovil pobudo za selitev dela služb oziroma celotnega poslovanja v proste poslovne prostore Sklada. Glede na naravo dela in povezanost ARAO in Sklada, pa je predlog o sedežu ARAO na naslovu Sklada še toliko bolj utemeljen. </w:t>
            </w:r>
          </w:p>
        </w:tc>
        <w:tc>
          <w:tcPr>
            <w:tcW w:w="6091" w:type="dxa"/>
          </w:tcPr>
          <w:p w14:paraId="175B1C90" w14:textId="4D0F3D6B" w:rsidR="00AC1C47" w:rsidRDefault="00AC1C47" w:rsidP="00C3139F">
            <w:pPr>
              <w:rPr>
                <w:rFonts w:ascii="Calibri" w:hAnsi="Calibri" w:cs="Calibri"/>
              </w:rPr>
            </w:pPr>
            <w:r>
              <w:rPr>
                <w:rFonts w:ascii="Calibri" w:hAnsi="Calibri" w:cs="Calibri"/>
              </w:rPr>
              <w:lastRenderedPageBreak/>
              <w:t xml:space="preserve">Pripomba je bila delno upoštevana. Sedež javnega gospodarskega zavoda bo v Krškem, na naslovu Vrbina 17, 8270 Krško. To je določeno v 3. členu predloga Odloka. </w:t>
            </w:r>
          </w:p>
          <w:p w14:paraId="0D6D3BB8" w14:textId="77777777" w:rsidR="00AC1C47" w:rsidRDefault="00AC1C47" w:rsidP="00C3139F">
            <w:pPr>
              <w:rPr>
                <w:rFonts w:ascii="Calibri" w:hAnsi="Calibri" w:cs="Calibri"/>
              </w:rPr>
            </w:pPr>
          </w:p>
        </w:tc>
        <w:tc>
          <w:tcPr>
            <w:tcW w:w="2126" w:type="dxa"/>
          </w:tcPr>
          <w:p w14:paraId="3298B446" w14:textId="612A2FEF" w:rsidR="00AC1C47" w:rsidRDefault="007826E5" w:rsidP="00C3139F">
            <w:pPr>
              <w:jc w:val="center"/>
            </w:pPr>
            <w:r>
              <w:t xml:space="preserve">Delno </w:t>
            </w:r>
            <w:r w:rsidR="00AC1C47">
              <w:t>upoštevano.</w:t>
            </w:r>
          </w:p>
        </w:tc>
      </w:tr>
      <w:tr w:rsidR="00AC1C47" w14:paraId="588655A5" w14:textId="77777777" w:rsidTr="007826E5">
        <w:tc>
          <w:tcPr>
            <w:tcW w:w="5670" w:type="dxa"/>
          </w:tcPr>
          <w:p w14:paraId="12FCA75F" w14:textId="114FAD7E" w:rsidR="00AC1C47" w:rsidRDefault="00AC1C47" w:rsidP="00C3139F">
            <w:pPr>
              <w:rPr>
                <w:rFonts w:ascii="Calibri" w:hAnsi="Calibri" w:cs="Calibri"/>
                <w:color w:val="000000"/>
              </w:rPr>
            </w:pPr>
            <w:r>
              <w:rPr>
                <w:rFonts w:ascii="Calibri" w:hAnsi="Calibri" w:cs="Calibri"/>
                <w:color w:val="000000"/>
              </w:rPr>
              <w:t xml:space="preserve">5. člen V predlogu Odloka je predvideno, da ARAO </w:t>
            </w:r>
            <w:proofErr w:type="spellStart"/>
            <w:r>
              <w:rPr>
                <w:rFonts w:ascii="Calibri" w:hAnsi="Calibri" w:cs="Calibri"/>
                <w:color w:val="000000"/>
              </w:rPr>
              <w:t>j.p</w:t>
            </w:r>
            <w:proofErr w:type="spellEnd"/>
            <w:r>
              <w:rPr>
                <w:rFonts w:ascii="Calibri" w:hAnsi="Calibri" w:cs="Calibri"/>
                <w:color w:val="000000"/>
              </w:rPr>
              <w:t xml:space="preserve">. deluje v skladu z zakonom, ki ureja varstvo pred ionizirajočimi sevanji in jedrsko varnostjo ter uredbo, ki določa način in pogoje izvajanja obvezne državne gospodarske javne službe za ravnanje z RAO, medtem ko sta predmetna predpisa oziroma spremembe še v fazi obravnave in sprejema. Določila Odloka bi se morala sklicevati na konkretno zakonodajo, dikcija pa ne bi smela dopustiti različnih interpretacij in morebitnih zlorab v prihodnosti. </w:t>
            </w:r>
          </w:p>
        </w:tc>
        <w:tc>
          <w:tcPr>
            <w:tcW w:w="6091" w:type="dxa"/>
          </w:tcPr>
          <w:p w14:paraId="37D61ADD" w14:textId="77777777" w:rsidR="00AC1C47" w:rsidRDefault="00AC1C47" w:rsidP="00C3139F">
            <w:pPr>
              <w:rPr>
                <w:rFonts w:ascii="Calibri" w:hAnsi="Calibri" w:cs="Calibri"/>
              </w:rPr>
            </w:pPr>
            <w:r>
              <w:rPr>
                <w:rFonts w:ascii="Calibri" w:hAnsi="Calibri" w:cs="Calibri"/>
              </w:rPr>
              <w:t xml:space="preserve">Ko bosta Uredba in novela ZVISJV-1B sprejeti, bo temu zadoščeno. Navedbam konkretnih predpisov pa se </w:t>
            </w:r>
            <w:proofErr w:type="spellStart"/>
            <w:r>
              <w:rPr>
                <w:rFonts w:ascii="Calibri" w:hAnsi="Calibri" w:cs="Calibri"/>
              </w:rPr>
              <w:t>nomotehnično</w:t>
            </w:r>
            <w:proofErr w:type="spellEnd"/>
            <w:r>
              <w:rPr>
                <w:rFonts w:ascii="Calibri" w:hAnsi="Calibri" w:cs="Calibri"/>
              </w:rPr>
              <w:t xml:space="preserve"> izogibamo, ker predstavljajo podlago za nenehno spreminjanje predpisa, če se spremeni še tako nepomembna zadeva v predpisu, ki mu služi kot podlaga.</w:t>
            </w:r>
          </w:p>
          <w:p w14:paraId="01AD9B97" w14:textId="77777777" w:rsidR="00AC1C47" w:rsidRDefault="00AC1C47" w:rsidP="00C3139F">
            <w:pPr>
              <w:rPr>
                <w:rFonts w:ascii="Calibri" w:hAnsi="Calibri" w:cs="Calibri"/>
              </w:rPr>
            </w:pPr>
          </w:p>
        </w:tc>
        <w:tc>
          <w:tcPr>
            <w:tcW w:w="2126" w:type="dxa"/>
          </w:tcPr>
          <w:p w14:paraId="7C36AC8B" w14:textId="6A97AED5" w:rsidR="00AC1C47" w:rsidRDefault="00AC1C47" w:rsidP="00C3139F">
            <w:pPr>
              <w:jc w:val="center"/>
            </w:pPr>
            <w:r>
              <w:t>Upoštevano.</w:t>
            </w:r>
          </w:p>
        </w:tc>
      </w:tr>
      <w:tr w:rsidR="00AC1C47" w14:paraId="49FC58AB" w14:textId="77777777" w:rsidTr="007826E5">
        <w:tc>
          <w:tcPr>
            <w:tcW w:w="5670" w:type="dxa"/>
          </w:tcPr>
          <w:p w14:paraId="156F9258" w14:textId="2442CFEC" w:rsidR="00AC1C47" w:rsidRDefault="00AC1C47" w:rsidP="00C3139F">
            <w:pPr>
              <w:rPr>
                <w:rFonts w:ascii="Calibri" w:hAnsi="Calibri" w:cs="Calibri"/>
                <w:color w:val="000000"/>
              </w:rPr>
            </w:pPr>
            <w:r>
              <w:rPr>
                <w:rFonts w:ascii="Calibri" w:hAnsi="Calibri" w:cs="Calibri"/>
                <w:color w:val="000000"/>
              </w:rPr>
              <w:t>8. člen Vprašanje višine vložka Republike Slovenije in višine osnovnih sredstev (kapitala) ARAO.</w:t>
            </w:r>
          </w:p>
        </w:tc>
        <w:tc>
          <w:tcPr>
            <w:tcW w:w="6091" w:type="dxa"/>
          </w:tcPr>
          <w:p w14:paraId="744E0139" w14:textId="38BF76F1" w:rsidR="00AC1C47" w:rsidRDefault="00AC1C47" w:rsidP="00C3139F">
            <w:pPr>
              <w:rPr>
                <w:rFonts w:ascii="Calibri" w:hAnsi="Calibri" w:cs="Calibri"/>
              </w:rPr>
            </w:pPr>
            <w:r>
              <w:rPr>
                <w:rFonts w:ascii="Calibri" w:hAnsi="Calibri" w:cs="Calibri"/>
              </w:rPr>
              <w:t>Določba glede osnovnega kapitala je bila črtana, saj se ohranja obstoječa pravnoorganizacijska oblika, tj. javni gospodarski zavod.</w:t>
            </w:r>
          </w:p>
        </w:tc>
        <w:tc>
          <w:tcPr>
            <w:tcW w:w="2126" w:type="dxa"/>
          </w:tcPr>
          <w:p w14:paraId="6F91DDF1" w14:textId="11940F36" w:rsidR="00AC1C47" w:rsidRDefault="00AC1C47" w:rsidP="00C3139F">
            <w:pPr>
              <w:jc w:val="center"/>
            </w:pPr>
            <w:r>
              <w:t>/</w:t>
            </w:r>
          </w:p>
        </w:tc>
      </w:tr>
      <w:tr w:rsidR="00AC1C47" w14:paraId="178FF1B8" w14:textId="77777777" w:rsidTr="007826E5">
        <w:tc>
          <w:tcPr>
            <w:tcW w:w="5670" w:type="dxa"/>
          </w:tcPr>
          <w:p w14:paraId="41CA9AC3" w14:textId="77777777" w:rsidR="00AC1C47" w:rsidRDefault="00AC1C47" w:rsidP="00C3139F">
            <w:pPr>
              <w:rPr>
                <w:rFonts w:ascii="Calibri" w:hAnsi="Calibri" w:cs="Calibri"/>
                <w:color w:val="000000"/>
              </w:rPr>
            </w:pPr>
            <w:r>
              <w:rPr>
                <w:rFonts w:ascii="Calibri" w:hAnsi="Calibri" w:cs="Calibri"/>
                <w:color w:val="000000"/>
              </w:rPr>
              <w:t xml:space="preserve">9. člen Izvedba investicije v odlagališče za nizko- in </w:t>
            </w:r>
            <w:proofErr w:type="spellStart"/>
            <w:r>
              <w:rPr>
                <w:rFonts w:ascii="Calibri" w:hAnsi="Calibri" w:cs="Calibri"/>
                <w:color w:val="000000"/>
              </w:rPr>
              <w:t>srednjeradioaktivne</w:t>
            </w:r>
            <w:proofErr w:type="spellEnd"/>
            <w:r>
              <w:rPr>
                <w:rFonts w:ascii="Calibri" w:hAnsi="Calibri" w:cs="Calibri"/>
                <w:color w:val="000000"/>
              </w:rPr>
              <w:t xml:space="preserve"> odpadke, bi po novem temeljila na potrjenem investicijskem programu. Investicijski program je akt, ki je podrejen Programu razgradnje NEK in Programu odlaganja radioaktivnih odpadkov in izrabljenega goriva oziroma morajo izračuni v Investicijskem programu slediti navedenemu dokumentu. Na osnovi določb predloga odloka </w:t>
            </w:r>
            <w:r>
              <w:rPr>
                <w:rFonts w:ascii="Calibri" w:hAnsi="Calibri" w:cs="Calibri"/>
                <w:color w:val="000000"/>
              </w:rPr>
              <w:lastRenderedPageBreak/>
              <w:t xml:space="preserve">je izvajalec javne službe v dolgoročnem programu dela, ki se sprejme za obdobje petih let, dolžan predvideti prihodke in druge prejemke tako, da je med drugimi prikazana ocena potrebnih finančnih sredstev za naloge, za katere se skladno z zakonom, ki ureja način zagotavljanja sredstev za financiranje razgradnje NEK in odlaganje RAO iz NEK, zagotavlja sredstva iz namenskega sklada. V izogib nejasnostim in morebitnim zlorabam v prihodnosti, bi moralo določilo jasno definirati, da se predmetna sredstva črpajo iz Sklada za financiranje razgradnje NEK in odlaganje RAO iz NEK, jasno pa bi moral biti definiran tudi način plačevanja in poročanja v zvezi s financiranjem. Računsko sodišče Republike Slovenije v Revizijskem poročilu štev. 321-1/2013/92, 21. decembra 2016, z naslovom Zagotavljanje sredstev za razgradnjo NEK in za odlagane radioaktivnih odpadkov iz NEK v popravljalnih ukrepih Vladi RS naložilo, da pripravi načrt aktivnosti z opredelitvijo aktivnosti, odgovornih oseb in rokov za pripravo ustreznih predpisov iz pristojnosti Vlade RS oziroma v primeru predpisov iz pristojnosti DZ RS, aktov za njihovo pripravo in posredovanje teh DZ RS v obravnavo in sprejem  tako, da bo s predpisi: - podrobneje določen način in obseg izvedbe revizije smotrnosti in namenskosti porabe sredstev ter kriteriji za presojo smotrnosti in namenskosti porabe sredstev Sklad, postopki, po katerih ravna Sklad, če se z revizijo smotrnosti in namenskosti porabe sredstev Sklada ugotovi, da uporabnik sredstev, ki jih je pridobil od Sklada, ni porabil smotrno in namensko, in opredeljene sankcije za uporabnika </w:t>
            </w:r>
            <w:r>
              <w:rPr>
                <w:rFonts w:ascii="Calibri" w:hAnsi="Calibri" w:cs="Calibri"/>
                <w:color w:val="000000"/>
              </w:rPr>
              <w:lastRenderedPageBreak/>
              <w:t xml:space="preserve">sredstev in za odgovorno osebo uporabnika sredstev; - določena oblika in vsebina poročila, ki ga mora ARAO - Agencija za radioaktivne odpadke, Ljubljana pošiljati Skladu, oziroma bo določeno, da je ministrstvo, pristojno za energetiko, zadolženo za sprejem predpisa, ki bo to določil; - določen nadzor nad namenskostjo porabe sredstev pri poslovanju Sklada, tako da so izplačila sklada ARAO - Agenciji za radioaktivne odpadke, Ljubljana, dovoljena zgolj ob predložitvi dokazil o dobavljenem materialu in opravljenih storitvah, in bo določeno redno poročanje ARAO - Agencije za radioaktivne odpadke, Ljubljana Skladu o izvedenih dejavnostih, nastalih stroških in naložbah. </w:t>
            </w:r>
            <w:r w:rsidRPr="0091339A">
              <w:rPr>
                <w:rFonts w:ascii="Calibri" w:hAnsi="Calibri" w:cs="Calibri"/>
                <w:color w:val="000000"/>
              </w:rPr>
              <w:t>V predlaganem odloku viri in način financiranja niso konkretno določeni, kot je to v danes veljavnem odloku (Sklad, drugi uporabniki skladišča in odlagališča RAO, proračun).</w:t>
            </w:r>
          </w:p>
          <w:p w14:paraId="2A469B59" w14:textId="77777777" w:rsidR="00AC1C47" w:rsidRDefault="00AC1C47" w:rsidP="00C3139F">
            <w:pPr>
              <w:rPr>
                <w:rFonts w:ascii="Calibri" w:hAnsi="Calibri" w:cs="Calibri"/>
                <w:color w:val="000000"/>
              </w:rPr>
            </w:pPr>
          </w:p>
        </w:tc>
        <w:tc>
          <w:tcPr>
            <w:tcW w:w="6091" w:type="dxa"/>
          </w:tcPr>
          <w:p w14:paraId="71C262EC" w14:textId="322F5871" w:rsidR="00AC1C47" w:rsidRPr="00C3139F" w:rsidRDefault="00AC1C47" w:rsidP="00C3139F">
            <w:pPr>
              <w:rPr>
                <w:rFonts w:ascii="Calibri" w:hAnsi="Calibri" w:cs="Calibri"/>
                <w:color w:val="000000"/>
              </w:rPr>
            </w:pPr>
            <w:r>
              <w:rPr>
                <w:rFonts w:ascii="Calibri" w:hAnsi="Calibri" w:cs="Calibri"/>
                <w:color w:val="000000"/>
              </w:rPr>
              <w:lastRenderedPageBreak/>
              <w:t xml:space="preserve">ARAO pojasnjuje, da navedba ne drži. Investicijski program ni dokument, ki je podrejen Programu razgradnje NEK in Programu odlaganja radioaktivnih odpadkov in izrabljenega goriva iz NEK. Pripravo in obravnavo investicijske dokumentacije za projekte, ki se financirajo po predpisih, ki urejajo javne finance, določa Uredba o enotni metodologiji za pripravo in obravnavo investicijske dokumentacije na področju javnih financ (Uradni list </w:t>
            </w:r>
            <w:r>
              <w:rPr>
                <w:rFonts w:ascii="Calibri" w:hAnsi="Calibri" w:cs="Calibri"/>
                <w:color w:val="000000"/>
              </w:rPr>
              <w:lastRenderedPageBreak/>
              <w:t xml:space="preserve">RS, št. 60/06, 54/10 in 27/16; v nadaljnjem besedilu: UEM). Investicijsko dokumentacijo za projekte, ki se umeščajo v prostor, kamor sodi tudi odlagališče, UEM podrobneje ureja v poglavju 4.a. Izdelavo INP ureja UEM. V skladu s prvim odstavkom 13. člena UEM je INP s svojim tehnično-tehnološkim in ekonomskim delom strokovna podlaga za investicijsko odločitev. Pri izdelavi INP je treba upoštevati metodološke osnove iz 5. člena UEM. Metodološke osnove obravnavajo zlasti usmeritve za opredelitev in analizo možnih variant ter izbor najboljše - optimalne variante. Investicijski program je torej dokument, ki predstavlja strokovno podlago za investicijsko odločitev, torej odločitev investicija da ali ne. Vsebuje analizo različnih vidikov izbrane variante, to je tehnično tehnološki vidik, kadrovski vidik, vidik stroškov in koristi, časovni vidik itd. Z izbrano strokovno metodo  se na podlagi te analize utemelji odločitev o smiselnosti izvedbe projekta. Bistven del investicijskega programa so tudi viri sredstev, ki morajo biti dokazljivi. V ta namen so v investicijskem programu ustrezno ocenjena sredstva za izvedbo investicije in podan načrt financiranja z opredelitvijo financiranja. Vira prihodkov oziroma vira za pokrivanje stroškov obratovanja sta Sklad NEK in proračun RS (podlaga ReNPRRO16-25, ukrep U4/4 in zadnji odstavek točke 4.4 ter prvi odstavek točke 2.2.2.1 </w:t>
            </w:r>
            <w:proofErr w:type="spellStart"/>
            <w:r>
              <w:rPr>
                <w:rFonts w:ascii="Calibri" w:hAnsi="Calibri" w:cs="Calibri"/>
                <w:color w:val="000000"/>
              </w:rPr>
              <w:t>porevizijskega</w:t>
            </w:r>
            <w:proofErr w:type="spellEnd"/>
            <w:r>
              <w:rPr>
                <w:rFonts w:ascii="Calibri" w:hAnsi="Calibri" w:cs="Calibri"/>
                <w:color w:val="000000"/>
              </w:rPr>
              <w:t xml:space="preserve"> poročila Popravljalni ukrepi pri reviziji zagotavljanja sredstev za razgradnjo Nuklearne elektrarne Krško in za odlaganje radioaktivnih odpadkov iz Nuklearne elektrarne Krško (št.: 321-1/2013/102, 5. 5. 2017). Navedena vira pokrivata stroške v vseh letih obratovanja v enakem razmerju kot stroške investicije, </w:t>
            </w:r>
            <w:proofErr w:type="spellStart"/>
            <w:r>
              <w:rPr>
                <w:rFonts w:ascii="Calibri" w:hAnsi="Calibri" w:cs="Calibri"/>
                <w:color w:val="000000"/>
              </w:rPr>
              <w:t>t.j</w:t>
            </w:r>
            <w:proofErr w:type="spellEnd"/>
            <w:r>
              <w:rPr>
                <w:rFonts w:ascii="Calibri" w:hAnsi="Calibri" w:cs="Calibri"/>
                <w:color w:val="000000"/>
              </w:rPr>
              <w:t xml:space="preserve">. v razmerju odlagalne prostornine slovenskega deleža NSRAO iz NEK </w:t>
            </w:r>
            <w:r>
              <w:rPr>
                <w:rFonts w:ascii="Calibri" w:hAnsi="Calibri" w:cs="Calibri"/>
                <w:color w:val="000000"/>
              </w:rPr>
              <w:lastRenderedPageBreak/>
              <w:t>in odlagalne prostornine institucionalnih odpadkov. Stroški priprave na aktivni dolgoročni nadzor in aktivni dolgoročni nadzor bodo na podlagi 173. člena ZVISJV-1 v celoti pokriti iz proračuna RS.   Zagotavljanje smotrnosti in namenskosti porabe sredstev Sklad NEK bo zagotovljeno v okviru vseh zahtev, ki jih za javno podjetje določa odlok in zahteve iz zakona, ki ureja gospodarske družbe. Poleg tega UEM določa, da se za vsak projekt, torej tudi za projekt odlagališča NSRAO, najmanj enkrat letno pripravi poročilo o izvajanju, ki povzame bistvene elemente izvedbe projekta, odstopanje od načrtovanih predpostavk ter ukrepe za odpravo težav. Poročilo se pripravi najkasneje ob zaključku leta oziroma že prej, če se ocenjena vrednost projekta spremeni za več kot 20 % ali pa se načrt izvedbe podaljša za več kot eno leto. Poročilo o izvajanju je tako osnovni dokument, na katerem temeljijo manjše spremembe projektov.</w:t>
            </w:r>
          </w:p>
        </w:tc>
        <w:tc>
          <w:tcPr>
            <w:tcW w:w="2126" w:type="dxa"/>
          </w:tcPr>
          <w:p w14:paraId="4959DD69" w14:textId="02F1CEB8" w:rsidR="00AC1C47" w:rsidRDefault="00AC1C47" w:rsidP="00C3139F">
            <w:pPr>
              <w:jc w:val="center"/>
            </w:pPr>
            <w:r>
              <w:lastRenderedPageBreak/>
              <w:t>Ni upoštevano.</w:t>
            </w:r>
          </w:p>
        </w:tc>
      </w:tr>
      <w:tr w:rsidR="00AC1C47" w14:paraId="2369061A" w14:textId="77777777" w:rsidTr="007826E5">
        <w:tc>
          <w:tcPr>
            <w:tcW w:w="5670" w:type="dxa"/>
          </w:tcPr>
          <w:p w14:paraId="5F747F69" w14:textId="77777777" w:rsidR="00AC1C47" w:rsidRDefault="00AC1C47" w:rsidP="00C3139F">
            <w:pPr>
              <w:rPr>
                <w:rFonts w:ascii="Calibri" w:hAnsi="Calibri" w:cs="Calibri"/>
                <w:color w:val="000000"/>
              </w:rPr>
            </w:pPr>
            <w:r>
              <w:rPr>
                <w:rFonts w:ascii="Calibri" w:hAnsi="Calibri" w:cs="Calibri"/>
                <w:color w:val="000000"/>
              </w:rPr>
              <w:lastRenderedPageBreak/>
              <w:t xml:space="preserve">10. člen Predlog odloka ne definira povezav s Skladom in ostalimi deležniki v smislu načrtovanja sredstev. </w:t>
            </w:r>
          </w:p>
          <w:p w14:paraId="3478A926" w14:textId="77777777" w:rsidR="00AC1C47" w:rsidRDefault="00AC1C47" w:rsidP="00C3139F">
            <w:pPr>
              <w:rPr>
                <w:rFonts w:ascii="Calibri" w:hAnsi="Calibri" w:cs="Calibri"/>
                <w:color w:val="000000"/>
              </w:rPr>
            </w:pPr>
          </w:p>
        </w:tc>
        <w:tc>
          <w:tcPr>
            <w:tcW w:w="6091" w:type="dxa"/>
          </w:tcPr>
          <w:p w14:paraId="13FDF5AB" w14:textId="06796D65" w:rsidR="00AC1C47" w:rsidRDefault="00AC1C47" w:rsidP="00C3139F">
            <w:pPr>
              <w:rPr>
                <w:rFonts w:ascii="Calibri" w:hAnsi="Calibri" w:cs="Calibri"/>
                <w:color w:val="000000"/>
              </w:rPr>
            </w:pPr>
            <w:r>
              <w:rPr>
                <w:rFonts w:ascii="Calibri" w:hAnsi="Calibri" w:cs="Calibri"/>
                <w:color w:val="000000"/>
              </w:rPr>
              <w:t xml:space="preserve">Načrtovano je, da ARAO vsako poslovno leto sklene z ministrstvom, pristojnim za energijo, aneks k pogodbi, ki je med njima sklenjena za nedoločen čas, s katero se določijo razmerja med državo in izvajalcem javne službe ravnanja z RAO. Način zagotavljanja sredstev za financiranje izvajalca obvezne državne gospodarske službe ravnanja z radioaktivnimi odpadki in povezav s Sklad NEK je določen v predlogu Zakon o Javnem skladu Republike Slovenije za financiranje razgradnje Nuklearne elektrarne Krško in odlaganja radioaktivnih odpadkov in izrabljenega goriva iz Nuklearne elektrarne Krško, v okviru določitve namenske porabe sredstev, financiranja obvezne državne gospodarske javne službe za ravnanje z RAO iz proračuna </w:t>
            </w:r>
            <w:r>
              <w:rPr>
                <w:rFonts w:ascii="Calibri" w:hAnsi="Calibri" w:cs="Calibri"/>
                <w:color w:val="000000"/>
              </w:rPr>
              <w:lastRenderedPageBreak/>
              <w:t>in v okviru poslovnega in finančnega načrta Sklada</w:t>
            </w:r>
            <w:r w:rsidRPr="0091339A">
              <w:rPr>
                <w:rFonts w:ascii="Calibri" w:hAnsi="Calibri" w:cs="Calibri"/>
                <w:color w:val="000000"/>
              </w:rPr>
              <w:t>. Predlagana spremenjena razmerja med ustanoviteljem, skladom in ARAO kot  izvajalcem obvezne državne gospodarske službe in sistem financiranja bo zagotavljal nemoteno financiranje ARAO in odpravlja sedanjo sistemsko ureditev, ki v praksi ne omogoča pravočasnega, rednega in dolgoročnega financiranja ARAO in s tem ustrezne izvedbe dejavnosti in storitev ARAO, predvsem na področju izvedbe investicije v odlagališče NSRAO Vrbina, Krško</w:t>
            </w:r>
            <w:r w:rsidRPr="003C1315">
              <w:rPr>
                <w:rFonts w:ascii="Calibri" w:hAnsi="Calibri" w:cs="Calibri"/>
                <w:color w:val="000000"/>
              </w:rPr>
              <w:t>.</w:t>
            </w:r>
            <w:r>
              <w:rPr>
                <w:rFonts w:ascii="Calibri" w:hAnsi="Calibri" w:cs="Calibri"/>
                <w:color w:val="000000"/>
              </w:rPr>
              <w:t xml:space="preserve"> Naloge in povezave sklada z deležniki so definirane v novem predlogu Zakona o skladu NEK. </w:t>
            </w:r>
          </w:p>
        </w:tc>
        <w:tc>
          <w:tcPr>
            <w:tcW w:w="2126" w:type="dxa"/>
          </w:tcPr>
          <w:p w14:paraId="10C652F4" w14:textId="7901DBE2" w:rsidR="00AC1C47" w:rsidRDefault="00AC1C47" w:rsidP="00C3139F">
            <w:pPr>
              <w:jc w:val="center"/>
            </w:pPr>
            <w:r>
              <w:lastRenderedPageBreak/>
              <w:t>Upoštevano.</w:t>
            </w:r>
          </w:p>
        </w:tc>
      </w:tr>
      <w:tr w:rsidR="00AC1C47" w14:paraId="34F732C6" w14:textId="77777777" w:rsidTr="007826E5">
        <w:tc>
          <w:tcPr>
            <w:tcW w:w="5670" w:type="dxa"/>
          </w:tcPr>
          <w:p w14:paraId="41D01B18" w14:textId="3B47791D" w:rsidR="00AC1C47" w:rsidRDefault="00AC1C47" w:rsidP="00C3139F">
            <w:pPr>
              <w:rPr>
                <w:rFonts w:ascii="Calibri" w:hAnsi="Calibri" w:cs="Calibri"/>
                <w:color w:val="000000"/>
              </w:rPr>
            </w:pPr>
            <w:r>
              <w:rPr>
                <w:rFonts w:ascii="Calibri" w:hAnsi="Calibri" w:cs="Calibri"/>
                <w:color w:val="000000"/>
              </w:rPr>
              <w:t xml:space="preserve">12. člen Predlog odloka predpisuje, da mora poročilo notranjega revizorja v posebnem poglavju obravnavati revizijo smotrnosti in namenskosti porabe sredstev. Zapis je splošen in ne predpisuje katerih sredstev, ne določa oblike poročila, rokov, itd. Revizija smotrnosti in namenskosti sredstev Sklada je predpisana v Zakonu o Skladu. </w:t>
            </w:r>
          </w:p>
        </w:tc>
        <w:tc>
          <w:tcPr>
            <w:tcW w:w="6091" w:type="dxa"/>
          </w:tcPr>
          <w:p w14:paraId="67AC3AF6" w14:textId="4E884AC0" w:rsidR="00AC1C47" w:rsidRPr="00C3139F" w:rsidRDefault="00AC1C47" w:rsidP="00C3139F">
            <w:pPr>
              <w:rPr>
                <w:rFonts w:ascii="Calibri" w:hAnsi="Calibri" w:cs="Calibri"/>
              </w:rPr>
            </w:pPr>
            <w:r w:rsidRPr="003C1315">
              <w:rPr>
                <w:rFonts w:ascii="Calibri" w:hAnsi="Calibri" w:cs="Calibri"/>
              </w:rPr>
              <w:t>Črtana je bila revizija smotrnosti in namenskosti sredstev. ARAO je mnenja, da je dosedanja praksa glede izvedbe revizije smotrnosti in namenskosti porabe sredstev takšna, da revizija ne prinaša posebne dodatne vrednosti ter so že sedaj za enak namen predvideni ustrezni mehanizmi.</w:t>
            </w:r>
            <w:r>
              <w:rPr>
                <w:rFonts w:ascii="Calibri" w:hAnsi="Calibri" w:cs="Calibri"/>
              </w:rPr>
              <w:t xml:space="preserve"> </w:t>
            </w:r>
          </w:p>
        </w:tc>
        <w:tc>
          <w:tcPr>
            <w:tcW w:w="2126" w:type="dxa"/>
          </w:tcPr>
          <w:p w14:paraId="555EE800" w14:textId="5C96BBA1" w:rsidR="00AC1C47" w:rsidRDefault="00AC1C47" w:rsidP="00C3139F">
            <w:pPr>
              <w:jc w:val="center"/>
            </w:pPr>
            <w:r>
              <w:t>Rešeno na drugačen način.</w:t>
            </w:r>
          </w:p>
        </w:tc>
      </w:tr>
      <w:tr w:rsidR="00AC1C47" w14:paraId="710969B5" w14:textId="77777777" w:rsidTr="007826E5">
        <w:tc>
          <w:tcPr>
            <w:tcW w:w="5670" w:type="dxa"/>
          </w:tcPr>
          <w:p w14:paraId="4EA32AE5" w14:textId="22F93FC7" w:rsidR="00AC1C47" w:rsidRDefault="00AC1C47" w:rsidP="00C3139F">
            <w:pPr>
              <w:rPr>
                <w:rFonts w:ascii="Calibri" w:hAnsi="Calibri" w:cs="Calibri"/>
                <w:color w:val="000000"/>
              </w:rPr>
            </w:pPr>
            <w:r>
              <w:rPr>
                <w:rFonts w:ascii="Calibri" w:hAnsi="Calibri" w:cs="Calibri"/>
                <w:color w:val="000000"/>
              </w:rPr>
              <w:t xml:space="preserve">15. člen Kot organi javnega podjetja so predvideni skupščina (edini družbenik je RS), nadzorni svet in direktor. Za razliko od sedaj veljavnega odloka, štiri člane NS imenuje ustanovitelj na predlog pristojnega ministra in enega člana, ki zastopa interese delavcev. Na osnovi sprememb Zakona o Skladu, ki so bile sprejete leta 2008, je Sklad dolžan redno spremljati izvedene dejavnosti ARAO - </w:t>
            </w:r>
            <w:proofErr w:type="spellStart"/>
            <w:r>
              <w:rPr>
                <w:rFonts w:ascii="Calibri" w:hAnsi="Calibri" w:cs="Calibri"/>
                <w:color w:val="000000"/>
              </w:rPr>
              <w:t>j.g.z</w:t>
            </w:r>
            <w:proofErr w:type="spellEnd"/>
            <w:r>
              <w:rPr>
                <w:rFonts w:ascii="Calibri" w:hAnsi="Calibri" w:cs="Calibri"/>
                <w:color w:val="000000"/>
              </w:rPr>
              <w:t xml:space="preserve">. oziroma nastale stroške, nadzorovati smotrnost in namenskost porabe sredstev iz 3. člena Zakona o Skladu ter se sistematično ukvarjati s problematiko odnosov med ARAO - </w:t>
            </w:r>
            <w:proofErr w:type="spellStart"/>
            <w:r>
              <w:rPr>
                <w:rFonts w:ascii="Calibri" w:hAnsi="Calibri" w:cs="Calibri"/>
                <w:color w:val="000000"/>
              </w:rPr>
              <w:t>j.g.z</w:t>
            </w:r>
            <w:proofErr w:type="spellEnd"/>
            <w:r>
              <w:rPr>
                <w:rFonts w:ascii="Calibri" w:hAnsi="Calibri" w:cs="Calibri"/>
                <w:color w:val="000000"/>
              </w:rPr>
              <w:t xml:space="preserve">. in Skladom. V ta namen bi bilo smiselno v nadzorni svet ARAO imenovati predstavnika Sklada, ki bo sodeloval že v </w:t>
            </w:r>
            <w:r>
              <w:rPr>
                <w:rFonts w:ascii="Calibri" w:hAnsi="Calibri" w:cs="Calibri"/>
                <w:color w:val="000000"/>
              </w:rPr>
              <w:lastRenderedPageBreak/>
              <w:t>postopkih načrtovanja porabe sredstev za izgradnjo odlagališča NSRAO iz NEK in razgradnje NEK. Sklad predstavlja glavni vir financiranja ARAO. Lokalna skupnost Krško v svojem okolju sprejema jedrski objekt, soglasje pa je bilo dano tudi k izgradnji odlagališča NSRAO zato menimo, da bi moral biti v organu imenovan tudi predstavnik lokalne skupnosti. Prav tako v predlogu "manjka" član, ki ga imenuje NEK, saj se velik delež dejavnosti nanaša prav na NEK.</w:t>
            </w:r>
          </w:p>
        </w:tc>
        <w:tc>
          <w:tcPr>
            <w:tcW w:w="6091" w:type="dxa"/>
          </w:tcPr>
          <w:p w14:paraId="64B17B0A" w14:textId="4BA81B70" w:rsidR="00AC1C47" w:rsidRDefault="00AC1C47">
            <w:pPr>
              <w:rPr>
                <w:rFonts w:ascii="Calibri" w:hAnsi="Calibri" w:cs="Calibri"/>
                <w:color w:val="000000"/>
              </w:rPr>
            </w:pPr>
            <w:r>
              <w:rPr>
                <w:rFonts w:ascii="Calibri" w:hAnsi="Calibri" w:cs="Calibri"/>
              </w:rPr>
              <w:lastRenderedPageBreak/>
              <w:t xml:space="preserve">Zaradi nasprotujočih si predlogov, sodelujočih v javni obravnavi, se podani predlogi k tej določbi zaenkrat ne morejo upoštevati. Posledično ostaja določba nespremenjena, kar pa dopušča možnosti za ministra, pristojnega za energijo, da pri predlaganju 4 članov upošteva v praksi tudi podane predloge. </w:t>
            </w:r>
          </w:p>
        </w:tc>
        <w:tc>
          <w:tcPr>
            <w:tcW w:w="2126" w:type="dxa"/>
          </w:tcPr>
          <w:p w14:paraId="07CA2566" w14:textId="533946DB" w:rsidR="00AC1C47" w:rsidRDefault="00AC1C47" w:rsidP="00C3139F">
            <w:pPr>
              <w:jc w:val="center"/>
            </w:pPr>
            <w:r>
              <w:t xml:space="preserve">Ni upoštevano. </w:t>
            </w:r>
          </w:p>
        </w:tc>
      </w:tr>
    </w:tbl>
    <w:p w14:paraId="3543C037" w14:textId="77777777" w:rsidR="00C3139F" w:rsidRPr="003F3CBA" w:rsidRDefault="00C3139F" w:rsidP="003F3CBA">
      <w:pPr>
        <w:jc w:val="center"/>
        <w:rPr>
          <w:b/>
          <w:bCs/>
        </w:rPr>
      </w:pPr>
    </w:p>
    <w:sectPr w:rsidR="00C3139F" w:rsidRPr="003F3CBA" w:rsidSect="00B20D1A">
      <w:headerReference w:type="default" r:id="rId8"/>
      <w:footerReference w:type="default" r:id="rId9"/>
      <w:pgSz w:w="16838" w:h="11906" w:orient="landscape"/>
      <w:pgMar w:top="1417" w:right="1417" w:bottom="1417" w:left="1417" w:header="25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0218" w14:textId="77777777" w:rsidR="003F3CBA" w:rsidRDefault="003F3CBA" w:rsidP="003F3CBA">
      <w:pPr>
        <w:spacing w:after="0" w:line="240" w:lineRule="auto"/>
      </w:pPr>
      <w:r>
        <w:separator/>
      </w:r>
    </w:p>
  </w:endnote>
  <w:endnote w:type="continuationSeparator" w:id="0">
    <w:p w14:paraId="51725E3A" w14:textId="77777777" w:rsidR="003F3CBA" w:rsidRDefault="003F3CBA" w:rsidP="003F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091561"/>
      <w:docPartObj>
        <w:docPartGallery w:val="Page Numbers (Bottom of Page)"/>
        <w:docPartUnique/>
      </w:docPartObj>
    </w:sdtPr>
    <w:sdtEndPr/>
    <w:sdtContent>
      <w:p w14:paraId="4AE2D55B" w14:textId="13C98D1D" w:rsidR="00DA2804" w:rsidRDefault="00DA2804">
        <w:pPr>
          <w:pStyle w:val="Noga"/>
          <w:jc w:val="center"/>
        </w:pPr>
        <w:r>
          <w:fldChar w:fldCharType="begin"/>
        </w:r>
        <w:r>
          <w:instrText>PAGE   \* MERGEFORMAT</w:instrText>
        </w:r>
        <w:r>
          <w:fldChar w:fldCharType="separate"/>
        </w:r>
        <w:r>
          <w:t>2</w:t>
        </w:r>
        <w:r>
          <w:fldChar w:fldCharType="end"/>
        </w:r>
      </w:p>
    </w:sdtContent>
  </w:sdt>
  <w:p w14:paraId="133239B0" w14:textId="77777777" w:rsidR="00DA2804" w:rsidRDefault="00DA28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D4E70" w14:textId="77777777" w:rsidR="003F3CBA" w:rsidRDefault="003F3CBA" w:rsidP="003F3CBA">
      <w:pPr>
        <w:spacing w:after="0" w:line="240" w:lineRule="auto"/>
      </w:pPr>
      <w:r>
        <w:separator/>
      </w:r>
    </w:p>
  </w:footnote>
  <w:footnote w:type="continuationSeparator" w:id="0">
    <w:p w14:paraId="399B5241" w14:textId="77777777" w:rsidR="003F3CBA" w:rsidRDefault="003F3CBA" w:rsidP="003F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8FA2" w14:textId="748AC117" w:rsidR="003F3CBA" w:rsidRDefault="00B20D1A">
    <w:pPr>
      <w:pStyle w:val="Glava"/>
    </w:pPr>
    <w:r w:rsidRPr="00B20D1A">
      <w:rPr>
        <w:noProof/>
      </w:rPr>
      <mc:AlternateContent>
        <mc:Choice Requires="wps">
          <w:drawing>
            <wp:anchor distT="0" distB="0" distL="114300" distR="114300" simplePos="0" relativeHeight="251663360" behindDoc="0" locked="0" layoutInCell="1" allowOverlap="1" wp14:anchorId="5E46F214" wp14:editId="482DD91A">
              <wp:simplePos x="0" y="0"/>
              <wp:positionH relativeFrom="column">
                <wp:posOffset>7978140</wp:posOffset>
              </wp:positionH>
              <wp:positionV relativeFrom="paragraph">
                <wp:posOffset>-37147</wp:posOffset>
              </wp:positionV>
              <wp:extent cx="847725" cy="0"/>
              <wp:effectExtent l="0" t="0" r="0" b="0"/>
              <wp:wrapNone/>
              <wp:docPr id="13"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847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07EC01" id="Line 17"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8.2pt,-2.9pt" to="694.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" strokeweight=".5pt">
              <o:lock v:ext="edit" aspectratio="t"/>
            </v:line>
          </w:pict>
        </mc:Fallback>
      </mc:AlternateContent>
    </w:r>
    <w:r w:rsidRPr="00B20D1A">
      <w:rPr>
        <w:noProof/>
      </w:rPr>
      <mc:AlternateContent>
        <mc:Choice Requires="wpg">
          <w:drawing>
            <wp:anchor distT="0" distB="0" distL="114300" distR="114300" simplePos="0" relativeHeight="251662336" behindDoc="0" locked="0" layoutInCell="1" allowOverlap="1" wp14:anchorId="74CFCF40" wp14:editId="21EE8633">
              <wp:simplePos x="0" y="0"/>
              <wp:positionH relativeFrom="column">
                <wp:posOffset>7713462</wp:posOffset>
              </wp:positionH>
              <wp:positionV relativeFrom="paragraph">
                <wp:posOffset>-229237</wp:posOffset>
              </wp:positionV>
              <wp:extent cx="322580" cy="381635"/>
              <wp:effectExtent l="0" t="0" r="20320" b="18415"/>
              <wp:wrapNone/>
              <wp:docPr id="14"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381635"/>
                        <a:chOff x="18391" y="1837"/>
                        <a:chExt cx="1284" cy="1520"/>
                      </a:xfrm>
                    </wpg:grpSpPr>
                    <wps:wsp>
                      <wps:cNvPr id="15" name="Freeform 14"/>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189C64A" id="Group 13" o:spid="_x0000_s1026" alt="&quot;&quot;" style="position:absolute;margin-left:607.35pt;margin-top:-18.05pt;width:25.4pt;height:30.05pt;z-index:251662336" coordorigin="18391,1837" coordsize="1284,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">
              <v:shape id="Freeform 14" o:spid="_x0000_s1027"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15" o:spid="_x0000_s1028"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16" o:spid="_x0000_s1029"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w:pict>
        </mc:Fallback>
      </mc:AlternateContent>
    </w:r>
    <w:r w:rsidRPr="00B20D1A">
      <w:rPr>
        <w:noProof/>
      </w:rPr>
      <mc:AlternateContent>
        <mc:Choice Requires="wps">
          <w:drawing>
            <wp:anchor distT="0" distB="0" distL="114300" distR="114300" simplePos="0" relativeHeight="251661312" behindDoc="0" locked="0" layoutInCell="1" allowOverlap="1" wp14:anchorId="6A4DFBBF" wp14:editId="569F1E81">
              <wp:simplePos x="0" y="0"/>
              <wp:positionH relativeFrom="column">
                <wp:posOffset>356870</wp:posOffset>
              </wp:positionH>
              <wp:positionV relativeFrom="paragraph">
                <wp:posOffset>-111760</wp:posOffset>
              </wp:positionV>
              <wp:extent cx="7498080" cy="0"/>
              <wp:effectExtent l="0" t="0" r="0" b="0"/>
              <wp:wrapNone/>
              <wp:docPr id="1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8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91760E9" id="Line 1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pt,-8.8pt" to="61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" strokeweight=".5pt">
              <o:lock v:ext="edit" aspectratio="t"/>
            </v:line>
          </w:pict>
        </mc:Fallback>
      </mc:AlternateContent>
    </w:r>
    <w:r w:rsidR="003F3CBA">
      <w:rPr>
        <w:noProof/>
        <w:lang w:val="en-US"/>
      </w:rPr>
      <w:drawing>
        <wp:anchor distT="0" distB="0" distL="114300" distR="114300" simplePos="0" relativeHeight="251659264" behindDoc="0" locked="0" layoutInCell="1" allowOverlap="1" wp14:anchorId="66CA3EC4" wp14:editId="31621BBF">
          <wp:simplePos x="0" y="0"/>
          <wp:positionH relativeFrom="page">
            <wp:posOffset>663575</wp:posOffset>
          </wp:positionH>
          <wp:positionV relativeFrom="page">
            <wp:posOffset>-15875</wp:posOffset>
          </wp:positionV>
          <wp:extent cx="4321810" cy="1347470"/>
          <wp:effectExtent l="0" t="0" r="0" b="0"/>
          <wp:wrapSquare wrapText="bothSides"/>
          <wp:docPr id="27" name="Slik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55E74"/>
    <w:multiLevelType w:val="hybridMultilevel"/>
    <w:tmpl w:val="EB7231F6"/>
    <w:lvl w:ilvl="0" w:tplc="DB969B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A"/>
    <w:rsid w:val="00134E91"/>
    <w:rsid w:val="003C1315"/>
    <w:rsid w:val="003F3CBA"/>
    <w:rsid w:val="004271FD"/>
    <w:rsid w:val="004D2A86"/>
    <w:rsid w:val="004E2F26"/>
    <w:rsid w:val="007826E5"/>
    <w:rsid w:val="00893469"/>
    <w:rsid w:val="0091339A"/>
    <w:rsid w:val="00AC1C47"/>
    <w:rsid w:val="00B0622F"/>
    <w:rsid w:val="00B20D1A"/>
    <w:rsid w:val="00C3139F"/>
    <w:rsid w:val="00D10E7C"/>
    <w:rsid w:val="00D40C20"/>
    <w:rsid w:val="00DA2804"/>
    <w:rsid w:val="00DF1162"/>
    <w:rsid w:val="00E803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63DFF"/>
  <w15:chartTrackingRefBased/>
  <w15:docId w15:val="{F50F10CC-6CFB-4B44-A4DB-6FE40A46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F3CBA"/>
    <w:pPr>
      <w:tabs>
        <w:tab w:val="center" w:pos="4536"/>
        <w:tab w:val="right" w:pos="9072"/>
      </w:tabs>
      <w:spacing w:after="0" w:line="240" w:lineRule="auto"/>
    </w:pPr>
  </w:style>
  <w:style w:type="character" w:customStyle="1" w:styleId="GlavaZnak">
    <w:name w:val="Glava Znak"/>
    <w:basedOn w:val="Privzetapisavaodstavka"/>
    <w:link w:val="Glava"/>
    <w:uiPriority w:val="99"/>
    <w:rsid w:val="003F3CBA"/>
  </w:style>
  <w:style w:type="paragraph" w:styleId="Noga">
    <w:name w:val="footer"/>
    <w:basedOn w:val="Navaden"/>
    <w:link w:val="NogaZnak"/>
    <w:uiPriority w:val="99"/>
    <w:unhideWhenUsed/>
    <w:rsid w:val="003F3CBA"/>
    <w:pPr>
      <w:tabs>
        <w:tab w:val="center" w:pos="4536"/>
        <w:tab w:val="right" w:pos="9072"/>
      </w:tabs>
      <w:spacing w:after="0" w:line="240" w:lineRule="auto"/>
    </w:pPr>
  </w:style>
  <w:style w:type="character" w:customStyle="1" w:styleId="NogaZnak">
    <w:name w:val="Noga Znak"/>
    <w:basedOn w:val="Privzetapisavaodstavka"/>
    <w:link w:val="Noga"/>
    <w:uiPriority w:val="99"/>
    <w:rsid w:val="003F3CBA"/>
  </w:style>
  <w:style w:type="table" w:styleId="Tabelamrea">
    <w:name w:val="Table Grid"/>
    <w:basedOn w:val="Navadnatabela"/>
    <w:uiPriority w:val="39"/>
    <w:rsid w:val="003F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20D1A"/>
    <w:pPr>
      <w:ind w:left="720"/>
      <w:contextualSpacing/>
    </w:pPr>
  </w:style>
  <w:style w:type="character" w:styleId="Pripombasklic">
    <w:name w:val="annotation reference"/>
    <w:basedOn w:val="Privzetapisavaodstavka"/>
    <w:uiPriority w:val="99"/>
    <w:semiHidden/>
    <w:unhideWhenUsed/>
    <w:rsid w:val="00D10E7C"/>
    <w:rPr>
      <w:sz w:val="16"/>
      <w:szCs w:val="16"/>
    </w:rPr>
  </w:style>
  <w:style w:type="paragraph" w:styleId="Pripombabesedilo">
    <w:name w:val="annotation text"/>
    <w:basedOn w:val="Navaden"/>
    <w:link w:val="PripombabesediloZnak"/>
    <w:uiPriority w:val="99"/>
    <w:semiHidden/>
    <w:unhideWhenUsed/>
    <w:rsid w:val="00D10E7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10E7C"/>
    <w:rPr>
      <w:sz w:val="20"/>
      <w:szCs w:val="20"/>
    </w:rPr>
  </w:style>
  <w:style w:type="paragraph" w:styleId="Zadevapripombe">
    <w:name w:val="annotation subject"/>
    <w:basedOn w:val="Pripombabesedilo"/>
    <w:next w:val="Pripombabesedilo"/>
    <w:link w:val="ZadevapripombeZnak"/>
    <w:uiPriority w:val="99"/>
    <w:semiHidden/>
    <w:unhideWhenUsed/>
    <w:rsid w:val="00D10E7C"/>
    <w:rPr>
      <w:b/>
      <w:bCs/>
    </w:rPr>
  </w:style>
  <w:style w:type="character" w:customStyle="1" w:styleId="ZadevapripombeZnak">
    <w:name w:val="Zadeva pripombe Znak"/>
    <w:basedOn w:val="PripombabesediloZnak"/>
    <w:link w:val="Zadevapripombe"/>
    <w:uiPriority w:val="99"/>
    <w:semiHidden/>
    <w:rsid w:val="00D10E7C"/>
    <w:rPr>
      <w:b/>
      <w:bCs/>
      <w:sz w:val="20"/>
      <w:szCs w:val="20"/>
    </w:rPr>
  </w:style>
  <w:style w:type="paragraph" w:styleId="Besedilooblaka">
    <w:name w:val="Balloon Text"/>
    <w:basedOn w:val="Navaden"/>
    <w:link w:val="BesedilooblakaZnak"/>
    <w:uiPriority w:val="99"/>
    <w:semiHidden/>
    <w:unhideWhenUsed/>
    <w:rsid w:val="00D10E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0E7C"/>
    <w:rPr>
      <w:rFonts w:ascii="Segoe UI" w:hAnsi="Segoe UI" w:cs="Segoe UI"/>
      <w:sz w:val="18"/>
      <w:szCs w:val="18"/>
    </w:rPr>
  </w:style>
  <w:style w:type="paragraph" w:styleId="Revizija">
    <w:name w:val="Revision"/>
    <w:hidden/>
    <w:uiPriority w:val="99"/>
    <w:semiHidden/>
    <w:rsid w:val="00427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2448">
      <w:bodyDiv w:val="1"/>
      <w:marLeft w:val="0"/>
      <w:marRight w:val="0"/>
      <w:marTop w:val="0"/>
      <w:marBottom w:val="0"/>
      <w:divBdr>
        <w:top w:val="none" w:sz="0" w:space="0" w:color="auto"/>
        <w:left w:val="none" w:sz="0" w:space="0" w:color="auto"/>
        <w:bottom w:val="none" w:sz="0" w:space="0" w:color="auto"/>
        <w:right w:val="none" w:sz="0" w:space="0" w:color="auto"/>
      </w:divBdr>
    </w:div>
    <w:div w:id="20715192">
      <w:bodyDiv w:val="1"/>
      <w:marLeft w:val="0"/>
      <w:marRight w:val="0"/>
      <w:marTop w:val="0"/>
      <w:marBottom w:val="0"/>
      <w:divBdr>
        <w:top w:val="none" w:sz="0" w:space="0" w:color="auto"/>
        <w:left w:val="none" w:sz="0" w:space="0" w:color="auto"/>
        <w:bottom w:val="none" w:sz="0" w:space="0" w:color="auto"/>
        <w:right w:val="none" w:sz="0" w:space="0" w:color="auto"/>
      </w:divBdr>
    </w:div>
    <w:div w:id="343095612">
      <w:bodyDiv w:val="1"/>
      <w:marLeft w:val="0"/>
      <w:marRight w:val="0"/>
      <w:marTop w:val="0"/>
      <w:marBottom w:val="0"/>
      <w:divBdr>
        <w:top w:val="none" w:sz="0" w:space="0" w:color="auto"/>
        <w:left w:val="none" w:sz="0" w:space="0" w:color="auto"/>
        <w:bottom w:val="none" w:sz="0" w:space="0" w:color="auto"/>
        <w:right w:val="none" w:sz="0" w:space="0" w:color="auto"/>
      </w:divBdr>
    </w:div>
    <w:div w:id="546261217">
      <w:bodyDiv w:val="1"/>
      <w:marLeft w:val="0"/>
      <w:marRight w:val="0"/>
      <w:marTop w:val="0"/>
      <w:marBottom w:val="0"/>
      <w:divBdr>
        <w:top w:val="none" w:sz="0" w:space="0" w:color="auto"/>
        <w:left w:val="none" w:sz="0" w:space="0" w:color="auto"/>
        <w:bottom w:val="none" w:sz="0" w:space="0" w:color="auto"/>
        <w:right w:val="none" w:sz="0" w:space="0" w:color="auto"/>
      </w:divBdr>
    </w:div>
    <w:div w:id="597718624">
      <w:bodyDiv w:val="1"/>
      <w:marLeft w:val="0"/>
      <w:marRight w:val="0"/>
      <w:marTop w:val="0"/>
      <w:marBottom w:val="0"/>
      <w:divBdr>
        <w:top w:val="none" w:sz="0" w:space="0" w:color="auto"/>
        <w:left w:val="none" w:sz="0" w:space="0" w:color="auto"/>
        <w:bottom w:val="none" w:sz="0" w:space="0" w:color="auto"/>
        <w:right w:val="none" w:sz="0" w:space="0" w:color="auto"/>
      </w:divBdr>
    </w:div>
    <w:div w:id="624625334">
      <w:bodyDiv w:val="1"/>
      <w:marLeft w:val="0"/>
      <w:marRight w:val="0"/>
      <w:marTop w:val="0"/>
      <w:marBottom w:val="0"/>
      <w:divBdr>
        <w:top w:val="none" w:sz="0" w:space="0" w:color="auto"/>
        <w:left w:val="none" w:sz="0" w:space="0" w:color="auto"/>
        <w:bottom w:val="none" w:sz="0" w:space="0" w:color="auto"/>
        <w:right w:val="none" w:sz="0" w:space="0" w:color="auto"/>
      </w:divBdr>
    </w:div>
    <w:div w:id="643042646">
      <w:bodyDiv w:val="1"/>
      <w:marLeft w:val="0"/>
      <w:marRight w:val="0"/>
      <w:marTop w:val="0"/>
      <w:marBottom w:val="0"/>
      <w:divBdr>
        <w:top w:val="none" w:sz="0" w:space="0" w:color="auto"/>
        <w:left w:val="none" w:sz="0" w:space="0" w:color="auto"/>
        <w:bottom w:val="none" w:sz="0" w:space="0" w:color="auto"/>
        <w:right w:val="none" w:sz="0" w:space="0" w:color="auto"/>
      </w:divBdr>
    </w:div>
    <w:div w:id="656227490">
      <w:bodyDiv w:val="1"/>
      <w:marLeft w:val="0"/>
      <w:marRight w:val="0"/>
      <w:marTop w:val="0"/>
      <w:marBottom w:val="0"/>
      <w:divBdr>
        <w:top w:val="none" w:sz="0" w:space="0" w:color="auto"/>
        <w:left w:val="none" w:sz="0" w:space="0" w:color="auto"/>
        <w:bottom w:val="none" w:sz="0" w:space="0" w:color="auto"/>
        <w:right w:val="none" w:sz="0" w:space="0" w:color="auto"/>
      </w:divBdr>
    </w:div>
    <w:div w:id="701050614">
      <w:bodyDiv w:val="1"/>
      <w:marLeft w:val="0"/>
      <w:marRight w:val="0"/>
      <w:marTop w:val="0"/>
      <w:marBottom w:val="0"/>
      <w:divBdr>
        <w:top w:val="none" w:sz="0" w:space="0" w:color="auto"/>
        <w:left w:val="none" w:sz="0" w:space="0" w:color="auto"/>
        <w:bottom w:val="none" w:sz="0" w:space="0" w:color="auto"/>
        <w:right w:val="none" w:sz="0" w:space="0" w:color="auto"/>
      </w:divBdr>
    </w:div>
    <w:div w:id="720328671">
      <w:bodyDiv w:val="1"/>
      <w:marLeft w:val="0"/>
      <w:marRight w:val="0"/>
      <w:marTop w:val="0"/>
      <w:marBottom w:val="0"/>
      <w:divBdr>
        <w:top w:val="none" w:sz="0" w:space="0" w:color="auto"/>
        <w:left w:val="none" w:sz="0" w:space="0" w:color="auto"/>
        <w:bottom w:val="none" w:sz="0" w:space="0" w:color="auto"/>
        <w:right w:val="none" w:sz="0" w:space="0" w:color="auto"/>
      </w:divBdr>
    </w:div>
    <w:div w:id="792558123">
      <w:bodyDiv w:val="1"/>
      <w:marLeft w:val="0"/>
      <w:marRight w:val="0"/>
      <w:marTop w:val="0"/>
      <w:marBottom w:val="0"/>
      <w:divBdr>
        <w:top w:val="none" w:sz="0" w:space="0" w:color="auto"/>
        <w:left w:val="none" w:sz="0" w:space="0" w:color="auto"/>
        <w:bottom w:val="none" w:sz="0" w:space="0" w:color="auto"/>
        <w:right w:val="none" w:sz="0" w:space="0" w:color="auto"/>
      </w:divBdr>
    </w:div>
    <w:div w:id="864445727">
      <w:bodyDiv w:val="1"/>
      <w:marLeft w:val="0"/>
      <w:marRight w:val="0"/>
      <w:marTop w:val="0"/>
      <w:marBottom w:val="0"/>
      <w:divBdr>
        <w:top w:val="none" w:sz="0" w:space="0" w:color="auto"/>
        <w:left w:val="none" w:sz="0" w:space="0" w:color="auto"/>
        <w:bottom w:val="none" w:sz="0" w:space="0" w:color="auto"/>
        <w:right w:val="none" w:sz="0" w:space="0" w:color="auto"/>
      </w:divBdr>
    </w:div>
    <w:div w:id="918945966">
      <w:bodyDiv w:val="1"/>
      <w:marLeft w:val="0"/>
      <w:marRight w:val="0"/>
      <w:marTop w:val="0"/>
      <w:marBottom w:val="0"/>
      <w:divBdr>
        <w:top w:val="none" w:sz="0" w:space="0" w:color="auto"/>
        <w:left w:val="none" w:sz="0" w:space="0" w:color="auto"/>
        <w:bottom w:val="none" w:sz="0" w:space="0" w:color="auto"/>
        <w:right w:val="none" w:sz="0" w:space="0" w:color="auto"/>
      </w:divBdr>
    </w:div>
    <w:div w:id="946161137">
      <w:bodyDiv w:val="1"/>
      <w:marLeft w:val="0"/>
      <w:marRight w:val="0"/>
      <w:marTop w:val="0"/>
      <w:marBottom w:val="0"/>
      <w:divBdr>
        <w:top w:val="none" w:sz="0" w:space="0" w:color="auto"/>
        <w:left w:val="none" w:sz="0" w:space="0" w:color="auto"/>
        <w:bottom w:val="none" w:sz="0" w:space="0" w:color="auto"/>
        <w:right w:val="none" w:sz="0" w:space="0" w:color="auto"/>
      </w:divBdr>
    </w:div>
    <w:div w:id="1067534455">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67985481">
      <w:bodyDiv w:val="1"/>
      <w:marLeft w:val="0"/>
      <w:marRight w:val="0"/>
      <w:marTop w:val="0"/>
      <w:marBottom w:val="0"/>
      <w:divBdr>
        <w:top w:val="none" w:sz="0" w:space="0" w:color="auto"/>
        <w:left w:val="none" w:sz="0" w:space="0" w:color="auto"/>
        <w:bottom w:val="none" w:sz="0" w:space="0" w:color="auto"/>
        <w:right w:val="none" w:sz="0" w:space="0" w:color="auto"/>
      </w:divBdr>
    </w:div>
    <w:div w:id="1173646451">
      <w:bodyDiv w:val="1"/>
      <w:marLeft w:val="0"/>
      <w:marRight w:val="0"/>
      <w:marTop w:val="0"/>
      <w:marBottom w:val="0"/>
      <w:divBdr>
        <w:top w:val="none" w:sz="0" w:space="0" w:color="auto"/>
        <w:left w:val="none" w:sz="0" w:space="0" w:color="auto"/>
        <w:bottom w:val="none" w:sz="0" w:space="0" w:color="auto"/>
        <w:right w:val="none" w:sz="0" w:space="0" w:color="auto"/>
      </w:divBdr>
    </w:div>
    <w:div w:id="1253125418">
      <w:bodyDiv w:val="1"/>
      <w:marLeft w:val="0"/>
      <w:marRight w:val="0"/>
      <w:marTop w:val="0"/>
      <w:marBottom w:val="0"/>
      <w:divBdr>
        <w:top w:val="none" w:sz="0" w:space="0" w:color="auto"/>
        <w:left w:val="none" w:sz="0" w:space="0" w:color="auto"/>
        <w:bottom w:val="none" w:sz="0" w:space="0" w:color="auto"/>
        <w:right w:val="none" w:sz="0" w:space="0" w:color="auto"/>
      </w:divBdr>
    </w:div>
    <w:div w:id="1339500631">
      <w:bodyDiv w:val="1"/>
      <w:marLeft w:val="0"/>
      <w:marRight w:val="0"/>
      <w:marTop w:val="0"/>
      <w:marBottom w:val="0"/>
      <w:divBdr>
        <w:top w:val="none" w:sz="0" w:space="0" w:color="auto"/>
        <w:left w:val="none" w:sz="0" w:space="0" w:color="auto"/>
        <w:bottom w:val="none" w:sz="0" w:space="0" w:color="auto"/>
        <w:right w:val="none" w:sz="0" w:space="0" w:color="auto"/>
      </w:divBdr>
    </w:div>
    <w:div w:id="1350375835">
      <w:bodyDiv w:val="1"/>
      <w:marLeft w:val="0"/>
      <w:marRight w:val="0"/>
      <w:marTop w:val="0"/>
      <w:marBottom w:val="0"/>
      <w:divBdr>
        <w:top w:val="none" w:sz="0" w:space="0" w:color="auto"/>
        <w:left w:val="none" w:sz="0" w:space="0" w:color="auto"/>
        <w:bottom w:val="none" w:sz="0" w:space="0" w:color="auto"/>
        <w:right w:val="none" w:sz="0" w:space="0" w:color="auto"/>
      </w:divBdr>
    </w:div>
    <w:div w:id="1415857373">
      <w:bodyDiv w:val="1"/>
      <w:marLeft w:val="0"/>
      <w:marRight w:val="0"/>
      <w:marTop w:val="0"/>
      <w:marBottom w:val="0"/>
      <w:divBdr>
        <w:top w:val="none" w:sz="0" w:space="0" w:color="auto"/>
        <w:left w:val="none" w:sz="0" w:space="0" w:color="auto"/>
        <w:bottom w:val="none" w:sz="0" w:space="0" w:color="auto"/>
        <w:right w:val="none" w:sz="0" w:space="0" w:color="auto"/>
      </w:divBdr>
    </w:div>
    <w:div w:id="1429234963">
      <w:bodyDiv w:val="1"/>
      <w:marLeft w:val="0"/>
      <w:marRight w:val="0"/>
      <w:marTop w:val="0"/>
      <w:marBottom w:val="0"/>
      <w:divBdr>
        <w:top w:val="none" w:sz="0" w:space="0" w:color="auto"/>
        <w:left w:val="none" w:sz="0" w:space="0" w:color="auto"/>
        <w:bottom w:val="none" w:sz="0" w:space="0" w:color="auto"/>
        <w:right w:val="none" w:sz="0" w:space="0" w:color="auto"/>
      </w:divBdr>
    </w:div>
    <w:div w:id="1591742845">
      <w:bodyDiv w:val="1"/>
      <w:marLeft w:val="0"/>
      <w:marRight w:val="0"/>
      <w:marTop w:val="0"/>
      <w:marBottom w:val="0"/>
      <w:divBdr>
        <w:top w:val="none" w:sz="0" w:space="0" w:color="auto"/>
        <w:left w:val="none" w:sz="0" w:space="0" w:color="auto"/>
        <w:bottom w:val="none" w:sz="0" w:space="0" w:color="auto"/>
        <w:right w:val="none" w:sz="0" w:space="0" w:color="auto"/>
      </w:divBdr>
    </w:div>
    <w:div w:id="1595480827">
      <w:bodyDiv w:val="1"/>
      <w:marLeft w:val="0"/>
      <w:marRight w:val="0"/>
      <w:marTop w:val="0"/>
      <w:marBottom w:val="0"/>
      <w:divBdr>
        <w:top w:val="none" w:sz="0" w:space="0" w:color="auto"/>
        <w:left w:val="none" w:sz="0" w:space="0" w:color="auto"/>
        <w:bottom w:val="none" w:sz="0" w:space="0" w:color="auto"/>
        <w:right w:val="none" w:sz="0" w:space="0" w:color="auto"/>
      </w:divBdr>
    </w:div>
    <w:div w:id="1617591474">
      <w:bodyDiv w:val="1"/>
      <w:marLeft w:val="0"/>
      <w:marRight w:val="0"/>
      <w:marTop w:val="0"/>
      <w:marBottom w:val="0"/>
      <w:divBdr>
        <w:top w:val="none" w:sz="0" w:space="0" w:color="auto"/>
        <w:left w:val="none" w:sz="0" w:space="0" w:color="auto"/>
        <w:bottom w:val="none" w:sz="0" w:space="0" w:color="auto"/>
        <w:right w:val="none" w:sz="0" w:space="0" w:color="auto"/>
      </w:divBdr>
    </w:div>
    <w:div w:id="1706589926">
      <w:bodyDiv w:val="1"/>
      <w:marLeft w:val="0"/>
      <w:marRight w:val="0"/>
      <w:marTop w:val="0"/>
      <w:marBottom w:val="0"/>
      <w:divBdr>
        <w:top w:val="none" w:sz="0" w:space="0" w:color="auto"/>
        <w:left w:val="none" w:sz="0" w:space="0" w:color="auto"/>
        <w:bottom w:val="none" w:sz="0" w:space="0" w:color="auto"/>
        <w:right w:val="none" w:sz="0" w:space="0" w:color="auto"/>
      </w:divBdr>
    </w:div>
    <w:div w:id="1813211971">
      <w:bodyDiv w:val="1"/>
      <w:marLeft w:val="0"/>
      <w:marRight w:val="0"/>
      <w:marTop w:val="0"/>
      <w:marBottom w:val="0"/>
      <w:divBdr>
        <w:top w:val="none" w:sz="0" w:space="0" w:color="auto"/>
        <w:left w:val="none" w:sz="0" w:space="0" w:color="auto"/>
        <w:bottom w:val="none" w:sz="0" w:space="0" w:color="auto"/>
        <w:right w:val="none" w:sz="0" w:space="0" w:color="auto"/>
      </w:divBdr>
    </w:div>
    <w:div w:id="1934894478">
      <w:bodyDiv w:val="1"/>
      <w:marLeft w:val="0"/>
      <w:marRight w:val="0"/>
      <w:marTop w:val="0"/>
      <w:marBottom w:val="0"/>
      <w:divBdr>
        <w:top w:val="none" w:sz="0" w:space="0" w:color="auto"/>
        <w:left w:val="none" w:sz="0" w:space="0" w:color="auto"/>
        <w:bottom w:val="none" w:sz="0" w:space="0" w:color="auto"/>
        <w:right w:val="none" w:sz="0" w:space="0" w:color="auto"/>
      </w:divBdr>
    </w:div>
    <w:div w:id="1942059221">
      <w:bodyDiv w:val="1"/>
      <w:marLeft w:val="0"/>
      <w:marRight w:val="0"/>
      <w:marTop w:val="0"/>
      <w:marBottom w:val="0"/>
      <w:divBdr>
        <w:top w:val="none" w:sz="0" w:space="0" w:color="auto"/>
        <w:left w:val="none" w:sz="0" w:space="0" w:color="auto"/>
        <w:bottom w:val="none" w:sz="0" w:space="0" w:color="auto"/>
        <w:right w:val="none" w:sz="0" w:space="0" w:color="auto"/>
      </w:divBdr>
    </w:div>
    <w:div w:id="1982734542">
      <w:bodyDiv w:val="1"/>
      <w:marLeft w:val="0"/>
      <w:marRight w:val="0"/>
      <w:marTop w:val="0"/>
      <w:marBottom w:val="0"/>
      <w:divBdr>
        <w:top w:val="none" w:sz="0" w:space="0" w:color="auto"/>
        <w:left w:val="none" w:sz="0" w:space="0" w:color="auto"/>
        <w:bottom w:val="none" w:sz="0" w:space="0" w:color="auto"/>
        <w:right w:val="none" w:sz="0" w:space="0" w:color="auto"/>
      </w:divBdr>
    </w:div>
    <w:div w:id="2120221734">
      <w:bodyDiv w:val="1"/>
      <w:marLeft w:val="0"/>
      <w:marRight w:val="0"/>
      <w:marTop w:val="0"/>
      <w:marBottom w:val="0"/>
      <w:divBdr>
        <w:top w:val="none" w:sz="0" w:space="0" w:color="auto"/>
        <w:left w:val="none" w:sz="0" w:space="0" w:color="auto"/>
        <w:bottom w:val="none" w:sz="0" w:space="0" w:color="auto"/>
        <w:right w:val="none" w:sz="0" w:space="0" w:color="auto"/>
      </w:divBdr>
    </w:div>
    <w:div w:id="21237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A01BB6-7EC7-499F-9EE2-ADF14E83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3197</Words>
  <Characters>18228</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 Kompare</dc:creator>
  <cp:keywords/>
  <dc:description/>
  <cp:lastModifiedBy>Neža Kompare</cp:lastModifiedBy>
  <cp:revision>4</cp:revision>
  <dcterms:created xsi:type="dcterms:W3CDTF">2021-04-30T12:19:00Z</dcterms:created>
  <dcterms:modified xsi:type="dcterms:W3CDTF">2021-04-30T12:46:00Z</dcterms:modified>
</cp:coreProperties>
</file>