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1DA" w:rsidRDefault="00A311DA">
      <w:pPr>
        <w:pStyle w:val="Telobesedila"/>
        <w:rPr>
          <w:sz w:val="20"/>
        </w:rPr>
      </w:pPr>
    </w:p>
    <w:p w:rsidR="00A311DA" w:rsidRDefault="00A311DA">
      <w:pPr>
        <w:pStyle w:val="Telobesedila"/>
        <w:rPr>
          <w:sz w:val="20"/>
        </w:rPr>
      </w:pPr>
    </w:p>
    <w:p w:rsidR="00A311DA" w:rsidRDefault="00A311DA">
      <w:pPr>
        <w:pStyle w:val="Telobesedila"/>
        <w:rPr>
          <w:sz w:val="20"/>
        </w:rPr>
      </w:pPr>
    </w:p>
    <w:p w:rsidR="00A311DA" w:rsidRDefault="00A311DA">
      <w:pPr>
        <w:pStyle w:val="Telobesedila"/>
        <w:rPr>
          <w:sz w:val="20"/>
        </w:rPr>
      </w:pPr>
    </w:p>
    <w:p w:rsidR="00A311DA" w:rsidRDefault="00A311DA">
      <w:pPr>
        <w:pStyle w:val="Telobesedila"/>
        <w:rPr>
          <w:sz w:val="20"/>
        </w:rPr>
      </w:pPr>
    </w:p>
    <w:p w:rsidR="00A311DA" w:rsidRDefault="00A311DA">
      <w:pPr>
        <w:pStyle w:val="Telobesedila"/>
        <w:rPr>
          <w:sz w:val="20"/>
        </w:rPr>
      </w:pPr>
    </w:p>
    <w:p w:rsidR="00A311DA" w:rsidRDefault="00A311DA">
      <w:pPr>
        <w:pStyle w:val="Telobesedila"/>
        <w:rPr>
          <w:sz w:val="20"/>
        </w:rPr>
      </w:pPr>
    </w:p>
    <w:p w:rsidR="00A311DA" w:rsidRDefault="00A311DA">
      <w:pPr>
        <w:pStyle w:val="Telobesedila"/>
        <w:rPr>
          <w:sz w:val="20"/>
        </w:rPr>
      </w:pPr>
    </w:p>
    <w:p w:rsidR="00A311DA" w:rsidRDefault="00A311DA">
      <w:pPr>
        <w:pStyle w:val="Telobesedila"/>
        <w:rPr>
          <w:sz w:val="20"/>
        </w:rPr>
      </w:pPr>
    </w:p>
    <w:p w:rsidR="00A311DA" w:rsidRDefault="00A311DA">
      <w:pPr>
        <w:pStyle w:val="Telobesedila"/>
        <w:rPr>
          <w:sz w:val="20"/>
        </w:rPr>
      </w:pPr>
    </w:p>
    <w:p w:rsidR="00A311DA" w:rsidRDefault="00A311DA">
      <w:pPr>
        <w:pStyle w:val="Telobesedila"/>
        <w:rPr>
          <w:sz w:val="20"/>
        </w:rPr>
      </w:pPr>
    </w:p>
    <w:p w:rsidR="00A311DA" w:rsidRDefault="00A311DA">
      <w:pPr>
        <w:pStyle w:val="Telobesedila"/>
        <w:rPr>
          <w:sz w:val="20"/>
        </w:rPr>
      </w:pPr>
    </w:p>
    <w:p w:rsidR="00A311DA" w:rsidRDefault="00A311DA">
      <w:pPr>
        <w:pStyle w:val="Telobesedila"/>
        <w:rPr>
          <w:sz w:val="20"/>
        </w:rPr>
      </w:pPr>
    </w:p>
    <w:p w:rsidR="00A311DA" w:rsidRDefault="00A311DA">
      <w:pPr>
        <w:pStyle w:val="Telobesedila"/>
        <w:spacing w:before="4"/>
        <w:rPr>
          <w:sz w:val="29"/>
        </w:rPr>
      </w:pPr>
    </w:p>
    <w:p w:rsidR="00A311DA" w:rsidRDefault="00F45EC3">
      <w:pPr>
        <w:pStyle w:val="Naslov1"/>
        <w:spacing w:before="79" w:line="598" w:lineRule="exact"/>
      </w:pPr>
      <w:r>
        <w:t>ORDINANCE</w:t>
      </w:r>
    </w:p>
    <w:p w:rsidR="00A311DA" w:rsidRDefault="00F45EC3">
      <w:pPr>
        <w:ind w:left="127" w:right="125"/>
        <w:jc w:val="center"/>
        <w:rPr>
          <w:b/>
          <w:sz w:val="52"/>
        </w:rPr>
      </w:pPr>
      <w:r>
        <w:rPr>
          <w:b/>
          <w:sz w:val="52"/>
        </w:rPr>
        <w:t>ON DETERMINING THE PERSONS TO WHOM THE CONCLUSION OF THE INSURANCE OF LIABILITY FOR NUCLEAR DAMAGE IS NOT OBLIGATORY</w:t>
      </w:r>
    </w:p>
    <w:p w:rsidR="00A311DA" w:rsidRDefault="00A311DA">
      <w:pPr>
        <w:pStyle w:val="Telobesedila"/>
        <w:spacing w:before="5"/>
        <w:rPr>
          <w:b/>
          <w:sz w:val="65"/>
        </w:rPr>
      </w:pPr>
    </w:p>
    <w:p w:rsidR="00A311DA" w:rsidRDefault="00F45EC3">
      <w:pPr>
        <w:ind w:left="126" w:right="125"/>
        <w:jc w:val="center"/>
        <w:rPr>
          <w:sz w:val="28"/>
        </w:rPr>
      </w:pPr>
      <w:r>
        <w:rPr>
          <w:sz w:val="28"/>
        </w:rPr>
        <w:t>Published in the Official Gazette of the Republic of Slovenia, No. 110/2010</w:t>
      </w:r>
    </w:p>
    <w:p w:rsidR="00A311DA" w:rsidRDefault="00A311DA">
      <w:pPr>
        <w:pStyle w:val="Telobesedila"/>
        <w:rPr>
          <w:sz w:val="30"/>
        </w:rPr>
      </w:pPr>
    </w:p>
    <w:p w:rsidR="00A311DA" w:rsidRDefault="00A311DA">
      <w:pPr>
        <w:pStyle w:val="Telobesedila"/>
        <w:spacing w:before="2"/>
        <w:rPr>
          <w:sz w:val="38"/>
        </w:rPr>
      </w:pPr>
    </w:p>
    <w:p w:rsidR="00A311DA" w:rsidRDefault="00F45EC3">
      <w:pPr>
        <w:spacing w:before="1"/>
        <w:ind w:left="127" w:right="124"/>
        <w:jc w:val="center"/>
        <w:rPr>
          <w:b/>
          <w:sz w:val="28"/>
        </w:rPr>
      </w:pPr>
      <w:r>
        <w:rPr>
          <w:b/>
          <w:sz w:val="28"/>
        </w:rPr>
        <w:t>UNOFFICIAL TRANSLATION</w:t>
      </w:r>
    </w:p>
    <w:p w:rsidR="00A311DA" w:rsidRDefault="00A311DA">
      <w:pPr>
        <w:jc w:val="center"/>
        <w:rPr>
          <w:sz w:val="28"/>
        </w:rPr>
        <w:sectPr w:rsidR="00A311DA">
          <w:type w:val="continuous"/>
          <w:pgSz w:w="11910" w:h="16840"/>
          <w:pgMar w:top="1580" w:right="1300" w:bottom="280" w:left="960" w:header="720" w:footer="720" w:gutter="0"/>
          <w:cols w:space="720"/>
        </w:sectPr>
      </w:pPr>
    </w:p>
    <w:p w:rsidR="00A311DA" w:rsidRDefault="00F45EC3">
      <w:pPr>
        <w:spacing w:before="66"/>
        <w:ind w:left="4051" w:right="656" w:hanging="3380"/>
        <w:rPr>
          <w:sz w:val="18"/>
        </w:rPr>
      </w:pPr>
      <w:bookmarkStart w:id="0" w:name="_GoBack"/>
      <w:r>
        <w:rPr>
          <w:noProof/>
        </w:rPr>
        <w:lastRenderedPageBreak/>
        <mc:AlternateContent>
          <mc:Choice Requires="wps">
            <w:drawing>
              <wp:anchor distT="0" distB="0" distL="0" distR="0" simplePos="0" relativeHeight="251657728" behindDoc="1" locked="0" layoutInCell="1" allowOverlap="1">
                <wp:simplePos x="0" y="0"/>
                <wp:positionH relativeFrom="page">
                  <wp:posOffset>685800</wp:posOffset>
                </wp:positionH>
                <wp:positionV relativeFrom="paragraph">
                  <wp:posOffset>380365</wp:posOffset>
                </wp:positionV>
                <wp:extent cx="5943600" cy="1270"/>
                <wp:effectExtent l="0" t="0" r="0" b="0"/>
                <wp:wrapTopAndBottom/>
                <wp:docPr id="1" name="Freeform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0440 1080"/>
                            <a:gd name="T1" fmla="*/ T0 w 9360"/>
                            <a:gd name="T2" fmla="+- 0 1080 1080"/>
                            <a:gd name="T3" fmla="*/ T2 w 9360"/>
                          </a:gdLst>
                          <a:ahLst/>
                          <a:cxnLst>
                            <a:cxn ang="0">
                              <a:pos x="T1" y="0"/>
                            </a:cxn>
                            <a:cxn ang="0">
                              <a:pos x="T3" y="0"/>
                            </a:cxn>
                          </a:cxnLst>
                          <a:rect l="0" t="0" r="r" b="b"/>
                          <a:pathLst>
                            <a:path w="9360">
                              <a:moveTo>
                                <a:pt x="9360" y="0"/>
                              </a:moveTo>
                              <a:lnTo>
                                <a:pt x="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FF7B5" id="Freeform 2" o:spid="_x0000_s1026" style="position:absolute;margin-left:54pt;margin-top:29.95pt;width:468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" path="m9360,l,e" filled="f">
                <v:path arrowok="t" o:connecttype="custom" o:connectlocs="5943600,0;0,0" o:connectangles="0,0"/>
                <w10:wrap type="topAndBottom" anchorx="page"/>
              </v:shape>
            </w:pict>
          </mc:Fallback>
        </mc:AlternateContent>
      </w:r>
      <w:bookmarkEnd w:id="0"/>
      <w:r>
        <w:rPr>
          <w:sz w:val="18"/>
        </w:rPr>
        <w:t xml:space="preserve">Ordinance on </w:t>
      </w:r>
      <w:proofErr w:type="spellStart"/>
      <w:r>
        <w:rPr>
          <w:sz w:val="18"/>
        </w:rPr>
        <w:t>determing</w:t>
      </w:r>
      <w:proofErr w:type="spellEnd"/>
      <w:r>
        <w:rPr>
          <w:sz w:val="18"/>
        </w:rPr>
        <w:t xml:space="preserve"> the persons to whom the conclusions of the insurance for nuclear damage is not obligatory Unofficial translation</w:t>
      </w:r>
    </w:p>
    <w:p w:rsidR="00A311DA" w:rsidRDefault="00A311DA">
      <w:pPr>
        <w:pStyle w:val="Telobesedila"/>
        <w:rPr>
          <w:sz w:val="26"/>
        </w:rPr>
      </w:pPr>
    </w:p>
    <w:p w:rsidR="00A311DA" w:rsidRDefault="00F45EC3">
      <w:pPr>
        <w:pStyle w:val="Telobesedila"/>
        <w:spacing w:before="92"/>
        <w:ind w:left="119"/>
      </w:pPr>
      <w:r>
        <w:t>Based on Article 11 of the Act on Liability for Nuclear Damage (Official Gazette of RS, No. 77/10) the Government of th</w:t>
      </w:r>
      <w:r>
        <w:t>e Republic of Slovenia adopts</w:t>
      </w:r>
    </w:p>
    <w:p w:rsidR="00A311DA" w:rsidRDefault="00A311DA">
      <w:pPr>
        <w:pStyle w:val="Telobesedila"/>
        <w:rPr>
          <w:sz w:val="24"/>
        </w:rPr>
      </w:pPr>
    </w:p>
    <w:p w:rsidR="00A311DA" w:rsidRDefault="00A311DA">
      <w:pPr>
        <w:pStyle w:val="Telobesedila"/>
        <w:rPr>
          <w:sz w:val="24"/>
        </w:rPr>
      </w:pPr>
    </w:p>
    <w:p w:rsidR="00A311DA" w:rsidRDefault="00A311DA">
      <w:pPr>
        <w:pStyle w:val="Telobesedila"/>
        <w:spacing w:before="9"/>
        <w:rPr>
          <w:sz w:val="18"/>
        </w:rPr>
      </w:pPr>
    </w:p>
    <w:p w:rsidR="00A311DA" w:rsidRDefault="00F45EC3">
      <w:pPr>
        <w:pStyle w:val="Naslov2"/>
        <w:spacing w:line="252" w:lineRule="exact"/>
      </w:pPr>
      <w:r>
        <w:t>ORDINANCE</w:t>
      </w:r>
    </w:p>
    <w:p w:rsidR="00A311DA" w:rsidRDefault="00F45EC3">
      <w:pPr>
        <w:ind w:left="182" w:right="175"/>
        <w:jc w:val="center"/>
        <w:rPr>
          <w:b/>
        </w:rPr>
      </w:pPr>
      <w:r>
        <w:rPr>
          <w:b/>
        </w:rPr>
        <w:t>on determining the persons to whom the conclusion of the insurance of liability for nuclear damage is not obligatory</w:t>
      </w:r>
    </w:p>
    <w:p w:rsidR="00A311DA" w:rsidRDefault="00A311DA">
      <w:pPr>
        <w:pStyle w:val="Telobesedila"/>
        <w:rPr>
          <w:b/>
          <w:sz w:val="24"/>
        </w:rPr>
      </w:pPr>
    </w:p>
    <w:p w:rsidR="00A311DA" w:rsidRDefault="00A311DA">
      <w:pPr>
        <w:pStyle w:val="Telobesedila"/>
        <w:spacing w:before="5"/>
        <w:rPr>
          <w:b/>
          <w:sz w:val="19"/>
        </w:rPr>
      </w:pPr>
    </w:p>
    <w:p w:rsidR="00A311DA" w:rsidRDefault="00F45EC3">
      <w:pPr>
        <w:pStyle w:val="Telobesedila"/>
        <w:ind w:left="127" w:right="72"/>
        <w:jc w:val="center"/>
      </w:pPr>
      <w:r>
        <w:t>Article 1</w:t>
      </w:r>
    </w:p>
    <w:p w:rsidR="00A311DA" w:rsidRDefault="00A311DA">
      <w:pPr>
        <w:pStyle w:val="Telobesedila"/>
        <w:spacing w:before="9"/>
        <w:rPr>
          <w:sz w:val="21"/>
        </w:rPr>
      </w:pPr>
    </w:p>
    <w:p w:rsidR="00A311DA" w:rsidRDefault="00F45EC3">
      <w:pPr>
        <w:pStyle w:val="Odstavekseznama"/>
        <w:numPr>
          <w:ilvl w:val="0"/>
          <w:numId w:val="1"/>
        </w:numPr>
        <w:tabs>
          <w:tab w:val="left" w:pos="435"/>
        </w:tabs>
        <w:ind w:right="111" w:firstLine="0"/>
      </w:pPr>
      <w:r>
        <w:t>This ordinance determines the operators of nuclear facility, to whom the conclusion</w:t>
      </w:r>
      <w:r>
        <w:t xml:space="preserve"> of the insurance of liability for nuclear damage is not</w:t>
      </w:r>
      <w:r>
        <w:rPr>
          <w:spacing w:val="-4"/>
        </w:rPr>
        <w:t xml:space="preserve"> </w:t>
      </w:r>
      <w:r>
        <w:t>obligatory.</w:t>
      </w:r>
    </w:p>
    <w:p w:rsidR="00A311DA" w:rsidRDefault="00A311DA">
      <w:pPr>
        <w:pStyle w:val="Telobesedila"/>
        <w:spacing w:before="1"/>
      </w:pPr>
    </w:p>
    <w:p w:rsidR="00A311DA" w:rsidRDefault="00F45EC3">
      <w:pPr>
        <w:pStyle w:val="Odstavekseznama"/>
        <w:numPr>
          <w:ilvl w:val="0"/>
          <w:numId w:val="1"/>
        </w:numPr>
        <w:tabs>
          <w:tab w:val="left" w:pos="500"/>
        </w:tabs>
        <w:ind w:firstLine="0"/>
      </w:pPr>
      <w:r>
        <w:t>The operators referred to in the preceding paragraph shall be legal persons under public law established by the Republic of</w:t>
      </w:r>
      <w:r>
        <w:rPr>
          <w:spacing w:val="-10"/>
        </w:rPr>
        <w:t xml:space="preserve"> </w:t>
      </w:r>
      <w:r>
        <w:t>Slovenia.</w:t>
      </w:r>
    </w:p>
    <w:p w:rsidR="00A311DA" w:rsidRDefault="00A311DA">
      <w:pPr>
        <w:pStyle w:val="Telobesedila"/>
        <w:rPr>
          <w:sz w:val="24"/>
        </w:rPr>
      </w:pPr>
    </w:p>
    <w:p w:rsidR="00A311DA" w:rsidRDefault="00A311DA">
      <w:pPr>
        <w:pStyle w:val="Telobesedila"/>
        <w:spacing w:before="9"/>
        <w:rPr>
          <w:sz w:val="19"/>
        </w:rPr>
      </w:pPr>
    </w:p>
    <w:p w:rsidR="00A311DA" w:rsidRDefault="00F45EC3">
      <w:pPr>
        <w:pStyle w:val="Telobesedila"/>
        <w:spacing w:before="1"/>
        <w:ind w:left="127" w:right="125"/>
        <w:jc w:val="center"/>
      </w:pPr>
      <w:r>
        <w:t>Article 2</w:t>
      </w:r>
    </w:p>
    <w:p w:rsidR="00A311DA" w:rsidRDefault="00A311DA">
      <w:pPr>
        <w:pStyle w:val="Telobesedila"/>
      </w:pPr>
    </w:p>
    <w:p w:rsidR="00A311DA" w:rsidRDefault="00F45EC3">
      <w:pPr>
        <w:pStyle w:val="Telobesedila"/>
        <w:ind w:left="119" w:right="656"/>
      </w:pPr>
      <w:r>
        <w:t xml:space="preserve">The person referred to in the preceding article, is the </w:t>
      </w:r>
      <w:proofErr w:type="spellStart"/>
      <w:r>
        <w:t>Jožef</w:t>
      </w:r>
      <w:proofErr w:type="spellEnd"/>
      <w:r>
        <w:t xml:space="preserve"> Stefan Institute, </w:t>
      </w:r>
      <w:proofErr w:type="spellStart"/>
      <w:r>
        <w:t>Jamova</w:t>
      </w:r>
      <w:proofErr w:type="spellEnd"/>
      <w:r>
        <w:t xml:space="preserve"> </w:t>
      </w:r>
      <w:proofErr w:type="spellStart"/>
      <w:r>
        <w:t>cesta</w:t>
      </w:r>
      <w:proofErr w:type="spellEnd"/>
      <w:r>
        <w:t xml:space="preserve"> 39, 1000 Ljubljana, which operates the Research Reactor TRIGA Mark II.</w:t>
      </w:r>
    </w:p>
    <w:p w:rsidR="00A311DA" w:rsidRDefault="00A311DA">
      <w:pPr>
        <w:pStyle w:val="Telobesedila"/>
        <w:rPr>
          <w:sz w:val="24"/>
        </w:rPr>
      </w:pPr>
    </w:p>
    <w:p w:rsidR="00A311DA" w:rsidRDefault="00A311DA">
      <w:pPr>
        <w:pStyle w:val="Telobesedila"/>
        <w:spacing w:before="1"/>
        <w:rPr>
          <w:sz w:val="20"/>
        </w:rPr>
      </w:pPr>
    </w:p>
    <w:p w:rsidR="00A311DA" w:rsidRDefault="00F45EC3">
      <w:pPr>
        <w:pStyle w:val="Telobesedila"/>
        <w:ind w:left="127" w:right="125"/>
        <w:jc w:val="center"/>
      </w:pPr>
      <w:r>
        <w:t>Article 3</w:t>
      </w:r>
    </w:p>
    <w:p w:rsidR="00A311DA" w:rsidRDefault="00A311DA">
      <w:pPr>
        <w:pStyle w:val="Telobesedila"/>
        <w:spacing w:before="9"/>
        <w:rPr>
          <w:sz w:val="21"/>
        </w:rPr>
      </w:pPr>
    </w:p>
    <w:p w:rsidR="00A311DA" w:rsidRDefault="00F45EC3">
      <w:pPr>
        <w:pStyle w:val="Telobesedila"/>
        <w:ind w:left="119" w:right="108"/>
        <w:jc w:val="both"/>
      </w:pPr>
      <w:r>
        <w:t>If the person referred to in the preceding Article transforms its legal organiz</w:t>
      </w:r>
      <w:r>
        <w:t>ation so that it is no longer a legal entity of public law, it is required from the date of reorganization onwards to conclude compulsory insurance in accordance with the law governing the liability for nuclear damage, and should notify of this fact the au</w:t>
      </w:r>
      <w:r>
        <w:t>thority responsible for nuclear safety.</w:t>
      </w:r>
    </w:p>
    <w:p w:rsidR="00A311DA" w:rsidRDefault="00A311DA">
      <w:pPr>
        <w:pStyle w:val="Telobesedila"/>
        <w:rPr>
          <w:sz w:val="24"/>
        </w:rPr>
      </w:pPr>
    </w:p>
    <w:p w:rsidR="00A311DA" w:rsidRDefault="00A311DA">
      <w:pPr>
        <w:pStyle w:val="Telobesedila"/>
        <w:spacing w:before="2"/>
        <w:rPr>
          <w:sz w:val="20"/>
        </w:rPr>
      </w:pPr>
    </w:p>
    <w:p w:rsidR="00A311DA" w:rsidRDefault="00F45EC3">
      <w:pPr>
        <w:pStyle w:val="Telobesedila"/>
        <w:ind w:left="127" w:right="125"/>
        <w:jc w:val="center"/>
      </w:pPr>
      <w:r>
        <w:t>Article 4</w:t>
      </w:r>
    </w:p>
    <w:p w:rsidR="00A311DA" w:rsidRDefault="00A311DA">
      <w:pPr>
        <w:pStyle w:val="Telobesedila"/>
      </w:pPr>
    </w:p>
    <w:p w:rsidR="00A311DA" w:rsidRDefault="00F45EC3">
      <w:pPr>
        <w:pStyle w:val="Telobesedila"/>
        <w:ind w:left="119" w:right="111"/>
        <w:jc w:val="both"/>
      </w:pPr>
      <w:r>
        <w:t>This ordinance shall enter into force on the day after its publication in the Official Gazette of the Republic of Slovenia.</w:t>
      </w:r>
    </w:p>
    <w:p w:rsidR="00A311DA" w:rsidRDefault="00A311DA">
      <w:pPr>
        <w:pStyle w:val="Telobesedila"/>
        <w:spacing w:before="11"/>
        <w:rPr>
          <w:sz w:val="21"/>
        </w:rPr>
      </w:pPr>
    </w:p>
    <w:p w:rsidR="00A311DA" w:rsidRDefault="00F45EC3">
      <w:pPr>
        <w:pStyle w:val="Telobesedila"/>
        <w:ind w:left="119"/>
        <w:jc w:val="both"/>
      </w:pPr>
      <w:r>
        <w:t>No. 00719-57/2010</w:t>
      </w:r>
    </w:p>
    <w:p w:rsidR="00A311DA" w:rsidRDefault="00A311DA">
      <w:pPr>
        <w:pStyle w:val="Telobesedila"/>
      </w:pPr>
    </w:p>
    <w:p w:rsidR="00A311DA" w:rsidRDefault="00F45EC3">
      <w:pPr>
        <w:pStyle w:val="Telobesedila"/>
        <w:spacing w:before="1"/>
        <w:ind w:left="119"/>
        <w:jc w:val="both"/>
      </w:pPr>
      <w:r>
        <w:t>Ljubljana, 30 December 2010</w:t>
      </w:r>
    </w:p>
    <w:p w:rsidR="00A311DA" w:rsidRDefault="00A311DA">
      <w:pPr>
        <w:pStyle w:val="Telobesedila"/>
      </w:pPr>
    </w:p>
    <w:p w:rsidR="00A311DA" w:rsidRDefault="00F45EC3">
      <w:pPr>
        <w:pStyle w:val="Telobesedila"/>
        <w:ind w:left="119"/>
        <w:jc w:val="both"/>
      </w:pPr>
      <w:r>
        <w:t>EVA 2009-2511-0011</w:t>
      </w:r>
    </w:p>
    <w:p w:rsidR="00A311DA" w:rsidRDefault="00A311DA">
      <w:pPr>
        <w:pStyle w:val="Telobesedila"/>
        <w:rPr>
          <w:sz w:val="24"/>
        </w:rPr>
      </w:pPr>
    </w:p>
    <w:p w:rsidR="00A311DA" w:rsidRDefault="00A311DA">
      <w:pPr>
        <w:pStyle w:val="Telobesedila"/>
        <w:spacing w:before="4"/>
        <w:rPr>
          <w:sz w:val="20"/>
        </w:rPr>
      </w:pPr>
    </w:p>
    <w:p w:rsidR="00A311DA" w:rsidRDefault="00F45EC3">
      <w:pPr>
        <w:pStyle w:val="Telobesedila"/>
        <w:spacing w:line="500" w:lineRule="atLeast"/>
        <w:ind w:left="2836" w:right="2832"/>
        <w:jc w:val="center"/>
      </w:pPr>
      <w:r>
        <w:t xml:space="preserve">The Government of the Republic of Slovenia Borut </w:t>
      </w:r>
      <w:proofErr w:type="spellStart"/>
      <w:r>
        <w:t>Pahor</w:t>
      </w:r>
      <w:proofErr w:type="spellEnd"/>
    </w:p>
    <w:p w:rsidR="00A311DA" w:rsidRDefault="00F45EC3">
      <w:pPr>
        <w:pStyle w:val="Telobesedila"/>
        <w:spacing w:before="6"/>
        <w:ind w:left="126" w:right="125"/>
        <w:jc w:val="center"/>
      </w:pPr>
      <w:r>
        <w:t>Prime Minister</w:t>
      </w:r>
    </w:p>
    <w:sectPr w:rsidR="00A311DA">
      <w:pgSz w:w="11910" w:h="16840"/>
      <w:pgMar w:top="620" w:right="130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858D2"/>
    <w:multiLevelType w:val="hybridMultilevel"/>
    <w:tmpl w:val="63566F88"/>
    <w:lvl w:ilvl="0" w:tplc="413CEE6C">
      <w:start w:val="1"/>
      <w:numFmt w:val="decimal"/>
      <w:lvlText w:val="(%1)"/>
      <w:lvlJc w:val="left"/>
      <w:pPr>
        <w:ind w:left="119" w:hanging="315"/>
        <w:jc w:val="left"/>
      </w:pPr>
      <w:rPr>
        <w:rFonts w:ascii="Times New Roman" w:eastAsia="Times New Roman" w:hAnsi="Times New Roman" w:cs="Times New Roman" w:hint="default"/>
        <w:spacing w:val="-1"/>
        <w:w w:val="100"/>
        <w:sz w:val="22"/>
        <w:szCs w:val="22"/>
        <w:lang w:val="en-US" w:eastAsia="en-US" w:bidi="ar-SA"/>
      </w:rPr>
    </w:lvl>
    <w:lvl w:ilvl="1" w:tplc="5238834C">
      <w:numFmt w:val="bullet"/>
      <w:lvlText w:val="•"/>
      <w:lvlJc w:val="left"/>
      <w:pPr>
        <w:ind w:left="1072" w:hanging="315"/>
      </w:pPr>
      <w:rPr>
        <w:rFonts w:hint="default"/>
        <w:lang w:val="en-US" w:eastAsia="en-US" w:bidi="ar-SA"/>
      </w:rPr>
    </w:lvl>
    <w:lvl w:ilvl="2" w:tplc="8312E3B8">
      <w:numFmt w:val="bullet"/>
      <w:lvlText w:val="•"/>
      <w:lvlJc w:val="left"/>
      <w:pPr>
        <w:ind w:left="2025" w:hanging="315"/>
      </w:pPr>
      <w:rPr>
        <w:rFonts w:hint="default"/>
        <w:lang w:val="en-US" w:eastAsia="en-US" w:bidi="ar-SA"/>
      </w:rPr>
    </w:lvl>
    <w:lvl w:ilvl="3" w:tplc="9006BDB4">
      <w:numFmt w:val="bullet"/>
      <w:lvlText w:val="•"/>
      <w:lvlJc w:val="left"/>
      <w:pPr>
        <w:ind w:left="2977" w:hanging="315"/>
      </w:pPr>
      <w:rPr>
        <w:rFonts w:hint="default"/>
        <w:lang w:val="en-US" w:eastAsia="en-US" w:bidi="ar-SA"/>
      </w:rPr>
    </w:lvl>
    <w:lvl w:ilvl="4" w:tplc="34E0BBB2">
      <w:numFmt w:val="bullet"/>
      <w:lvlText w:val="•"/>
      <w:lvlJc w:val="left"/>
      <w:pPr>
        <w:ind w:left="3930" w:hanging="315"/>
      </w:pPr>
      <w:rPr>
        <w:rFonts w:hint="default"/>
        <w:lang w:val="en-US" w:eastAsia="en-US" w:bidi="ar-SA"/>
      </w:rPr>
    </w:lvl>
    <w:lvl w:ilvl="5" w:tplc="1CD20160">
      <w:numFmt w:val="bullet"/>
      <w:lvlText w:val="•"/>
      <w:lvlJc w:val="left"/>
      <w:pPr>
        <w:ind w:left="4882" w:hanging="315"/>
      </w:pPr>
      <w:rPr>
        <w:rFonts w:hint="default"/>
        <w:lang w:val="en-US" w:eastAsia="en-US" w:bidi="ar-SA"/>
      </w:rPr>
    </w:lvl>
    <w:lvl w:ilvl="6" w:tplc="1A546AFE">
      <w:numFmt w:val="bullet"/>
      <w:lvlText w:val="•"/>
      <w:lvlJc w:val="left"/>
      <w:pPr>
        <w:ind w:left="5835" w:hanging="315"/>
      </w:pPr>
      <w:rPr>
        <w:rFonts w:hint="default"/>
        <w:lang w:val="en-US" w:eastAsia="en-US" w:bidi="ar-SA"/>
      </w:rPr>
    </w:lvl>
    <w:lvl w:ilvl="7" w:tplc="FCCCA6AE">
      <w:numFmt w:val="bullet"/>
      <w:lvlText w:val="•"/>
      <w:lvlJc w:val="left"/>
      <w:pPr>
        <w:ind w:left="6787" w:hanging="315"/>
      </w:pPr>
      <w:rPr>
        <w:rFonts w:hint="default"/>
        <w:lang w:val="en-US" w:eastAsia="en-US" w:bidi="ar-SA"/>
      </w:rPr>
    </w:lvl>
    <w:lvl w:ilvl="8" w:tplc="0BA4168C">
      <w:numFmt w:val="bullet"/>
      <w:lvlText w:val="•"/>
      <w:lvlJc w:val="left"/>
      <w:pPr>
        <w:ind w:left="7740" w:hanging="315"/>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1DA"/>
    <w:rsid w:val="00A311DA"/>
    <w:rsid w:val="00F45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67B8905-83D3-4D87-91C6-306CDC0D3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Pr>
      <w:rFonts w:ascii="Times New Roman" w:eastAsia="Times New Roman" w:hAnsi="Times New Roman" w:cs="Times New Roman"/>
    </w:rPr>
  </w:style>
  <w:style w:type="paragraph" w:styleId="Naslov1">
    <w:name w:val="heading 1"/>
    <w:basedOn w:val="Navaden"/>
    <w:uiPriority w:val="9"/>
    <w:qFormat/>
    <w:pPr>
      <w:ind w:left="125" w:right="125"/>
      <w:jc w:val="center"/>
      <w:outlineLvl w:val="0"/>
    </w:pPr>
    <w:rPr>
      <w:b/>
      <w:bCs/>
      <w:sz w:val="52"/>
      <w:szCs w:val="52"/>
    </w:rPr>
  </w:style>
  <w:style w:type="paragraph" w:styleId="Naslov2">
    <w:name w:val="heading 2"/>
    <w:basedOn w:val="Navaden"/>
    <w:uiPriority w:val="9"/>
    <w:unhideWhenUsed/>
    <w:qFormat/>
    <w:pPr>
      <w:ind w:left="125" w:right="125"/>
      <w:jc w:val="center"/>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style>
  <w:style w:type="paragraph" w:styleId="Odstavekseznama">
    <w:name w:val="List Paragraph"/>
    <w:basedOn w:val="Navaden"/>
    <w:uiPriority w:val="1"/>
    <w:qFormat/>
    <w:pPr>
      <w:spacing w:before="1"/>
      <w:ind w:left="119" w:right="109"/>
    </w:pPr>
  </w:style>
  <w:style w:type="paragraph" w:customStyle="1" w:styleId="TableParagraph">
    <w:name w:val="Table Paragraph"/>
    <w:basedOn w:val="Navade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269</Words>
  <Characters>1534</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(Microsoft Word - Odlok - angle\232ki prevod.doc)</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Odlok - angle\232ki prevod.doc)</dc:title>
  <dc:creator>Matjaz</dc:creator>
  <cp:lastModifiedBy>Neža Kompare</cp:lastModifiedBy>
  <cp:revision>2</cp:revision>
  <dcterms:created xsi:type="dcterms:W3CDTF">2020-09-23T05:59:00Z</dcterms:created>
  <dcterms:modified xsi:type="dcterms:W3CDTF">2020-09-23T05:59:00Z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2011-01-12T00:00:00Z</vt:filetime>
  </property>
  <property fmtid="{D5CDD505-2E9C-101B-9397-08002B2CF9AE}" pid="3" name="Creator">
    <vt:lpwstr>PrimoPDF http://www.primopdf.com</vt:lpwstr>
  </property>
  <property fmtid="{D5CDD505-2E9C-101B-9397-08002B2CF9AE}" pid="4" name="LastSaved">
    <vt:filetime>2020-09-23T00:00:00Z</vt:filetime>
  </property>
</Properties>
</file>