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spacing w:before="9"/>
        <w:rPr>
          <w:sz w:val="26"/>
        </w:rPr>
      </w:pPr>
    </w:p>
    <w:p w:rsidR="00661870" w:rsidRDefault="005D7BF1">
      <w:pPr>
        <w:pStyle w:val="Naslov"/>
        <w:ind w:left="598"/>
      </w:pPr>
      <w:r>
        <w:rPr>
          <w:color w:val="00007F"/>
        </w:rPr>
        <w:t>RULES ON THE TRANSBOUNDARY SHIPMENT OF NUCLEAR AND RADIOACTIVE SUBSTANCES</w:t>
      </w:r>
    </w:p>
    <w:p w:rsidR="00661870" w:rsidRDefault="005D7BF1">
      <w:pPr>
        <w:pStyle w:val="Naslov"/>
        <w:spacing w:before="120"/>
      </w:pPr>
      <w:r>
        <w:rPr>
          <w:color w:val="00007F"/>
        </w:rPr>
        <w:t>(JV12)</w:t>
      </w:r>
    </w:p>
    <w:p w:rsidR="00661870" w:rsidRDefault="00661870">
      <w:pPr>
        <w:pStyle w:val="Telobesedila"/>
        <w:rPr>
          <w:b/>
          <w:sz w:val="40"/>
        </w:rPr>
      </w:pPr>
    </w:p>
    <w:p w:rsidR="00661870" w:rsidRDefault="00661870">
      <w:pPr>
        <w:pStyle w:val="Telobesedila"/>
        <w:spacing w:before="7"/>
        <w:rPr>
          <w:b/>
          <w:sz w:val="58"/>
        </w:rPr>
      </w:pPr>
    </w:p>
    <w:p w:rsidR="00661870" w:rsidRDefault="005D7BF1">
      <w:pPr>
        <w:ind w:left="594" w:right="594"/>
        <w:jc w:val="center"/>
        <w:rPr>
          <w:b/>
          <w:sz w:val="28"/>
        </w:rPr>
      </w:pPr>
      <w:r>
        <w:rPr>
          <w:b/>
          <w:color w:val="00007F"/>
          <w:sz w:val="28"/>
        </w:rPr>
        <w:t>UNOFFICIAL TRANSLATION</w:t>
      </w:r>
    </w:p>
    <w:p w:rsidR="00661870" w:rsidRDefault="005D7BF1">
      <w:pPr>
        <w:spacing w:before="205"/>
        <w:ind w:left="594" w:right="594"/>
        <w:jc w:val="center"/>
        <w:rPr>
          <w:b/>
          <w:sz w:val="24"/>
        </w:rPr>
      </w:pPr>
      <w:r>
        <w:rPr>
          <w:b/>
          <w:color w:val="00007F"/>
          <w:sz w:val="24"/>
        </w:rPr>
        <w:t xml:space="preserve">of the original published in Slovene </w:t>
      </w:r>
      <w:r w:rsidR="008700B8">
        <w:rPr>
          <w:b/>
          <w:color w:val="00007F"/>
          <w:sz w:val="24"/>
        </w:rPr>
        <w:t>language</w:t>
      </w:r>
      <w:r>
        <w:rPr>
          <w:b/>
          <w:color w:val="00007F"/>
          <w:sz w:val="24"/>
        </w:rPr>
        <w:t xml:space="preserve"> in the</w:t>
      </w:r>
    </w:p>
    <w:p w:rsidR="00661870" w:rsidRDefault="005D7BF1">
      <w:pPr>
        <w:spacing w:before="37"/>
        <w:ind w:left="594" w:right="594"/>
        <w:jc w:val="center"/>
        <w:rPr>
          <w:b/>
          <w:sz w:val="28"/>
        </w:rPr>
      </w:pPr>
      <w:r>
        <w:rPr>
          <w:b/>
          <w:color w:val="0000FF"/>
          <w:sz w:val="28"/>
          <w:u w:val="thick" w:color="0000FF"/>
        </w:rPr>
        <w:t>Official Gazette of the Republic of Slovenia, No. 75/08</w:t>
      </w: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661870">
      <w:pPr>
        <w:pStyle w:val="Telobesedila"/>
        <w:rPr>
          <w:b/>
          <w:sz w:val="20"/>
        </w:rPr>
      </w:pPr>
    </w:p>
    <w:p w:rsidR="00661870" w:rsidRDefault="005D7BF1">
      <w:pPr>
        <w:spacing w:before="228"/>
        <w:ind w:left="595" w:right="594"/>
        <w:jc w:val="center"/>
        <w:rPr>
          <w:sz w:val="24"/>
        </w:rPr>
      </w:pPr>
      <w:r>
        <w:rPr>
          <w:color w:val="00007F"/>
          <w:sz w:val="24"/>
        </w:rPr>
        <w:t>Prepared in April 2011</w:t>
      </w: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rPr>
          <w:sz w:val="20"/>
        </w:rPr>
      </w:pPr>
    </w:p>
    <w:p w:rsidR="00661870" w:rsidRDefault="005D7BF1">
      <w:pPr>
        <w:pStyle w:val="Telobesedila"/>
        <w:spacing w:before="4"/>
        <w:rPr>
          <w:sz w:val="14"/>
        </w:rPr>
      </w:pPr>
      <w:r>
        <w:rPr>
          <w:noProof/>
        </w:rPr>
        <mc:AlternateContent>
          <mc:Choice Requires="wps">
            <w:drawing>
              <wp:anchor distT="0" distB="0" distL="0" distR="0" simplePos="0" relativeHeight="251657728" behindDoc="1" locked="0" layoutInCell="1" allowOverlap="1">
                <wp:simplePos x="0" y="0"/>
                <wp:positionH relativeFrom="page">
                  <wp:posOffset>915035</wp:posOffset>
                </wp:positionH>
                <wp:positionV relativeFrom="paragraph">
                  <wp:posOffset>134620</wp:posOffset>
                </wp:positionV>
                <wp:extent cx="5669280" cy="1270"/>
                <wp:effectExtent l="0" t="0" r="0" b="0"/>
                <wp:wrapTopAndBottom/>
                <wp:docPr id="5"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1270"/>
                        </a:xfrm>
                        <a:custGeom>
                          <a:avLst/>
                          <a:gdLst>
                            <a:gd name="T0" fmla="+- 0 1441 1441"/>
                            <a:gd name="T1" fmla="*/ T0 w 8928"/>
                            <a:gd name="T2" fmla="+- 0 10368 1441"/>
                            <a:gd name="T3" fmla="*/ T2 w 8928"/>
                          </a:gdLst>
                          <a:ahLst/>
                          <a:cxnLst>
                            <a:cxn ang="0">
                              <a:pos x="T1" y="0"/>
                            </a:cxn>
                            <a:cxn ang="0">
                              <a:pos x="T3" y="0"/>
                            </a:cxn>
                          </a:cxnLst>
                          <a:rect l="0" t="0" r="r" b="b"/>
                          <a:pathLst>
                            <a:path w="8928">
                              <a:moveTo>
                                <a:pt x="0" y="0"/>
                              </a:moveTo>
                              <a:lnTo>
                                <a:pt x="8927" y="0"/>
                              </a:lnTo>
                            </a:path>
                          </a:pathLst>
                        </a:custGeom>
                        <a:noFill/>
                        <a:ln w="9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0DAE" id="Freeform 2" o:spid="_x0000_s1026" style="position:absolute;margin-left:72.05pt;margin-top:10.6pt;width:446.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" path="m,l8927,e" filled="f" strokeweight=".26456mm">
                <v:path arrowok="t" o:connecttype="custom" o:connectlocs="0,0;5668645,0" o:connectangles="0,0"/>
                <w10:wrap type="topAndBottom" anchorx="page"/>
              </v:shape>
            </w:pict>
          </mc:Fallback>
        </mc:AlternateContent>
      </w:r>
    </w:p>
    <w:p w:rsidR="00661870" w:rsidRDefault="00661870">
      <w:pPr>
        <w:rPr>
          <w:sz w:val="14"/>
        </w:rPr>
        <w:sectPr w:rsidR="00661870">
          <w:type w:val="continuous"/>
          <w:pgSz w:w="11910" w:h="16840"/>
          <w:pgMar w:top="1580" w:right="1020" w:bottom="280" w:left="1020" w:header="720" w:footer="720" w:gutter="0"/>
          <w:cols w:space="720"/>
        </w:sectPr>
      </w:pPr>
    </w:p>
    <w:p w:rsidR="00661870" w:rsidRDefault="005D7BF1">
      <w:pPr>
        <w:spacing w:before="85"/>
        <w:ind w:left="113"/>
        <w:rPr>
          <w:b/>
          <w:sz w:val="28"/>
        </w:rPr>
      </w:pPr>
      <w:r>
        <w:rPr>
          <w:b/>
          <w:sz w:val="28"/>
        </w:rPr>
        <w:lastRenderedPageBreak/>
        <w:t>TABLE OF CONTENTS</w:t>
      </w:r>
    </w:p>
    <w:sdt>
      <w:sdtPr>
        <w:id w:val="-1605569493"/>
        <w:docPartObj>
          <w:docPartGallery w:val="Table of Contents"/>
          <w:docPartUnique/>
        </w:docPartObj>
      </w:sdtPr>
      <w:sdtEndPr/>
      <w:sdtContent>
        <w:p w:rsidR="00661870" w:rsidRDefault="008700B8">
          <w:pPr>
            <w:pStyle w:val="Kazalovsebine1"/>
            <w:tabs>
              <w:tab w:val="right" w:leader="dot" w:pos="9609"/>
            </w:tabs>
            <w:spacing w:before="562"/>
          </w:pPr>
          <w:hyperlink w:anchor="_TOC_250006" w:history="1">
            <w:r w:rsidR="005D7BF1">
              <w:t>Article</w:t>
            </w:r>
            <w:r w:rsidR="005D7BF1">
              <w:rPr>
                <w:spacing w:val="-3"/>
              </w:rPr>
              <w:t xml:space="preserve"> </w:t>
            </w:r>
            <w:r w:rsidR="005D7BF1">
              <w:t>1 (content)</w:t>
            </w:r>
            <w:r w:rsidR="005D7BF1">
              <w:tab/>
              <w:t>3</w:t>
            </w:r>
          </w:hyperlink>
        </w:p>
        <w:p w:rsidR="00661870" w:rsidRDefault="008700B8">
          <w:pPr>
            <w:pStyle w:val="Kazalovsebine1"/>
            <w:tabs>
              <w:tab w:val="right" w:leader="dot" w:pos="9609"/>
            </w:tabs>
            <w:spacing w:before="121"/>
          </w:pPr>
          <w:hyperlink w:anchor="_TOC_250005" w:history="1">
            <w:r w:rsidR="005D7BF1">
              <w:t>Article</w:t>
            </w:r>
            <w:r w:rsidR="005D7BF1">
              <w:rPr>
                <w:spacing w:val="-3"/>
              </w:rPr>
              <w:t xml:space="preserve"> </w:t>
            </w:r>
            <w:r w:rsidR="005D7BF1">
              <w:t>2 (definitions)</w:t>
            </w:r>
            <w:r w:rsidR="005D7BF1">
              <w:tab/>
              <w:t>3</w:t>
            </w:r>
          </w:hyperlink>
        </w:p>
        <w:p w:rsidR="00661870" w:rsidRDefault="008700B8">
          <w:pPr>
            <w:pStyle w:val="Kazalovsebine1"/>
            <w:tabs>
              <w:tab w:val="right" w:leader="dot" w:pos="9609"/>
            </w:tabs>
          </w:pPr>
          <w:hyperlink w:anchor="_TOC_250004" w:history="1">
            <w:r w:rsidR="005D7BF1">
              <w:t>Article 3</w:t>
            </w:r>
            <w:r w:rsidR="005D7BF1">
              <w:rPr>
                <w:spacing w:val="-3"/>
              </w:rPr>
              <w:t xml:space="preserve"> </w:t>
            </w:r>
            <w:r w:rsidR="005D7BF1">
              <w:t>(competent</w:t>
            </w:r>
            <w:r w:rsidR="005D7BF1">
              <w:rPr>
                <w:spacing w:val="-1"/>
              </w:rPr>
              <w:t xml:space="preserve"> </w:t>
            </w:r>
            <w:r w:rsidR="005D7BF1">
              <w:t>authority)</w:t>
            </w:r>
            <w:r w:rsidR="005D7BF1">
              <w:tab/>
              <w:t>3</w:t>
            </w:r>
          </w:hyperlink>
        </w:p>
        <w:p w:rsidR="00661870" w:rsidRDefault="005D7BF1">
          <w:pPr>
            <w:pStyle w:val="Kazalovsebine1"/>
            <w:tabs>
              <w:tab w:val="right" w:leader="dot" w:pos="9609"/>
            </w:tabs>
          </w:pPr>
          <w:r>
            <w:t>Article 4 (contents of an application</w:t>
          </w:r>
          <w:r>
            <w:rPr>
              <w:spacing w:val="-7"/>
            </w:rPr>
            <w:t xml:space="preserve"> </w:t>
          </w:r>
          <w:r>
            <w:t>for</w:t>
          </w:r>
          <w:r>
            <w:rPr>
              <w:spacing w:val="-3"/>
            </w:rPr>
            <w:t xml:space="preserve"> </w:t>
          </w:r>
          <w:proofErr w:type="spellStart"/>
          <w:r>
            <w:t>licence</w:t>
          </w:r>
          <w:proofErr w:type="spellEnd"/>
          <w:r>
            <w:t>)</w:t>
          </w:r>
          <w:r>
            <w:tab/>
            <w:t>4</w:t>
          </w:r>
        </w:p>
        <w:p w:rsidR="00661870" w:rsidRDefault="008700B8">
          <w:pPr>
            <w:pStyle w:val="Kazalovsebine1"/>
            <w:tabs>
              <w:tab w:val="right" w:leader="dot" w:pos="9609"/>
            </w:tabs>
            <w:spacing w:before="122"/>
          </w:pPr>
          <w:hyperlink w:anchor="_TOC_250003" w:history="1">
            <w:r w:rsidR="005D7BF1">
              <w:t>Article 5</w:t>
            </w:r>
            <w:r w:rsidR="005D7BF1">
              <w:rPr>
                <w:spacing w:val="-3"/>
              </w:rPr>
              <w:t xml:space="preserve"> </w:t>
            </w:r>
            <w:r w:rsidR="005D7BF1">
              <w:t>(export</w:t>
            </w:r>
            <w:r w:rsidR="005D7BF1">
              <w:rPr>
                <w:spacing w:val="1"/>
              </w:rPr>
              <w:t xml:space="preserve"> </w:t>
            </w:r>
            <w:r w:rsidR="005D7BF1">
              <w:t>conditions)</w:t>
            </w:r>
            <w:r w:rsidR="005D7BF1">
              <w:tab/>
              <w:t>5</w:t>
            </w:r>
          </w:hyperlink>
        </w:p>
        <w:p w:rsidR="00661870" w:rsidRDefault="005D7BF1">
          <w:pPr>
            <w:pStyle w:val="Kazalovsebine1"/>
            <w:tabs>
              <w:tab w:val="right" w:leader="dot" w:pos="9609"/>
            </w:tabs>
          </w:pPr>
          <w:r>
            <w:t>Article 6 (compliance with</w:t>
          </w:r>
          <w:r>
            <w:rPr>
              <w:spacing w:val="-5"/>
            </w:rPr>
            <w:t xml:space="preserve"> </w:t>
          </w:r>
          <w:r>
            <w:t>import</w:t>
          </w:r>
          <w:r>
            <w:rPr>
              <w:spacing w:val="1"/>
            </w:rPr>
            <w:t xml:space="preserve"> </w:t>
          </w:r>
          <w:r>
            <w:t>conditions)</w:t>
          </w:r>
          <w:r>
            <w:tab/>
            <w:t>5</w:t>
          </w:r>
        </w:p>
        <w:p w:rsidR="00661870" w:rsidRDefault="008700B8">
          <w:pPr>
            <w:pStyle w:val="Kazalovsebine1"/>
            <w:tabs>
              <w:tab w:val="right" w:leader="dot" w:pos="9609"/>
            </w:tabs>
            <w:spacing w:before="121"/>
          </w:pPr>
          <w:hyperlink w:anchor="_TOC_250002" w:history="1">
            <w:r w:rsidR="005D7BF1">
              <w:t>Article</w:t>
            </w:r>
            <w:r w:rsidR="005D7BF1">
              <w:rPr>
                <w:spacing w:val="-3"/>
              </w:rPr>
              <w:t xml:space="preserve"> </w:t>
            </w:r>
            <w:r w:rsidR="005D7BF1">
              <w:t>7 (exemption)</w:t>
            </w:r>
            <w:r w:rsidR="005D7BF1">
              <w:tab/>
              <w:t>5</w:t>
            </w:r>
          </w:hyperlink>
        </w:p>
        <w:p w:rsidR="00661870" w:rsidRDefault="008700B8">
          <w:pPr>
            <w:pStyle w:val="Kazalovsebine1"/>
            <w:tabs>
              <w:tab w:val="right" w:leader="dot" w:pos="9609"/>
            </w:tabs>
          </w:pPr>
          <w:hyperlink w:anchor="_TOC_250001" w:history="1">
            <w:r w:rsidR="005D7BF1">
              <w:t>Article</w:t>
            </w:r>
            <w:r w:rsidR="005D7BF1">
              <w:rPr>
                <w:spacing w:val="-3"/>
              </w:rPr>
              <w:t xml:space="preserve"> </w:t>
            </w:r>
            <w:r w:rsidR="005D7BF1">
              <w:t>8 (notification)</w:t>
            </w:r>
            <w:r w:rsidR="005D7BF1">
              <w:tab/>
              <w:t>6</w:t>
            </w:r>
          </w:hyperlink>
        </w:p>
        <w:p w:rsidR="00661870" w:rsidRDefault="008700B8">
          <w:pPr>
            <w:pStyle w:val="Kazalovsebine1"/>
            <w:tabs>
              <w:tab w:val="right" w:leader="dot" w:pos="9609"/>
            </w:tabs>
          </w:pPr>
          <w:hyperlink w:anchor="_TOC_250000" w:history="1">
            <w:r w:rsidR="005D7BF1">
              <w:t>Article 9</w:t>
            </w:r>
            <w:r w:rsidR="005D7BF1">
              <w:rPr>
                <w:spacing w:val="-3"/>
              </w:rPr>
              <w:t xml:space="preserve"> </w:t>
            </w:r>
            <w:r w:rsidR="005D7BF1">
              <w:t>(final</w:t>
            </w:r>
            <w:r w:rsidR="005D7BF1">
              <w:rPr>
                <w:spacing w:val="-2"/>
              </w:rPr>
              <w:t xml:space="preserve"> </w:t>
            </w:r>
            <w:r w:rsidR="005D7BF1">
              <w:t>provision)</w:t>
            </w:r>
            <w:r w:rsidR="005D7BF1">
              <w:tab/>
              <w:t>6</w:t>
            </w:r>
          </w:hyperlink>
        </w:p>
      </w:sdtContent>
    </w:sdt>
    <w:p w:rsidR="00661870" w:rsidRDefault="00661870">
      <w:pPr>
        <w:sectPr w:rsidR="00661870">
          <w:headerReference w:type="default" r:id="rId7"/>
          <w:footerReference w:type="default" r:id="rId8"/>
          <w:pgSz w:w="11910" w:h="16840"/>
          <w:pgMar w:top="1360" w:right="1020" w:bottom="920" w:left="1020" w:header="712" w:footer="736" w:gutter="0"/>
          <w:pgNumType w:start="2"/>
          <w:cols w:space="720"/>
        </w:sectPr>
      </w:pPr>
    </w:p>
    <w:p w:rsidR="00661870" w:rsidRDefault="005D7BF1">
      <w:pPr>
        <w:pStyle w:val="Telobesedila"/>
        <w:spacing w:before="81"/>
        <w:ind w:left="113" w:right="110"/>
        <w:jc w:val="both"/>
      </w:pPr>
      <w:r>
        <w:lastRenderedPageBreak/>
        <w:t xml:space="preserve">Pursuant to the </w:t>
      </w:r>
      <w:proofErr w:type="spellStart"/>
      <w:r>
        <w:t>Ionising</w:t>
      </w:r>
      <w:proofErr w:type="spellEnd"/>
      <w:r>
        <w:t xml:space="preserve"> Radiation Protection and Nuclear Safety Act (Official Gazette of the Republic of Slovenia, No. 102/04 – official consolidated text) Article 103, paragraph 3, and implementing Article 138 of the said act, the Minister of the Environment and Spatial Planning issues the following</w:t>
      </w:r>
    </w:p>
    <w:p w:rsidR="00661870" w:rsidRDefault="00661870">
      <w:pPr>
        <w:pStyle w:val="Telobesedila"/>
        <w:rPr>
          <w:sz w:val="24"/>
        </w:rPr>
      </w:pPr>
    </w:p>
    <w:p w:rsidR="00661870" w:rsidRDefault="00661870">
      <w:pPr>
        <w:pStyle w:val="Telobesedila"/>
        <w:rPr>
          <w:sz w:val="24"/>
        </w:rPr>
      </w:pPr>
    </w:p>
    <w:p w:rsidR="00661870" w:rsidRDefault="00661870">
      <w:pPr>
        <w:pStyle w:val="Telobesedila"/>
        <w:spacing w:before="9"/>
        <w:rPr>
          <w:sz w:val="21"/>
        </w:rPr>
      </w:pPr>
    </w:p>
    <w:p w:rsidR="00661870" w:rsidRDefault="005D7BF1">
      <w:pPr>
        <w:ind w:left="593" w:right="594"/>
        <w:jc w:val="center"/>
        <w:rPr>
          <w:b/>
          <w:sz w:val="28"/>
        </w:rPr>
      </w:pPr>
      <w:r>
        <w:rPr>
          <w:b/>
          <w:sz w:val="28"/>
        </w:rPr>
        <w:t>RULES</w:t>
      </w:r>
    </w:p>
    <w:p w:rsidR="00661870" w:rsidRDefault="005D7BF1">
      <w:pPr>
        <w:spacing w:before="38"/>
        <w:ind w:left="592" w:right="594"/>
        <w:jc w:val="center"/>
        <w:rPr>
          <w:b/>
          <w:sz w:val="28"/>
        </w:rPr>
      </w:pPr>
      <w:r>
        <w:rPr>
          <w:b/>
          <w:sz w:val="28"/>
        </w:rPr>
        <w:t>on the transboundary shipment of nuclear and radioactive substances</w:t>
      </w:r>
    </w:p>
    <w:p w:rsidR="00661870" w:rsidRDefault="00661870">
      <w:pPr>
        <w:pStyle w:val="Telobesedila"/>
        <w:rPr>
          <w:b/>
          <w:sz w:val="30"/>
        </w:rPr>
      </w:pPr>
    </w:p>
    <w:p w:rsidR="00661870" w:rsidRDefault="00661870">
      <w:pPr>
        <w:pStyle w:val="Telobesedila"/>
        <w:rPr>
          <w:b/>
          <w:sz w:val="30"/>
        </w:rPr>
      </w:pPr>
    </w:p>
    <w:p w:rsidR="00661870" w:rsidRDefault="00661870">
      <w:pPr>
        <w:pStyle w:val="Telobesedila"/>
        <w:spacing w:before="11"/>
        <w:rPr>
          <w:b/>
          <w:sz w:val="33"/>
        </w:rPr>
      </w:pPr>
    </w:p>
    <w:p w:rsidR="00661870" w:rsidRDefault="005D7BF1">
      <w:pPr>
        <w:pStyle w:val="Naslov1"/>
        <w:spacing w:before="0"/>
        <w:ind w:left="4689" w:right="4330" w:hanging="2"/>
      </w:pPr>
      <w:bookmarkStart w:id="0" w:name="_TOC_250006"/>
      <w:bookmarkEnd w:id="0"/>
      <w:r>
        <w:t>Article 1 (content)</w:t>
      </w:r>
    </w:p>
    <w:p w:rsidR="00661870" w:rsidRDefault="00661870">
      <w:pPr>
        <w:pStyle w:val="Telobesedila"/>
        <w:spacing w:before="8"/>
        <w:rPr>
          <w:b/>
          <w:sz w:val="30"/>
        </w:rPr>
      </w:pPr>
    </w:p>
    <w:p w:rsidR="00661870" w:rsidRDefault="005D7BF1">
      <w:pPr>
        <w:pStyle w:val="Telobesedila"/>
        <w:ind w:left="113" w:right="110"/>
        <w:jc w:val="both"/>
      </w:pPr>
      <w:r>
        <w:t xml:space="preserve">These Rules lay down radiation sources with significant activity, the content of the application for and conditions for the issuing of an import or export </w:t>
      </w:r>
      <w:proofErr w:type="spellStart"/>
      <w:r>
        <w:t>licence</w:t>
      </w:r>
      <w:proofErr w:type="spellEnd"/>
      <w:r>
        <w:t xml:space="preserve"> for nuclear or radioactive substances, a </w:t>
      </w:r>
      <w:proofErr w:type="spellStart"/>
      <w:r>
        <w:t>licence</w:t>
      </w:r>
      <w:proofErr w:type="spellEnd"/>
      <w:r>
        <w:t xml:space="preserve"> for shipment of nuclear substances from a European Union (hereinafter referred to as: EU) Member State or for shipment of nuclear substances to an EU Member State, and a </w:t>
      </w:r>
      <w:proofErr w:type="spellStart"/>
      <w:r>
        <w:t>licence</w:t>
      </w:r>
      <w:proofErr w:type="spellEnd"/>
      <w:r>
        <w:t xml:space="preserve"> for transit of nuclear substances and radiation sources with significant activity, the method of notifying the competent ministries and authorities of other countries, the handling of multiple shipments and other conditions relating to nuclear and radiation safety.</w:t>
      </w:r>
    </w:p>
    <w:p w:rsidR="00661870" w:rsidRDefault="00661870">
      <w:pPr>
        <w:pStyle w:val="Telobesedila"/>
        <w:rPr>
          <w:sz w:val="24"/>
        </w:rPr>
      </w:pPr>
    </w:p>
    <w:p w:rsidR="00661870" w:rsidRDefault="00661870">
      <w:pPr>
        <w:pStyle w:val="Telobesedila"/>
        <w:rPr>
          <w:sz w:val="24"/>
        </w:rPr>
      </w:pPr>
    </w:p>
    <w:p w:rsidR="00661870" w:rsidRDefault="005D7BF1">
      <w:pPr>
        <w:pStyle w:val="Naslov1"/>
        <w:ind w:left="4541" w:right="4183" w:firstLine="1"/>
      </w:pPr>
      <w:bookmarkStart w:id="1" w:name="_TOC_250005"/>
      <w:bookmarkEnd w:id="1"/>
      <w:r>
        <w:t>Article 2 (definitions)</w:t>
      </w:r>
    </w:p>
    <w:p w:rsidR="00661870" w:rsidRDefault="00661870">
      <w:pPr>
        <w:pStyle w:val="Telobesedila"/>
        <w:rPr>
          <w:b/>
          <w:sz w:val="24"/>
        </w:rPr>
      </w:pPr>
    </w:p>
    <w:p w:rsidR="00661870" w:rsidRDefault="005D7BF1">
      <w:pPr>
        <w:pStyle w:val="Telobesedila"/>
        <w:spacing w:before="188"/>
        <w:ind w:left="113"/>
        <w:jc w:val="both"/>
      </w:pPr>
      <w:r>
        <w:t>The terms appearing in these Rules shall have the following meanings:</w:t>
      </w:r>
    </w:p>
    <w:p w:rsidR="00661870" w:rsidRDefault="005D7BF1">
      <w:pPr>
        <w:pStyle w:val="Odstavekseznama"/>
        <w:numPr>
          <w:ilvl w:val="0"/>
          <w:numId w:val="5"/>
        </w:numPr>
        <w:tabs>
          <w:tab w:val="left" w:pos="822"/>
        </w:tabs>
        <w:ind w:right="108"/>
        <w:jc w:val="both"/>
      </w:pPr>
      <w:r>
        <w:t>low enriched uranium means uranium containing the U-235 radionuclide or U-233 radionuclide or both in such concentrations that the percentage of the sum of these concentrations is greater than the percentage of U-235 in natural uranium but less than 20</w:t>
      </w:r>
      <w:r>
        <w:rPr>
          <w:spacing w:val="-7"/>
        </w:rPr>
        <w:t xml:space="preserve"> </w:t>
      </w:r>
      <w:r>
        <w:t>%;</w:t>
      </w:r>
    </w:p>
    <w:p w:rsidR="00661870" w:rsidRDefault="005D7BF1">
      <w:pPr>
        <w:pStyle w:val="Odstavekseznama"/>
        <w:numPr>
          <w:ilvl w:val="0"/>
          <w:numId w:val="5"/>
        </w:numPr>
        <w:tabs>
          <w:tab w:val="left" w:pos="822"/>
        </w:tabs>
        <w:ind w:right="109"/>
        <w:jc w:val="both"/>
      </w:pPr>
      <w:r>
        <w:t>depleted uranium means uranium containing the U-235 radionuclide in a concentration lower than that in natural</w:t>
      </w:r>
      <w:r>
        <w:rPr>
          <w:spacing w:val="-1"/>
        </w:rPr>
        <w:t xml:space="preserve"> </w:t>
      </w:r>
      <w:r>
        <w:t>uranium;</w:t>
      </w:r>
    </w:p>
    <w:p w:rsidR="00661870" w:rsidRDefault="005D7BF1">
      <w:pPr>
        <w:pStyle w:val="Odstavekseznama"/>
        <w:numPr>
          <w:ilvl w:val="0"/>
          <w:numId w:val="5"/>
        </w:numPr>
        <w:tabs>
          <w:tab w:val="left" w:pos="822"/>
        </w:tabs>
        <w:spacing w:before="121"/>
        <w:ind w:right="110"/>
        <w:jc w:val="both"/>
      </w:pPr>
      <w:r>
        <w:t>radiation source with a significant activity is a radiation source containing a radionuclide the activity of which equals or exceeds category 2 set out in Table 5 of the Decree on activities involving radiation (Official Gazette of the Republic of Slovenia, No. 48/04 and</w:t>
      </w:r>
      <w:r>
        <w:rPr>
          <w:spacing w:val="-9"/>
        </w:rPr>
        <w:t xml:space="preserve"> </w:t>
      </w:r>
      <w:r>
        <w:t>9/06);</w:t>
      </w:r>
    </w:p>
    <w:p w:rsidR="00661870" w:rsidRDefault="005D7BF1">
      <w:pPr>
        <w:pStyle w:val="Odstavekseznama"/>
        <w:numPr>
          <w:ilvl w:val="0"/>
          <w:numId w:val="5"/>
        </w:numPr>
        <w:tabs>
          <w:tab w:val="left" w:pos="822"/>
        </w:tabs>
        <w:ind w:right="110"/>
        <w:jc w:val="both"/>
      </w:pPr>
      <w:r>
        <w:t>high enriched uranium means uranium containing the U-235 radionuclide or U-233 radionuclide or both in such concentrations that the percentage of the sum of these concentrations equals or exceeds 20 %.</w:t>
      </w:r>
    </w:p>
    <w:p w:rsidR="00661870" w:rsidRDefault="00661870">
      <w:pPr>
        <w:pStyle w:val="Telobesedila"/>
        <w:rPr>
          <w:sz w:val="24"/>
        </w:rPr>
      </w:pPr>
    </w:p>
    <w:p w:rsidR="00661870" w:rsidRDefault="00661870">
      <w:pPr>
        <w:pStyle w:val="Telobesedila"/>
        <w:rPr>
          <w:sz w:val="24"/>
        </w:rPr>
      </w:pPr>
    </w:p>
    <w:p w:rsidR="00661870" w:rsidRDefault="005D7BF1">
      <w:pPr>
        <w:pStyle w:val="Naslov1"/>
        <w:spacing w:before="175"/>
        <w:ind w:left="4080" w:right="3711" w:firstLine="623"/>
        <w:jc w:val="left"/>
      </w:pPr>
      <w:bookmarkStart w:id="2" w:name="_TOC_250004"/>
      <w:bookmarkEnd w:id="2"/>
      <w:r>
        <w:t>Article 3 (</w:t>
      </w:r>
      <w:bookmarkStart w:id="3" w:name="_GoBack"/>
      <w:r>
        <w:t>c</w:t>
      </w:r>
      <w:bookmarkEnd w:id="3"/>
      <w:r>
        <w:t>ompetent authority)</w:t>
      </w:r>
    </w:p>
    <w:p w:rsidR="00661870" w:rsidRDefault="00661870">
      <w:pPr>
        <w:pStyle w:val="Telobesedila"/>
        <w:spacing w:before="8"/>
        <w:rPr>
          <w:b/>
          <w:sz w:val="30"/>
        </w:rPr>
      </w:pPr>
    </w:p>
    <w:p w:rsidR="00661870" w:rsidRDefault="005D7BF1">
      <w:pPr>
        <w:pStyle w:val="Telobesedila"/>
        <w:ind w:left="113" w:right="110"/>
        <w:jc w:val="both"/>
      </w:pPr>
      <w:r>
        <w:t xml:space="preserve">Pursuant to the act governing </w:t>
      </w:r>
      <w:proofErr w:type="spellStart"/>
      <w:r>
        <w:t>ionising</w:t>
      </w:r>
      <w:proofErr w:type="spellEnd"/>
      <w:r>
        <w:t xml:space="preserve"> radiation protection and nuclear safety, the authority competent for the issuing of </w:t>
      </w:r>
      <w:proofErr w:type="spellStart"/>
      <w:r>
        <w:t>licences</w:t>
      </w:r>
      <w:proofErr w:type="spellEnd"/>
      <w:r>
        <w:t xml:space="preserve"> under these Rules is the Slovenian Nuclear Safety Administration, except in cases of import or export of radioactive substances applied in health or veterinary care, where the competent authority is the Slovenian Radiation Protection Administration.</w:t>
      </w:r>
    </w:p>
    <w:p w:rsidR="00661870" w:rsidRDefault="00661870">
      <w:pPr>
        <w:jc w:val="both"/>
        <w:sectPr w:rsidR="00661870">
          <w:pgSz w:w="11910" w:h="16840"/>
          <w:pgMar w:top="1360" w:right="1020" w:bottom="920" w:left="1020" w:header="712" w:footer="736" w:gutter="0"/>
          <w:cols w:space="720"/>
        </w:sectPr>
      </w:pPr>
    </w:p>
    <w:p w:rsidR="00661870" w:rsidRDefault="00661870">
      <w:pPr>
        <w:pStyle w:val="Telobesedila"/>
        <w:rPr>
          <w:sz w:val="20"/>
        </w:rPr>
      </w:pPr>
    </w:p>
    <w:p w:rsidR="00661870" w:rsidRDefault="00661870">
      <w:pPr>
        <w:pStyle w:val="Telobesedila"/>
        <w:rPr>
          <w:sz w:val="20"/>
        </w:rPr>
      </w:pPr>
    </w:p>
    <w:p w:rsidR="00661870" w:rsidRDefault="00661870">
      <w:pPr>
        <w:pStyle w:val="Telobesedila"/>
        <w:spacing w:before="1"/>
      </w:pPr>
    </w:p>
    <w:p w:rsidR="00661870" w:rsidRDefault="005D7BF1">
      <w:pPr>
        <w:spacing w:before="92"/>
        <w:ind w:left="598" w:right="242"/>
        <w:jc w:val="center"/>
        <w:rPr>
          <w:b/>
        </w:rPr>
      </w:pPr>
      <w:r>
        <w:rPr>
          <w:b/>
        </w:rPr>
        <w:t>Article 4</w:t>
      </w:r>
    </w:p>
    <w:p w:rsidR="00661870" w:rsidRDefault="005D7BF1">
      <w:pPr>
        <w:spacing w:before="1"/>
        <w:ind w:left="598" w:right="243"/>
        <w:jc w:val="center"/>
        <w:rPr>
          <w:b/>
        </w:rPr>
      </w:pPr>
      <w:r>
        <w:rPr>
          <w:b/>
        </w:rPr>
        <w:t xml:space="preserve">(contents of an application for </w:t>
      </w:r>
      <w:proofErr w:type="spellStart"/>
      <w:r>
        <w:rPr>
          <w:b/>
        </w:rPr>
        <w:t>licence</w:t>
      </w:r>
      <w:proofErr w:type="spellEnd"/>
      <w:r>
        <w:rPr>
          <w:b/>
        </w:rPr>
        <w:t>)</w:t>
      </w:r>
    </w:p>
    <w:p w:rsidR="00661870" w:rsidRDefault="00661870">
      <w:pPr>
        <w:pStyle w:val="Telobesedila"/>
        <w:spacing w:before="9"/>
        <w:rPr>
          <w:b/>
          <w:sz w:val="30"/>
        </w:rPr>
      </w:pPr>
    </w:p>
    <w:p w:rsidR="00661870" w:rsidRDefault="005D7BF1">
      <w:pPr>
        <w:pStyle w:val="Odstavekseznama"/>
        <w:numPr>
          <w:ilvl w:val="0"/>
          <w:numId w:val="4"/>
        </w:numPr>
        <w:tabs>
          <w:tab w:val="left" w:pos="474"/>
        </w:tabs>
        <w:spacing w:before="0"/>
        <w:ind w:right="109"/>
        <w:jc w:val="both"/>
      </w:pPr>
      <w:r>
        <w:t>A person who intends to import or export nuclear or radioactive substances or ship from or to the EU Member States nuclear substances, or a person representing the consignor in a transit of nuclear substances or radiation sources with significant activity in the Republic of Slovenia, shall submit an application to the competent</w:t>
      </w:r>
      <w:r>
        <w:rPr>
          <w:spacing w:val="-2"/>
        </w:rPr>
        <w:t xml:space="preserve"> </w:t>
      </w:r>
      <w:r>
        <w:t>authority.</w:t>
      </w:r>
    </w:p>
    <w:p w:rsidR="00661870" w:rsidRDefault="00661870">
      <w:pPr>
        <w:pStyle w:val="Telobesedila"/>
        <w:spacing w:before="5"/>
        <w:rPr>
          <w:sz w:val="31"/>
        </w:rPr>
      </w:pPr>
    </w:p>
    <w:p w:rsidR="00661870" w:rsidRDefault="005D7BF1">
      <w:pPr>
        <w:pStyle w:val="Odstavekseznama"/>
        <w:numPr>
          <w:ilvl w:val="0"/>
          <w:numId w:val="4"/>
        </w:numPr>
        <w:tabs>
          <w:tab w:val="left" w:pos="474"/>
        </w:tabs>
        <w:spacing w:before="0"/>
        <w:ind w:hanging="361"/>
      </w:pPr>
      <w:r>
        <w:t>The application referred to in the previous paragraph shall provide information</w:t>
      </w:r>
      <w:r>
        <w:rPr>
          <w:spacing w:val="-13"/>
        </w:rPr>
        <w:t xml:space="preserve"> </w:t>
      </w:r>
      <w:r>
        <w:t>on:</w:t>
      </w:r>
    </w:p>
    <w:p w:rsidR="00661870" w:rsidRDefault="005D7BF1">
      <w:pPr>
        <w:pStyle w:val="Odstavekseznama"/>
        <w:numPr>
          <w:ilvl w:val="1"/>
          <w:numId w:val="4"/>
        </w:numPr>
        <w:tabs>
          <w:tab w:val="left" w:pos="833"/>
          <w:tab w:val="left" w:pos="834"/>
        </w:tabs>
        <w:spacing w:before="117"/>
        <w:ind w:left="833"/>
        <w:jc w:val="left"/>
      </w:pPr>
      <w:r>
        <w:t>the</w:t>
      </w:r>
      <w:r>
        <w:rPr>
          <w:spacing w:val="-4"/>
        </w:rPr>
        <w:t xml:space="preserve"> </w:t>
      </w:r>
      <w:r>
        <w:t>consignor;</w:t>
      </w:r>
    </w:p>
    <w:p w:rsidR="00661870" w:rsidRDefault="005D7BF1">
      <w:pPr>
        <w:pStyle w:val="Odstavekseznama"/>
        <w:numPr>
          <w:ilvl w:val="1"/>
          <w:numId w:val="4"/>
        </w:numPr>
        <w:tabs>
          <w:tab w:val="left" w:pos="833"/>
          <w:tab w:val="left" w:pos="834"/>
        </w:tabs>
        <w:spacing w:before="120"/>
        <w:ind w:left="833"/>
        <w:jc w:val="left"/>
      </w:pPr>
      <w:r>
        <w:t>the</w:t>
      </w:r>
      <w:r>
        <w:rPr>
          <w:spacing w:val="-5"/>
        </w:rPr>
        <w:t xml:space="preserve"> </w:t>
      </w:r>
      <w:r>
        <w:t>consignee;</w:t>
      </w:r>
    </w:p>
    <w:p w:rsidR="00661870" w:rsidRDefault="005D7BF1">
      <w:pPr>
        <w:pStyle w:val="Odstavekseznama"/>
        <w:numPr>
          <w:ilvl w:val="1"/>
          <w:numId w:val="4"/>
        </w:numPr>
        <w:tabs>
          <w:tab w:val="left" w:pos="833"/>
          <w:tab w:val="left" w:pos="834"/>
        </w:tabs>
        <w:ind w:left="833"/>
        <w:jc w:val="left"/>
      </w:pPr>
      <w:r>
        <w:t>the</w:t>
      </w:r>
      <w:r>
        <w:rPr>
          <w:spacing w:val="-1"/>
        </w:rPr>
        <w:t xml:space="preserve"> </w:t>
      </w:r>
      <w:r>
        <w:t>carrier;</w:t>
      </w:r>
    </w:p>
    <w:p w:rsidR="00661870" w:rsidRDefault="005D7BF1">
      <w:pPr>
        <w:pStyle w:val="Odstavekseznama"/>
        <w:numPr>
          <w:ilvl w:val="1"/>
          <w:numId w:val="4"/>
        </w:numPr>
        <w:tabs>
          <w:tab w:val="left" w:pos="834"/>
        </w:tabs>
        <w:ind w:right="111" w:hanging="356"/>
      </w:pPr>
      <w:r>
        <w:t>the radiation sources or nuclear substances, in particular the types of radionuclides, their individual and total activity and the number of sources,</w:t>
      </w:r>
      <w:r>
        <w:rPr>
          <w:spacing w:val="-1"/>
        </w:rPr>
        <w:t xml:space="preserve"> </w:t>
      </w:r>
      <w:r>
        <w:t>and</w:t>
      </w:r>
    </w:p>
    <w:p w:rsidR="00661870" w:rsidRDefault="005D7BF1">
      <w:pPr>
        <w:pStyle w:val="Odstavekseznama"/>
        <w:numPr>
          <w:ilvl w:val="1"/>
          <w:numId w:val="4"/>
        </w:numPr>
        <w:tabs>
          <w:tab w:val="left" w:pos="834"/>
        </w:tabs>
        <w:spacing w:before="118"/>
        <w:ind w:right="110" w:hanging="356"/>
      </w:pPr>
      <w:r>
        <w:t>the designation of the packaging type certificate pursuant to the regulations governing the transport of dangerous goods and the envisaged time and place of the crossing of the border of the Republic of Slovenia and the transport route where a radiation source with a significant activity is</w:t>
      </w:r>
      <w:r>
        <w:rPr>
          <w:spacing w:val="-31"/>
        </w:rPr>
        <w:t xml:space="preserve"> </w:t>
      </w:r>
      <w:r>
        <w:t>involved.</w:t>
      </w:r>
    </w:p>
    <w:p w:rsidR="00661870" w:rsidRDefault="00661870">
      <w:pPr>
        <w:pStyle w:val="Telobesedila"/>
        <w:spacing w:before="5"/>
        <w:rPr>
          <w:sz w:val="31"/>
        </w:rPr>
      </w:pPr>
    </w:p>
    <w:p w:rsidR="00661870" w:rsidRDefault="005D7BF1">
      <w:pPr>
        <w:pStyle w:val="Odstavekseznama"/>
        <w:numPr>
          <w:ilvl w:val="0"/>
          <w:numId w:val="4"/>
        </w:numPr>
        <w:tabs>
          <w:tab w:val="left" w:pos="474"/>
        </w:tabs>
        <w:spacing w:before="0"/>
        <w:ind w:hanging="361"/>
        <w:jc w:val="both"/>
      </w:pPr>
      <w:r>
        <w:t>The following shall be attached to the application referred to in paragraph</w:t>
      </w:r>
      <w:r>
        <w:rPr>
          <w:spacing w:val="-16"/>
        </w:rPr>
        <w:t xml:space="preserve"> </w:t>
      </w:r>
      <w:r>
        <w:t>1:</w:t>
      </w:r>
    </w:p>
    <w:p w:rsidR="00661870" w:rsidRDefault="005D7BF1">
      <w:pPr>
        <w:pStyle w:val="Odstavekseznama"/>
        <w:numPr>
          <w:ilvl w:val="1"/>
          <w:numId w:val="4"/>
        </w:numPr>
        <w:tabs>
          <w:tab w:val="left" w:pos="834"/>
        </w:tabs>
        <w:spacing w:before="120"/>
        <w:ind w:right="110" w:hanging="356"/>
      </w:pPr>
      <w:r>
        <w:t>documentary evidence of the provision of financial securities where required by the regulations governing financial securities or liability for nuclear damage</w:t>
      </w:r>
      <w:r>
        <w:rPr>
          <w:spacing w:val="-6"/>
        </w:rPr>
        <w:t xml:space="preserve"> </w:t>
      </w:r>
      <w:r>
        <w:t>;</w:t>
      </w:r>
    </w:p>
    <w:p w:rsidR="00661870" w:rsidRDefault="005D7BF1">
      <w:pPr>
        <w:pStyle w:val="Odstavekseznama"/>
        <w:numPr>
          <w:ilvl w:val="1"/>
          <w:numId w:val="4"/>
        </w:numPr>
        <w:tabs>
          <w:tab w:val="left" w:pos="834"/>
        </w:tabs>
        <w:spacing w:before="118"/>
        <w:ind w:right="110" w:hanging="356"/>
      </w:pPr>
      <w:r>
        <w:t xml:space="preserve">approved assessment of radiation protection of exposed workers during transport in accordance with the act governing </w:t>
      </w:r>
      <w:proofErr w:type="spellStart"/>
      <w:r>
        <w:t>ionising</w:t>
      </w:r>
      <w:proofErr w:type="spellEnd"/>
      <w:r>
        <w:t xml:space="preserve"> radiation protection and nuclear safety where the regulations governing the transport of dangerous goods require approval of the packaging in the Republic of</w:t>
      </w:r>
      <w:r>
        <w:rPr>
          <w:spacing w:val="-25"/>
        </w:rPr>
        <w:t xml:space="preserve"> </w:t>
      </w:r>
      <w:r>
        <w:t>Slovenia;</w:t>
      </w:r>
    </w:p>
    <w:p w:rsidR="00661870" w:rsidRDefault="005D7BF1">
      <w:pPr>
        <w:pStyle w:val="Odstavekseznama"/>
        <w:numPr>
          <w:ilvl w:val="1"/>
          <w:numId w:val="4"/>
        </w:numPr>
        <w:tabs>
          <w:tab w:val="left" w:pos="834"/>
        </w:tabs>
        <w:spacing w:before="120"/>
        <w:ind w:right="110" w:hanging="356"/>
      </w:pPr>
      <w:r>
        <w:t xml:space="preserve">information on the </w:t>
      </w:r>
      <w:proofErr w:type="spellStart"/>
      <w:r>
        <w:t>authorisation</w:t>
      </w:r>
      <w:proofErr w:type="spellEnd"/>
      <w:r>
        <w:t xml:space="preserve"> of the end-user for practices involving radiation where import of nuclear or radioactive substances or their shipment from an EU Member State, as referred to in paragraph 1 of this Article, is</w:t>
      </w:r>
      <w:r>
        <w:rPr>
          <w:spacing w:val="-6"/>
        </w:rPr>
        <w:t xml:space="preserve"> </w:t>
      </w:r>
      <w:r>
        <w:t>involved.</w:t>
      </w:r>
    </w:p>
    <w:p w:rsidR="00661870" w:rsidRDefault="00661870">
      <w:pPr>
        <w:pStyle w:val="Telobesedila"/>
        <w:spacing w:before="4"/>
        <w:rPr>
          <w:sz w:val="31"/>
        </w:rPr>
      </w:pPr>
    </w:p>
    <w:p w:rsidR="00661870" w:rsidRDefault="005D7BF1">
      <w:pPr>
        <w:pStyle w:val="Odstavekseznama"/>
        <w:numPr>
          <w:ilvl w:val="0"/>
          <w:numId w:val="4"/>
        </w:numPr>
        <w:tabs>
          <w:tab w:val="left" w:pos="474"/>
        </w:tabs>
        <w:spacing w:before="0"/>
        <w:ind w:right="110"/>
        <w:jc w:val="both"/>
      </w:pPr>
      <w:r>
        <w:t>In considering the application, the competent authority shall also take into account the approved plan of physical protection during transport, which shall be obtained from the ministry responsible for internal affairs. The physical protection plan shall only be produced where required by the regulations governing physical</w:t>
      </w:r>
      <w:r>
        <w:rPr>
          <w:spacing w:val="-3"/>
        </w:rPr>
        <w:t xml:space="preserve"> </w:t>
      </w:r>
      <w:r>
        <w:t>protection.</w:t>
      </w:r>
    </w:p>
    <w:p w:rsidR="00661870" w:rsidRDefault="00661870">
      <w:pPr>
        <w:pStyle w:val="Telobesedila"/>
      </w:pPr>
    </w:p>
    <w:p w:rsidR="00661870" w:rsidRDefault="005D7BF1">
      <w:pPr>
        <w:pStyle w:val="Odstavekseznama"/>
        <w:numPr>
          <w:ilvl w:val="0"/>
          <w:numId w:val="4"/>
        </w:numPr>
        <w:tabs>
          <w:tab w:val="left" w:pos="474"/>
        </w:tabs>
        <w:spacing w:before="0"/>
        <w:ind w:right="108"/>
      </w:pPr>
      <w:r>
        <w:t xml:space="preserve">In the case of an application for </w:t>
      </w:r>
      <w:proofErr w:type="spellStart"/>
      <w:r>
        <w:t>licence</w:t>
      </w:r>
      <w:proofErr w:type="spellEnd"/>
      <w:r>
        <w:t xml:space="preserve"> for multiple shipments, the following information shall additionally be</w:t>
      </w:r>
      <w:r>
        <w:rPr>
          <w:spacing w:val="-3"/>
        </w:rPr>
        <w:t xml:space="preserve"> </w:t>
      </w:r>
      <w:r>
        <w:t>provided:</w:t>
      </w:r>
    </w:p>
    <w:p w:rsidR="00661870" w:rsidRDefault="005D7BF1">
      <w:pPr>
        <w:pStyle w:val="Odstavekseznama"/>
        <w:numPr>
          <w:ilvl w:val="1"/>
          <w:numId w:val="4"/>
        </w:numPr>
        <w:tabs>
          <w:tab w:val="left" w:pos="833"/>
          <w:tab w:val="left" w:pos="834"/>
        </w:tabs>
        <w:spacing w:before="117"/>
        <w:ind w:left="833"/>
        <w:jc w:val="left"/>
      </w:pPr>
      <w:r>
        <w:t>the envisaged total number of</w:t>
      </w:r>
      <w:r>
        <w:rPr>
          <w:spacing w:val="-1"/>
        </w:rPr>
        <w:t xml:space="preserve"> </w:t>
      </w:r>
      <w:r>
        <w:t>shipments;</w:t>
      </w:r>
    </w:p>
    <w:p w:rsidR="00661870" w:rsidRDefault="005D7BF1">
      <w:pPr>
        <w:pStyle w:val="Odstavekseznama"/>
        <w:numPr>
          <w:ilvl w:val="1"/>
          <w:numId w:val="4"/>
        </w:numPr>
        <w:tabs>
          <w:tab w:val="left" w:pos="833"/>
          <w:tab w:val="left" w:pos="834"/>
        </w:tabs>
        <w:ind w:right="109" w:hanging="356"/>
        <w:jc w:val="left"/>
      </w:pPr>
      <w:r>
        <w:t>the type of radionuclides and the envisaged maximum individual activity and the envisaged maximum total activity of a single</w:t>
      </w:r>
      <w:r>
        <w:rPr>
          <w:spacing w:val="-13"/>
        </w:rPr>
        <w:t xml:space="preserve"> </w:t>
      </w:r>
      <w:r>
        <w:t>shipment;</w:t>
      </w:r>
    </w:p>
    <w:p w:rsidR="00661870" w:rsidRDefault="005D7BF1">
      <w:pPr>
        <w:pStyle w:val="Odstavekseznama"/>
        <w:numPr>
          <w:ilvl w:val="1"/>
          <w:numId w:val="4"/>
        </w:numPr>
        <w:tabs>
          <w:tab w:val="left" w:pos="833"/>
          <w:tab w:val="left" w:pos="834"/>
        </w:tabs>
        <w:spacing w:before="121"/>
        <w:ind w:left="833"/>
        <w:jc w:val="left"/>
      </w:pPr>
      <w:r>
        <w:t>the time period in which the shipments are to take</w:t>
      </w:r>
      <w:r>
        <w:rPr>
          <w:spacing w:val="-7"/>
        </w:rPr>
        <w:t xml:space="preserve"> </w:t>
      </w:r>
      <w:r>
        <w:t>place.</w:t>
      </w:r>
    </w:p>
    <w:p w:rsidR="00661870" w:rsidRDefault="00661870">
      <w:pPr>
        <w:sectPr w:rsidR="00661870">
          <w:pgSz w:w="11910" w:h="16840"/>
          <w:pgMar w:top="1360" w:right="1020" w:bottom="920" w:left="1020" w:header="712" w:footer="736" w:gutter="0"/>
          <w:cols w:space="720"/>
        </w:sectPr>
      </w:pPr>
    </w:p>
    <w:p w:rsidR="00661870" w:rsidRDefault="005D7BF1">
      <w:pPr>
        <w:pStyle w:val="Naslov1"/>
        <w:spacing w:before="86"/>
        <w:ind w:left="4221" w:right="3850" w:firstLine="482"/>
        <w:jc w:val="left"/>
      </w:pPr>
      <w:bookmarkStart w:id="4" w:name="_TOC_250003"/>
      <w:bookmarkEnd w:id="4"/>
      <w:r>
        <w:t>Article 5 (export conditions)</w:t>
      </w:r>
    </w:p>
    <w:p w:rsidR="00661870" w:rsidRDefault="00661870">
      <w:pPr>
        <w:pStyle w:val="Telobesedila"/>
        <w:spacing w:before="10"/>
        <w:rPr>
          <w:b/>
          <w:sz w:val="30"/>
        </w:rPr>
      </w:pPr>
    </w:p>
    <w:p w:rsidR="00661870" w:rsidRDefault="005D7BF1">
      <w:pPr>
        <w:pStyle w:val="Odstavekseznama"/>
        <w:numPr>
          <w:ilvl w:val="0"/>
          <w:numId w:val="3"/>
        </w:numPr>
        <w:tabs>
          <w:tab w:val="left" w:pos="474"/>
        </w:tabs>
        <w:spacing w:before="0"/>
        <w:ind w:right="110"/>
        <w:jc w:val="both"/>
      </w:pPr>
      <w:r>
        <w:t xml:space="preserve">The authority competent for the issuing of the export </w:t>
      </w:r>
      <w:proofErr w:type="spellStart"/>
      <w:r>
        <w:t>licence</w:t>
      </w:r>
      <w:proofErr w:type="spellEnd"/>
      <w:r>
        <w:t xml:space="preserve"> for radiation sources with significant activity shall, prior to issuing the </w:t>
      </w:r>
      <w:proofErr w:type="spellStart"/>
      <w:r>
        <w:t>licence</w:t>
      </w:r>
      <w:proofErr w:type="spellEnd"/>
      <w:r>
        <w:t>, obtain consent to the import from the competent authority of the shipment recipient country, which shall demonstrate that the shipment consignee fulfils the conditions for the acceptance of the radiation source with significant</w:t>
      </w:r>
      <w:r>
        <w:rPr>
          <w:spacing w:val="-17"/>
        </w:rPr>
        <w:t xml:space="preserve"> </w:t>
      </w:r>
      <w:r>
        <w:t>activity.</w:t>
      </w:r>
    </w:p>
    <w:p w:rsidR="00661870" w:rsidRDefault="00661870">
      <w:pPr>
        <w:pStyle w:val="Telobesedila"/>
        <w:spacing w:before="5"/>
        <w:rPr>
          <w:sz w:val="31"/>
        </w:rPr>
      </w:pPr>
    </w:p>
    <w:p w:rsidR="00661870" w:rsidRDefault="005D7BF1">
      <w:pPr>
        <w:pStyle w:val="Odstavekseznama"/>
        <w:numPr>
          <w:ilvl w:val="0"/>
          <w:numId w:val="3"/>
        </w:numPr>
        <w:tabs>
          <w:tab w:val="left" w:pos="474"/>
        </w:tabs>
        <w:spacing w:before="0"/>
        <w:ind w:right="110"/>
        <w:jc w:val="both"/>
      </w:pPr>
      <w:r>
        <w:t>The conditions referred to in the previous paragraph shall comply with the Code of Conduct on the Safety and Security of Radioactive Sources of the International Atomic Energy Agency (IAEA/CODEOC/2004).</w:t>
      </w:r>
    </w:p>
    <w:p w:rsidR="00661870" w:rsidRDefault="00661870">
      <w:pPr>
        <w:pStyle w:val="Telobesedila"/>
        <w:spacing w:before="2"/>
        <w:rPr>
          <w:sz w:val="31"/>
        </w:rPr>
      </w:pPr>
    </w:p>
    <w:p w:rsidR="00661870" w:rsidRDefault="005D7BF1">
      <w:pPr>
        <w:pStyle w:val="Odstavekseznama"/>
        <w:numPr>
          <w:ilvl w:val="0"/>
          <w:numId w:val="3"/>
        </w:numPr>
        <w:tabs>
          <w:tab w:val="left" w:pos="474"/>
        </w:tabs>
        <w:spacing w:before="1"/>
        <w:ind w:right="110"/>
        <w:jc w:val="both"/>
      </w:pPr>
      <w:r>
        <w:t xml:space="preserve">The consignor shall notify, at least 7 days prior to the dispatch, the consignee, the competent authority of the recipient country of the shipment, having issued the consent referred to in paragraph 1, and the competent authority having issued the export </w:t>
      </w:r>
      <w:proofErr w:type="spellStart"/>
      <w:r>
        <w:t>licence</w:t>
      </w:r>
      <w:proofErr w:type="spellEnd"/>
      <w:r>
        <w:t>, of the date and time of dispatch of the radiation source with significant activity.</w:t>
      </w:r>
    </w:p>
    <w:p w:rsidR="00661870" w:rsidRDefault="00661870">
      <w:pPr>
        <w:pStyle w:val="Telobesedila"/>
        <w:rPr>
          <w:sz w:val="24"/>
        </w:rPr>
      </w:pPr>
    </w:p>
    <w:p w:rsidR="00661870" w:rsidRDefault="00661870">
      <w:pPr>
        <w:pStyle w:val="Telobesedila"/>
        <w:rPr>
          <w:sz w:val="24"/>
        </w:rPr>
      </w:pPr>
    </w:p>
    <w:p w:rsidR="00661870" w:rsidRDefault="005D7BF1">
      <w:pPr>
        <w:spacing w:before="173" w:line="252" w:lineRule="exact"/>
        <w:ind w:left="598" w:right="242"/>
        <w:jc w:val="center"/>
        <w:rPr>
          <w:b/>
        </w:rPr>
      </w:pPr>
      <w:r>
        <w:rPr>
          <w:b/>
        </w:rPr>
        <w:t>Article 6</w:t>
      </w:r>
    </w:p>
    <w:p w:rsidR="00661870" w:rsidRDefault="005D7BF1">
      <w:pPr>
        <w:spacing w:line="252" w:lineRule="exact"/>
        <w:ind w:left="598" w:right="243"/>
        <w:jc w:val="center"/>
        <w:rPr>
          <w:b/>
        </w:rPr>
      </w:pPr>
      <w:r>
        <w:rPr>
          <w:b/>
        </w:rPr>
        <w:t>(compliance with import conditions)</w:t>
      </w:r>
    </w:p>
    <w:p w:rsidR="00661870" w:rsidRDefault="00661870">
      <w:pPr>
        <w:pStyle w:val="Telobesedila"/>
        <w:spacing w:before="9"/>
        <w:rPr>
          <w:b/>
          <w:sz w:val="30"/>
        </w:rPr>
      </w:pPr>
    </w:p>
    <w:p w:rsidR="00661870" w:rsidRDefault="005D7BF1">
      <w:pPr>
        <w:pStyle w:val="Telobesedila"/>
        <w:ind w:left="113" w:right="110" w:hanging="1"/>
        <w:jc w:val="both"/>
      </w:pPr>
      <w:r>
        <w:t xml:space="preserve">Upon receiving a request for verification of compliance with the conditions for import of radiation sources with significant activity into the Republic of Slovenia from the competent authority of the exporting country, the authority competent for the issuing of import </w:t>
      </w:r>
      <w:proofErr w:type="spellStart"/>
      <w:r>
        <w:t>licence</w:t>
      </w:r>
      <w:proofErr w:type="spellEnd"/>
      <w:r>
        <w:t xml:space="preserve"> in the Republic of Slovenia shall notify the foreign authority of the compliance with the said conditions upon issuing the import </w:t>
      </w:r>
      <w:proofErr w:type="spellStart"/>
      <w:r>
        <w:t>licence</w:t>
      </w:r>
      <w:proofErr w:type="spellEnd"/>
      <w:r>
        <w:t xml:space="preserve"> to the consignee based on the application referred to in Article 4 of these Rules.</w:t>
      </w:r>
    </w:p>
    <w:p w:rsidR="00661870" w:rsidRDefault="00661870">
      <w:pPr>
        <w:pStyle w:val="Telobesedila"/>
        <w:rPr>
          <w:sz w:val="24"/>
        </w:rPr>
      </w:pPr>
    </w:p>
    <w:p w:rsidR="00661870" w:rsidRDefault="00661870">
      <w:pPr>
        <w:pStyle w:val="Telobesedila"/>
        <w:rPr>
          <w:sz w:val="24"/>
        </w:rPr>
      </w:pPr>
    </w:p>
    <w:p w:rsidR="00661870" w:rsidRDefault="005D7BF1">
      <w:pPr>
        <w:pStyle w:val="Naslov1"/>
        <w:ind w:left="4548" w:right="4190"/>
      </w:pPr>
      <w:bookmarkStart w:id="5" w:name="_TOC_250002"/>
      <w:bookmarkEnd w:id="5"/>
      <w:r>
        <w:t>Article 7 (exemption)</w:t>
      </w:r>
    </w:p>
    <w:p w:rsidR="00661870" w:rsidRDefault="00661870">
      <w:pPr>
        <w:pStyle w:val="Telobesedila"/>
        <w:spacing w:before="10"/>
        <w:rPr>
          <w:b/>
          <w:sz w:val="30"/>
        </w:rPr>
      </w:pPr>
    </w:p>
    <w:p w:rsidR="00661870" w:rsidRDefault="005D7BF1">
      <w:pPr>
        <w:pStyle w:val="Odstavekseznama"/>
        <w:numPr>
          <w:ilvl w:val="0"/>
          <w:numId w:val="2"/>
        </w:numPr>
        <w:tabs>
          <w:tab w:val="left" w:pos="474"/>
        </w:tabs>
        <w:spacing w:before="1"/>
        <w:ind w:right="108"/>
      </w:pPr>
      <w:r>
        <w:t xml:space="preserve">A </w:t>
      </w:r>
      <w:proofErr w:type="spellStart"/>
      <w:r>
        <w:t>licence</w:t>
      </w:r>
      <w:proofErr w:type="spellEnd"/>
      <w:r>
        <w:t xml:space="preserve"> for transit of nuclear substances shall not be required if the weight of nuclear substance is less than the following</w:t>
      </w:r>
      <w:r>
        <w:rPr>
          <w:spacing w:val="-7"/>
        </w:rPr>
        <w:t xml:space="preserve"> </w:t>
      </w:r>
      <w:r>
        <w:t>values:</w:t>
      </w:r>
    </w:p>
    <w:p w:rsidR="00661870" w:rsidRDefault="005D7BF1">
      <w:pPr>
        <w:pStyle w:val="Odstavekseznama"/>
        <w:numPr>
          <w:ilvl w:val="1"/>
          <w:numId w:val="2"/>
        </w:numPr>
        <w:tabs>
          <w:tab w:val="left" w:pos="833"/>
          <w:tab w:val="left" w:pos="834"/>
          <w:tab w:val="left" w:pos="4047"/>
        </w:tabs>
        <w:jc w:val="left"/>
      </w:pPr>
      <w:r>
        <w:t>depleted</w:t>
      </w:r>
      <w:r>
        <w:rPr>
          <w:spacing w:val="-4"/>
        </w:rPr>
        <w:t xml:space="preserve"> </w:t>
      </w:r>
      <w:r>
        <w:t>uranium:</w:t>
      </w:r>
      <w:r>
        <w:tab/>
        <w:t>350</w:t>
      </w:r>
      <w:r>
        <w:rPr>
          <w:spacing w:val="-3"/>
        </w:rPr>
        <w:t xml:space="preserve"> </w:t>
      </w:r>
      <w:r>
        <w:t>kg</w:t>
      </w:r>
    </w:p>
    <w:p w:rsidR="00661870" w:rsidRDefault="005D7BF1">
      <w:pPr>
        <w:pStyle w:val="Odstavekseznama"/>
        <w:numPr>
          <w:ilvl w:val="1"/>
          <w:numId w:val="2"/>
        </w:numPr>
        <w:tabs>
          <w:tab w:val="left" w:pos="833"/>
          <w:tab w:val="left" w:pos="834"/>
          <w:tab w:val="left" w:pos="4046"/>
        </w:tabs>
        <w:jc w:val="left"/>
      </w:pPr>
      <w:r>
        <w:t>thorium:</w:t>
      </w:r>
      <w:r>
        <w:tab/>
        <w:t>200</w:t>
      </w:r>
      <w:r>
        <w:rPr>
          <w:spacing w:val="-3"/>
        </w:rPr>
        <w:t xml:space="preserve"> </w:t>
      </w:r>
      <w:r>
        <w:t>kg</w:t>
      </w:r>
    </w:p>
    <w:p w:rsidR="00661870" w:rsidRDefault="005D7BF1">
      <w:pPr>
        <w:pStyle w:val="Odstavekseznama"/>
        <w:numPr>
          <w:ilvl w:val="1"/>
          <w:numId w:val="2"/>
        </w:numPr>
        <w:tabs>
          <w:tab w:val="left" w:pos="833"/>
          <w:tab w:val="left" w:pos="834"/>
          <w:tab w:val="left" w:pos="4047"/>
        </w:tabs>
        <w:jc w:val="left"/>
      </w:pPr>
      <w:r>
        <w:t>natural</w:t>
      </w:r>
      <w:r>
        <w:rPr>
          <w:spacing w:val="-3"/>
        </w:rPr>
        <w:t xml:space="preserve"> </w:t>
      </w:r>
      <w:r>
        <w:t>uranium:</w:t>
      </w:r>
      <w:r>
        <w:tab/>
        <w:t>100</w:t>
      </w:r>
      <w:r>
        <w:rPr>
          <w:spacing w:val="-3"/>
        </w:rPr>
        <w:t xml:space="preserve"> </w:t>
      </w:r>
      <w:r>
        <w:t>kg</w:t>
      </w:r>
    </w:p>
    <w:p w:rsidR="00661870" w:rsidRDefault="005D7BF1">
      <w:pPr>
        <w:pStyle w:val="Odstavekseznama"/>
        <w:numPr>
          <w:ilvl w:val="1"/>
          <w:numId w:val="2"/>
        </w:numPr>
        <w:tabs>
          <w:tab w:val="left" w:pos="833"/>
          <w:tab w:val="left" w:pos="834"/>
          <w:tab w:val="left" w:pos="4267"/>
        </w:tabs>
        <w:jc w:val="left"/>
      </w:pPr>
      <w:r>
        <w:t>low</w:t>
      </w:r>
      <w:r>
        <w:rPr>
          <w:spacing w:val="-4"/>
        </w:rPr>
        <w:t xml:space="preserve"> </w:t>
      </w:r>
      <w:r>
        <w:t>enriched</w:t>
      </w:r>
      <w:r>
        <w:rPr>
          <w:spacing w:val="-2"/>
        </w:rPr>
        <w:t xml:space="preserve"> </w:t>
      </w:r>
      <w:r>
        <w:t>uranium:</w:t>
      </w:r>
      <w:r>
        <w:tab/>
        <w:t>1</w:t>
      </w:r>
      <w:r>
        <w:rPr>
          <w:spacing w:val="-3"/>
        </w:rPr>
        <w:t xml:space="preserve"> </w:t>
      </w:r>
      <w:r>
        <w:t>kg</w:t>
      </w:r>
    </w:p>
    <w:p w:rsidR="00661870" w:rsidRDefault="005D7BF1">
      <w:pPr>
        <w:pStyle w:val="Odstavekseznama"/>
        <w:numPr>
          <w:ilvl w:val="1"/>
          <w:numId w:val="2"/>
        </w:numPr>
        <w:tabs>
          <w:tab w:val="left" w:pos="833"/>
          <w:tab w:val="left" w:pos="834"/>
          <w:tab w:val="left" w:pos="4224"/>
        </w:tabs>
        <w:spacing w:before="120"/>
        <w:jc w:val="left"/>
      </w:pPr>
      <w:r>
        <w:t>high</w:t>
      </w:r>
      <w:r>
        <w:rPr>
          <w:spacing w:val="-3"/>
        </w:rPr>
        <w:t xml:space="preserve"> </w:t>
      </w:r>
      <w:r>
        <w:t>enriched</w:t>
      </w:r>
      <w:r>
        <w:rPr>
          <w:spacing w:val="-2"/>
        </w:rPr>
        <w:t xml:space="preserve"> </w:t>
      </w:r>
      <w:r>
        <w:t>uranium:</w:t>
      </w:r>
      <w:r>
        <w:tab/>
        <w:t>5 g</w:t>
      </w:r>
      <w:r>
        <w:rPr>
          <w:spacing w:val="-2"/>
        </w:rPr>
        <w:t xml:space="preserve"> </w:t>
      </w:r>
      <w:r>
        <w:t>or</w:t>
      </w:r>
    </w:p>
    <w:p w:rsidR="00661870" w:rsidRDefault="005D7BF1">
      <w:pPr>
        <w:pStyle w:val="Odstavekseznama"/>
        <w:numPr>
          <w:ilvl w:val="1"/>
          <w:numId w:val="2"/>
        </w:numPr>
        <w:tabs>
          <w:tab w:val="left" w:pos="833"/>
          <w:tab w:val="left" w:pos="834"/>
          <w:tab w:val="left" w:pos="4178"/>
        </w:tabs>
        <w:jc w:val="left"/>
      </w:pPr>
      <w:r>
        <w:t>plutonium:</w:t>
      </w:r>
      <w:r>
        <w:tab/>
        <w:t>5</w:t>
      </w:r>
      <w:r>
        <w:rPr>
          <w:spacing w:val="-1"/>
        </w:rPr>
        <w:t xml:space="preserve"> </w:t>
      </w:r>
      <w:r>
        <w:t>g.</w:t>
      </w:r>
    </w:p>
    <w:p w:rsidR="00661870" w:rsidRDefault="00661870">
      <w:pPr>
        <w:pStyle w:val="Telobesedila"/>
        <w:spacing w:before="4"/>
        <w:rPr>
          <w:sz w:val="31"/>
        </w:rPr>
      </w:pPr>
    </w:p>
    <w:p w:rsidR="00661870" w:rsidRDefault="005D7BF1">
      <w:pPr>
        <w:pStyle w:val="Odstavekseznama"/>
        <w:numPr>
          <w:ilvl w:val="0"/>
          <w:numId w:val="2"/>
        </w:numPr>
        <w:tabs>
          <w:tab w:val="left" w:pos="474"/>
        </w:tabs>
        <w:spacing w:before="0"/>
        <w:ind w:right="109"/>
        <w:jc w:val="both"/>
      </w:pPr>
      <w:r>
        <w:t xml:space="preserve">Where several nuclear substances are involved, the sum of quotients of the actual quantity of a particular substance and the corresponding value listed in paragraph 1 of this article shall be taken into account. A </w:t>
      </w:r>
      <w:proofErr w:type="spellStart"/>
      <w:r>
        <w:t>licence</w:t>
      </w:r>
      <w:proofErr w:type="spellEnd"/>
      <w:r>
        <w:t xml:space="preserve"> for transit of nuclear substances shall not be required if the sum is less than</w:t>
      </w:r>
      <w:r>
        <w:rPr>
          <w:spacing w:val="-18"/>
        </w:rPr>
        <w:t xml:space="preserve"> </w:t>
      </w:r>
      <w:r>
        <w:t>1.</w:t>
      </w:r>
    </w:p>
    <w:p w:rsidR="00661870" w:rsidRDefault="00661870">
      <w:pPr>
        <w:pStyle w:val="Telobesedila"/>
        <w:spacing w:before="1"/>
      </w:pPr>
    </w:p>
    <w:p w:rsidR="00661870" w:rsidRDefault="005D7BF1">
      <w:pPr>
        <w:pStyle w:val="Odstavekseznama"/>
        <w:numPr>
          <w:ilvl w:val="0"/>
          <w:numId w:val="2"/>
        </w:numPr>
        <w:tabs>
          <w:tab w:val="left" w:pos="474"/>
        </w:tabs>
        <w:spacing w:before="0"/>
        <w:ind w:right="110"/>
      </w:pPr>
      <w:r>
        <w:t xml:space="preserve">A </w:t>
      </w:r>
      <w:proofErr w:type="spellStart"/>
      <w:r>
        <w:t>licence</w:t>
      </w:r>
      <w:proofErr w:type="spellEnd"/>
      <w:r>
        <w:t xml:space="preserve"> for import or export of nuclear substances or a </w:t>
      </w:r>
      <w:proofErr w:type="spellStart"/>
      <w:r>
        <w:t>licence</w:t>
      </w:r>
      <w:proofErr w:type="spellEnd"/>
      <w:r>
        <w:t xml:space="preserve"> for shipment from or to an EU Member State shall not be required where application of depleted uranium for civil purposes other than in</w:t>
      </w:r>
      <w:r>
        <w:rPr>
          <w:spacing w:val="21"/>
        </w:rPr>
        <w:t xml:space="preserve"> </w:t>
      </w:r>
      <w:r>
        <w:t>a</w:t>
      </w:r>
    </w:p>
    <w:p w:rsidR="00661870" w:rsidRDefault="00661870">
      <w:pPr>
        <w:sectPr w:rsidR="00661870">
          <w:pgSz w:w="11910" w:h="16840"/>
          <w:pgMar w:top="1360" w:right="1020" w:bottom="920" w:left="1020" w:header="712" w:footer="736" w:gutter="0"/>
          <w:cols w:space="720"/>
        </w:sectPr>
      </w:pPr>
    </w:p>
    <w:p w:rsidR="00661870" w:rsidRDefault="005D7BF1">
      <w:pPr>
        <w:pStyle w:val="Telobesedila"/>
        <w:spacing w:before="81"/>
        <w:ind w:left="473"/>
      </w:pPr>
      <w:r>
        <w:t xml:space="preserve">nuclear fuel cycle is involved, e.g. application for protection against </w:t>
      </w:r>
      <w:proofErr w:type="spellStart"/>
      <w:r>
        <w:t>ionising</w:t>
      </w:r>
      <w:proofErr w:type="spellEnd"/>
      <w:r>
        <w:t xml:space="preserve"> radiation or application as packaging, and the total quantity does not exceed 350 kg.</w:t>
      </w:r>
    </w:p>
    <w:p w:rsidR="00661870" w:rsidRDefault="00661870">
      <w:pPr>
        <w:pStyle w:val="Telobesedila"/>
        <w:rPr>
          <w:sz w:val="24"/>
        </w:rPr>
      </w:pPr>
    </w:p>
    <w:p w:rsidR="00661870" w:rsidRDefault="00661870">
      <w:pPr>
        <w:pStyle w:val="Telobesedila"/>
        <w:rPr>
          <w:sz w:val="24"/>
        </w:rPr>
      </w:pPr>
    </w:p>
    <w:p w:rsidR="00661870" w:rsidRDefault="005D7BF1">
      <w:pPr>
        <w:pStyle w:val="Naslov1"/>
        <w:ind w:left="4500" w:right="4140" w:hanging="2"/>
      </w:pPr>
      <w:bookmarkStart w:id="6" w:name="_TOC_250001"/>
      <w:bookmarkEnd w:id="6"/>
      <w:r>
        <w:t>Article 8 (notification)</w:t>
      </w:r>
    </w:p>
    <w:p w:rsidR="00661870" w:rsidRDefault="00661870">
      <w:pPr>
        <w:pStyle w:val="Telobesedila"/>
        <w:spacing w:before="11"/>
        <w:rPr>
          <w:b/>
          <w:sz w:val="30"/>
        </w:rPr>
      </w:pPr>
    </w:p>
    <w:p w:rsidR="00661870" w:rsidRDefault="005D7BF1">
      <w:pPr>
        <w:pStyle w:val="Odstavekseznama"/>
        <w:numPr>
          <w:ilvl w:val="0"/>
          <w:numId w:val="1"/>
        </w:numPr>
        <w:tabs>
          <w:tab w:val="left" w:pos="534"/>
        </w:tabs>
        <w:spacing w:before="0"/>
        <w:ind w:right="107"/>
        <w:jc w:val="both"/>
      </w:pPr>
      <w:r>
        <w:t xml:space="preserve">The person representing the consignor in the Republic of Slovenia shall notify the competent authority having issued the </w:t>
      </w:r>
      <w:proofErr w:type="spellStart"/>
      <w:r>
        <w:t>licence</w:t>
      </w:r>
      <w:proofErr w:type="spellEnd"/>
      <w:r>
        <w:t xml:space="preserve"> of the transit of nuclear substances or radiation sources with significant activities no later than 48 hours prior to the shipment’s entry into the Republic of</w:t>
      </w:r>
      <w:r>
        <w:rPr>
          <w:spacing w:val="-25"/>
        </w:rPr>
        <w:t xml:space="preserve"> </w:t>
      </w:r>
      <w:r>
        <w:t>Slovenia.</w:t>
      </w:r>
    </w:p>
    <w:p w:rsidR="00661870" w:rsidRDefault="00661870">
      <w:pPr>
        <w:pStyle w:val="Telobesedila"/>
        <w:spacing w:before="3"/>
        <w:rPr>
          <w:sz w:val="31"/>
        </w:rPr>
      </w:pPr>
    </w:p>
    <w:p w:rsidR="00661870" w:rsidRDefault="005D7BF1">
      <w:pPr>
        <w:pStyle w:val="Odstavekseznama"/>
        <w:numPr>
          <w:ilvl w:val="0"/>
          <w:numId w:val="1"/>
        </w:numPr>
        <w:tabs>
          <w:tab w:val="left" w:pos="534"/>
        </w:tabs>
        <w:spacing w:before="0"/>
        <w:ind w:right="110"/>
        <w:jc w:val="both"/>
      </w:pPr>
      <w:r>
        <w:t xml:space="preserve">The person having obtained the </w:t>
      </w:r>
      <w:proofErr w:type="spellStart"/>
      <w:r>
        <w:t>licence</w:t>
      </w:r>
      <w:proofErr w:type="spellEnd"/>
      <w:r>
        <w:t xml:space="preserve"> based on the application referred to in Article 4 of these Rules shall report to the competent authority having issued the</w:t>
      </w:r>
      <w:r>
        <w:rPr>
          <w:spacing w:val="-9"/>
        </w:rPr>
        <w:t xml:space="preserve"> </w:t>
      </w:r>
      <w:proofErr w:type="spellStart"/>
      <w:r>
        <w:t>licence</w:t>
      </w:r>
      <w:proofErr w:type="spellEnd"/>
      <w:r>
        <w:t>:</w:t>
      </w:r>
    </w:p>
    <w:p w:rsidR="00661870" w:rsidRDefault="005D7BF1">
      <w:pPr>
        <w:pStyle w:val="Odstavekseznama"/>
        <w:numPr>
          <w:ilvl w:val="1"/>
          <w:numId w:val="1"/>
        </w:numPr>
        <w:tabs>
          <w:tab w:val="left" w:pos="834"/>
        </w:tabs>
        <w:ind w:right="110" w:hanging="356"/>
      </w:pPr>
      <w:r>
        <w:t>within 15 days of the end of the month of the completion of the import or export of a nuclear substance or radiation sources with significant activity or the shipment of a nuclear substance from or to an EU Member State or the transit of nuclear substances or radiation sources with significant activity;</w:t>
      </w:r>
    </w:p>
    <w:p w:rsidR="00661870" w:rsidRDefault="005D7BF1">
      <w:pPr>
        <w:pStyle w:val="Odstavekseznama"/>
        <w:numPr>
          <w:ilvl w:val="1"/>
          <w:numId w:val="1"/>
        </w:numPr>
        <w:tabs>
          <w:tab w:val="left" w:pos="834"/>
        </w:tabs>
        <w:spacing w:before="118"/>
        <w:ind w:right="112" w:hanging="356"/>
      </w:pPr>
      <w:r>
        <w:t>within 21 days of the end of each quarter on the imports and exports of radioactive substances completed in the past</w:t>
      </w:r>
      <w:r>
        <w:rPr>
          <w:spacing w:val="-6"/>
        </w:rPr>
        <w:t xml:space="preserve"> </w:t>
      </w:r>
      <w:r>
        <w:t>quarter.</w:t>
      </w:r>
    </w:p>
    <w:p w:rsidR="00661870" w:rsidRDefault="00661870">
      <w:pPr>
        <w:pStyle w:val="Telobesedila"/>
        <w:rPr>
          <w:sz w:val="24"/>
        </w:rPr>
      </w:pPr>
    </w:p>
    <w:p w:rsidR="00661870" w:rsidRDefault="00661870">
      <w:pPr>
        <w:pStyle w:val="Telobesedila"/>
        <w:rPr>
          <w:sz w:val="24"/>
        </w:rPr>
      </w:pPr>
    </w:p>
    <w:p w:rsidR="00661870" w:rsidRDefault="005D7BF1">
      <w:pPr>
        <w:pStyle w:val="Naslov1"/>
        <w:ind w:left="4356" w:right="3984" w:firstLine="347"/>
        <w:jc w:val="left"/>
      </w:pPr>
      <w:bookmarkStart w:id="7" w:name="_TOC_250000"/>
      <w:bookmarkEnd w:id="7"/>
      <w:r>
        <w:t>Article 9 (final provision)</w:t>
      </w:r>
    </w:p>
    <w:p w:rsidR="00661870" w:rsidRDefault="00661870">
      <w:pPr>
        <w:pStyle w:val="Telobesedila"/>
        <w:spacing w:before="10"/>
        <w:rPr>
          <w:b/>
          <w:sz w:val="30"/>
        </w:rPr>
      </w:pPr>
    </w:p>
    <w:p w:rsidR="00661870" w:rsidRDefault="005D7BF1">
      <w:pPr>
        <w:pStyle w:val="Telobesedila"/>
        <w:ind w:left="113" w:hanging="1"/>
      </w:pPr>
      <w:r>
        <w:t>These Rules shall enter into force on the fifteenth day after their publication in the Official Gazette of the Republic of Slovenia, and shall begin to apply on 1 October 2008.</w:t>
      </w:r>
    </w:p>
    <w:p w:rsidR="00661870" w:rsidRDefault="00661870">
      <w:pPr>
        <w:pStyle w:val="Telobesedila"/>
        <w:rPr>
          <w:sz w:val="24"/>
        </w:rPr>
      </w:pPr>
    </w:p>
    <w:p w:rsidR="00661870" w:rsidRDefault="00661870">
      <w:pPr>
        <w:pStyle w:val="Telobesedila"/>
        <w:rPr>
          <w:sz w:val="24"/>
        </w:rPr>
      </w:pPr>
    </w:p>
    <w:p w:rsidR="00661870" w:rsidRDefault="00661870">
      <w:pPr>
        <w:pStyle w:val="Telobesedila"/>
        <w:rPr>
          <w:sz w:val="24"/>
        </w:rPr>
      </w:pPr>
    </w:p>
    <w:p w:rsidR="00661870" w:rsidRDefault="005D7BF1">
      <w:pPr>
        <w:pStyle w:val="Telobesedila"/>
        <w:spacing w:before="186" w:line="252" w:lineRule="exact"/>
        <w:ind w:left="113"/>
      </w:pPr>
      <w:r>
        <w:t>No: 0071-140/2008</w:t>
      </w:r>
    </w:p>
    <w:p w:rsidR="00661870" w:rsidRDefault="005D7BF1">
      <w:pPr>
        <w:pStyle w:val="Telobesedila"/>
        <w:spacing w:line="252" w:lineRule="exact"/>
        <w:ind w:left="113"/>
      </w:pPr>
      <w:r>
        <w:t>Ljubljana, on 7 July 2008</w:t>
      </w:r>
    </w:p>
    <w:p w:rsidR="00661870" w:rsidRDefault="005D7BF1">
      <w:pPr>
        <w:pStyle w:val="Telobesedila"/>
        <w:spacing w:before="1"/>
        <w:ind w:left="113"/>
      </w:pPr>
      <w:r>
        <w:t>EVA: 2007-2511-0030</w:t>
      </w:r>
    </w:p>
    <w:p w:rsidR="00661870" w:rsidRDefault="00661870">
      <w:pPr>
        <w:pStyle w:val="Telobesedila"/>
        <w:rPr>
          <w:sz w:val="24"/>
        </w:rPr>
      </w:pPr>
    </w:p>
    <w:p w:rsidR="00661870" w:rsidRDefault="00661870">
      <w:pPr>
        <w:pStyle w:val="Telobesedila"/>
        <w:rPr>
          <w:sz w:val="24"/>
        </w:rPr>
      </w:pPr>
    </w:p>
    <w:p w:rsidR="00661870" w:rsidRDefault="005D7BF1">
      <w:pPr>
        <w:pStyle w:val="Naslov1"/>
        <w:spacing w:before="210" w:line="251" w:lineRule="exact"/>
        <w:ind w:left="4548" w:right="12"/>
      </w:pPr>
      <w:r>
        <w:t xml:space="preserve">Janez </w:t>
      </w:r>
      <w:proofErr w:type="spellStart"/>
      <w:r>
        <w:t>Podobnik</w:t>
      </w:r>
      <w:proofErr w:type="spellEnd"/>
    </w:p>
    <w:p w:rsidR="00661870" w:rsidRDefault="005D7BF1">
      <w:pPr>
        <w:pStyle w:val="Telobesedila"/>
        <w:spacing w:line="251" w:lineRule="exact"/>
        <w:ind w:left="4548" w:right="15"/>
        <w:jc w:val="center"/>
      </w:pPr>
      <w:r>
        <w:t>Minister</w:t>
      </w:r>
    </w:p>
    <w:p w:rsidR="00661870" w:rsidRDefault="005D7BF1">
      <w:pPr>
        <w:pStyle w:val="Telobesedila"/>
        <w:spacing w:line="252" w:lineRule="exact"/>
        <w:ind w:left="4548" w:right="9"/>
        <w:jc w:val="center"/>
      </w:pPr>
      <w:r>
        <w:t>of the Environment and Spatial Planning</w:t>
      </w:r>
    </w:p>
    <w:sectPr w:rsidR="00661870">
      <w:pgSz w:w="11910" w:h="16840"/>
      <w:pgMar w:top="1360" w:right="1020" w:bottom="920" w:left="1020" w:header="712"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430" w:rsidRDefault="005D7BF1">
      <w:r>
        <w:separator/>
      </w:r>
    </w:p>
  </w:endnote>
  <w:endnote w:type="continuationSeparator" w:id="0">
    <w:p w:rsidR="00043430" w:rsidRDefault="005D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70" w:rsidRDefault="005D7BF1">
    <w:pPr>
      <w:pStyle w:val="Telobesedila"/>
      <w:spacing w:line="14" w:lineRule="auto"/>
      <w:rPr>
        <w:sz w:val="20"/>
      </w:rPr>
    </w:pPr>
    <w:r>
      <w:rPr>
        <w:noProof/>
      </w:rPr>
      <mc:AlternateContent>
        <mc:Choice Requires="wps">
          <w:drawing>
            <wp:anchor distT="0" distB="0" distL="114300" distR="114300" simplePos="0" relativeHeight="487462912" behindDoc="1" locked="0" layoutInCell="1" allowOverlap="1">
              <wp:simplePos x="0" y="0"/>
              <wp:positionH relativeFrom="page">
                <wp:posOffset>3439795</wp:posOffset>
              </wp:positionH>
              <wp:positionV relativeFrom="page">
                <wp:posOffset>10085070</wp:posOffset>
              </wp:positionV>
              <wp:extent cx="139700" cy="16573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70" w:rsidRDefault="005D7BF1">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70.85pt;margin-top:794.1pt;width:11pt;height:13.05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" filled="f" stroked="f">
              <v:textbox inset="0,0,0,0">
                <w:txbxContent>
                  <w:bookmarkStart w:id="1" w:name="_GoBack"/>
                  <w:p w:rsidR="00661870" w:rsidRDefault="005D7BF1">
                    <w:pPr>
                      <w:spacing w:before="10"/>
                      <w:ind w:left="60"/>
                      <w:rPr>
                        <w:sz w:val="20"/>
                      </w:rPr>
                    </w:pPr>
                    <w:r>
                      <w:fldChar w:fldCharType="begin"/>
                    </w:r>
                    <w:r>
                      <w:rPr>
                        <w:w w:val="99"/>
                        <w:sz w:val="20"/>
                      </w:rPr>
                      <w:instrText xml:space="preserve"> PAGE </w:instrText>
                    </w:r>
                    <w:r>
                      <w:fldChar w:fldCharType="separate"/>
                    </w:r>
                    <w:r>
                      <w:t>2</w:t>
                    </w:r>
                    <w:r>
                      <w:fldChar w:fldCharType="end"/>
                    </w:r>
                    <w:bookmarkEnd w:id="1"/>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430" w:rsidRDefault="005D7BF1">
      <w:r>
        <w:separator/>
      </w:r>
    </w:p>
  </w:footnote>
  <w:footnote w:type="continuationSeparator" w:id="0">
    <w:p w:rsidR="00043430" w:rsidRDefault="005D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870" w:rsidRDefault="005D7BF1">
    <w:pPr>
      <w:pStyle w:val="Telobesedila"/>
      <w:spacing w:line="14" w:lineRule="auto"/>
      <w:rPr>
        <w:sz w:val="20"/>
      </w:rPr>
    </w:pPr>
    <w:r>
      <w:rPr>
        <w:noProof/>
      </w:rPr>
      <mc:AlternateContent>
        <mc:Choice Requires="wps">
          <w:drawing>
            <wp:anchor distT="0" distB="0" distL="114300" distR="114300" simplePos="0" relativeHeight="487461376" behindDoc="1" locked="0" layoutInCell="1" allowOverlap="1">
              <wp:simplePos x="0" y="0"/>
              <wp:positionH relativeFrom="page">
                <wp:posOffset>737870</wp:posOffset>
              </wp:positionH>
              <wp:positionV relativeFrom="page">
                <wp:posOffset>689610</wp:posOffset>
              </wp:positionV>
              <wp:extent cx="6057900" cy="0"/>
              <wp:effectExtent l="0" t="0" r="0" b="0"/>
              <wp:wrapNone/>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226BD" id="Line 4" o:spid="_x0000_s1026" style="position:absolute;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1pt,54.3pt" to="535.1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" strokeweight=".26456mm">
              <w10:wrap anchorx="page" anchory="page"/>
            </v:line>
          </w:pict>
        </mc:Fallback>
      </mc:AlternateContent>
    </w:r>
    <w:r>
      <w:rPr>
        <w:noProof/>
      </w:rPr>
      <mc:AlternateContent>
        <mc:Choice Requires="wps">
          <w:drawing>
            <wp:anchor distT="0" distB="0" distL="114300" distR="114300" simplePos="0" relativeHeight="487461888" behindDoc="1" locked="0" layoutInCell="1" allowOverlap="1">
              <wp:simplePos x="0" y="0"/>
              <wp:positionH relativeFrom="page">
                <wp:posOffset>735965</wp:posOffset>
              </wp:positionH>
              <wp:positionV relativeFrom="page">
                <wp:posOffset>439420</wp:posOffset>
              </wp:positionV>
              <wp:extent cx="3764280" cy="1524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70" w:rsidRDefault="005D7BF1">
                          <w:pPr>
                            <w:spacing w:before="12"/>
                            <w:ind w:left="20"/>
                            <w:rPr>
                              <w:sz w:val="18"/>
                            </w:rPr>
                          </w:pPr>
                          <w:r>
                            <w:rPr>
                              <w:sz w:val="18"/>
                            </w:rPr>
                            <w:t>JV12: Rules on the transboundary shipment of nuclear and radioactive substances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95pt;margin-top:34.6pt;width:296.4pt;height:12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" filled="f" stroked="f">
              <v:textbox inset="0,0,0,0">
                <w:txbxContent>
                  <w:p w:rsidR="00661870" w:rsidRDefault="005D7BF1">
                    <w:pPr>
                      <w:spacing w:before="12"/>
                      <w:ind w:left="20"/>
                      <w:rPr>
                        <w:sz w:val="18"/>
                      </w:rPr>
                    </w:pPr>
                    <w:r>
                      <w:rPr>
                        <w:sz w:val="18"/>
                      </w:rPr>
                      <w:t>JV12: Rules on the transboundary shipment of nuclear and radioactive substances</w:t>
                    </w:r>
                  </w:p>
                </w:txbxContent>
              </v:textbox>
              <w10:wrap anchorx="page" anchory="page"/>
            </v:shape>
          </w:pict>
        </mc:Fallback>
      </mc:AlternateContent>
    </w:r>
    <w:r>
      <w:rPr>
        <w:noProof/>
      </w:rPr>
      <mc:AlternateContent>
        <mc:Choice Requires="wps">
          <w:drawing>
            <wp:anchor distT="0" distB="0" distL="114300" distR="114300" simplePos="0" relativeHeight="487462400" behindDoc="1" locked="0" layoutInCell="1" allowOverlap="1">
              <wp:simplePos x="0" y="0"/>
              <wp:positionH relativeFrom="page">
                <wp:posOffset>5755640</wp:posOffset>
              </wp:positionH>
              <wp:positionV relativeFrom="page">
                <wp:posOffset>439420</wp:posOffset>
              </wp:positionV>
              <wp:extent cx="1005840" cy="1524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870" w:rsidRDefault="005D7BF1">
                          <w:pPr>
                            <w:spacing w:before="12"/>
                            <w:ind w:left="20"/>
                            <w:rPr>
                              <w:sz w:val="18"/>
                            </w:rPr>
                          </w:pPr>
                          <w:r>
                            <w:rPr>
                              <w:sz w:val="18"/>
                            </w:rPr>
                            <w:t>Unofficial translation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3.2pt;margin-top:34.6pt;width:79.2pt;height:12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" filled="f" stroked="f">
              <v:textbox inset="0,0,0,0">
                <w:txbxContent>
                  <w:p w:rsidR="00661870" w:rsidRDefault="005D7BF1">
                    <w:pPr>
                      <w:spacing w:before="12"/>
                      <w:ind w:left="20"/>
                      <w:rPr>
                        <w:sz w:val="18"/>
                      </w:rPr>
                    </w:pPr>
                    <w:r>
                      <w:rPr>
                        <w:sz w:val="18"/>
                      </w:rPr>
                      <w:t>Unofficial translation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C27"/>
    <w:multiLevelType w:val="hybridMultilevel"/>
    <w:tmpl w:val="20D28520"/>
    <w:lvl w:ilvl="0" w:tplc="7CBA75A8">
      <w:start w:val="1"/>
      <w:numFmt w:val="decimal"/>
      <w:lvlText w:val="(%1)"/>
      <w:lvlJc w:val="left"/>
      <w:pPr>
        <w:ind w:left="473" w:hanging="360"/>
        <w:jc w:val="left"/>
      </w:pPr>
      <w:rPr>
        <w:rFonts w:ascii="Times New Roman" w:eastAsia="Times New Roman" w:hAnsi="Times New Roman" w:cs="Times New Roman" w:hint="default"/>
        <w:spacing w:val="0"/>
        <w:w w:val="100"/>
        <w:sz w:val="22"/>
        <w:szCs w:val="22"/>
        <w:lang w:val="en-US" w:eastAsia="en-US" w:bidi="ar-SA"/>
      </w:rPr>
    </w:lvl>
    <w:lvl w:ilvl="1" w:tplc="3C2E1B2C">
      <w:numFmt w:val="bullet"/>
      <w:lvlText w:val=""/>
      <w:lvlJc w:val="left"/>
      <w:pPr>
        <w:ind w:left="826" w:hanging="363"/>
      </w:pPr>
      <w:rPr>
        <w:rFonts w:ascii="Symbol" w:eastAsia="Symbol" w:hAnsi="Symbol" w:cs="Symbol" w:hint="default"/>
        <w:w w:val="100"/>
        <w:sz w:val="22"/>
        <w:szCs w:val="22"/>
        <w:lang w:val="en-US" w:eastAsia="en-US" w:bidi="ar-SA"/>
      </w:rPr>
    </w:lvl>
    <w:lvl w:ilvl="2" w:tplc="CA8E3D3A">
      <w:numFmt w:val="bullet"/>
      <w:lvlText w:val="•"/>
      <w:lvlJc w:val="left"/>
      <w:pPr>
        <w:ind w:left="1825" w:hanging="363"/>
      </w:pPr>
      <w:rPr>
        <w:rFonts w:hint="default"/>
        <w:lang w:val="en-US" w:eastAsia="en-US" w:bidi="ar-SA"/>
      </w:rPr>
    </w:lvl>
    <w:lvl w:ilvl="3" w:tplc="63DA42D0">
      <w:numFmt w:val="bullet"/>
      <w:lvlText w:val="•"/>
      <w:lvlJc w:val="left"/>
      <w:pPr>
        <w:ind w:left="2830" w:hanging="363"/>
      </w:pPr>
      <w:rPr>
        <w:rFonts w:hint="default"/>
        <w:lang w:val="en-US" w:eastAsia="en-US" w:bidi="ar-SA"/>
      </w:rPr>
    </w:lvl>
    <w:lvl w:ilvl="4" w:tplc="91D05598">
      <w:numFmt w:val="bullet"/>
      <w:lvlText w:val="•"/>
      <w:lvlJc w:val="left"/>
      <w:pPr>
        <w:ind w:left="3835" w:hanging="363"/>
      </w:pPr>
      <w:rPr>
        <w:rFonts w:hint="default"/>
        <w:lang w:val="en-US" w:eastAsia="en-US" w:bidi="ar-SA"/>
      </w:rPr>
    </w:lvl>
    <w:lvl w:ilvl="5" w:tplc="061CDBCA">
      <w:numFmt w:val="bullet"/>
      <w:lvlText w:val="•"/>
      <w:lvlJc w:val="left"/>
      <w:pPr>
        <w:ind w:left="4840" w:hanging="363"/>
      </w:pPr>
      <w:rPr>
        <w:rFonts w:hint="default"/>
        <w:lang w:val="en-US" w:eastAsia="en-US" w:bidi="ar-SA"/>
      </w:rPr>
    </w:lvl>
    <w:lvl w:ilvl="6" w:tplc="8B5A82EC">
      <w:numFmt w:val="bullet"/>
      <w:lvlText w:val="•"/>
      <w:lvlJc w:val="left"/>
      <w:pPr>
        <w:ind w:left="5845" w:hanging="363"/>
      </w:pPr>
      <w:rPr>
        <w:rFonts w:hint="default"/>
        <w:lang w:val="en-US" w:eastAsia="en-US" w:bidi="ar-SA"/>
      </w:rPr>
    </w:lvl>
    <w:lvl w:ilvl="7" w:tplc="3DDC98CC">
      <w:numFmt w:val="bullet"/>
      <w:lvlText w:val="•"/>
      <w:lvlJc w:val="left"/>
      <w:pPr>
        <w:ind w:left="6850" w:hanging="363"/>
      </w:pPr>
      <w:rPr>
        <w:rFonts w:hint="default"/>
        <w:lang w:val="en-US" w:eastAsia="en-US" w:bidi="ar-SA"/>
      </w:rPr>
    </w:lvl>
    <w:lvl w:ilvl="8" w:tplc="5D249392">
      <w:numFmt w:val="bullet"/>
      <w:lvlText w:val="•"/>
      <w:lvlJc w:val="left"/>
      <w:pPr>
        <w:ind w:left="7855" w:hanging="363"/>
      </w:pPr>
      <w:rPr>
        <w:rFonts w:hint="default"/>
        <w:lang w:val="en-US" w:eastAsia="en-US" w:bidi="ar-SA"/>
      </w:rPr>
    </w:lvl>
  </w:abstractNum>
  <w:abstractNum w:abstractNumId="1" w15:restartNumberingAfterBreak="0">
    <w:nsid w:val="126E3D4A"/>
    <w:multiLevelType w:val="hybridMultilevel"/>
    <w:tmpl w:val="09544B8E"/>
    <w:lvl w:ilvl="0" w:tplc="ECBEF53E">
      <w:start w:val="1"/>
      <w:numFmt w:val="decimal"/>
      <w:lvlText w:val="(%1)"/>
      <w:lvlJc w:val="left"/>
      <w:pPr>
        <w:ind w:left="473" w:hanging="360"/>
        <w:jc w:val="left"/>
      </w:pPr>
      <w:rPr>
        <w:rFonts w:ascii="Times New Roman" w:eastAsia="Times New Roman" w:hAnsi="Times New Roman" w:cs="Times New Roman" w:hint="default"/>
        <w:spacing w:val="0"/>
        <w:w w:val="100"/>
        <w:sz w:val="22"/>
        <w:szCs w:val="22"/>
        <w:lang w:val="en-US" w:eastAsia="en-US" w:bidi="ar-SA"/>
      </w:rPr>
    </w:lvl>
    <w:lvl w:ilvl="1" w:tplc="0A746D2C">
      <w:numFmt w:val="bullet"/>
      <w:lvlText w:val="•"/>
      <w:lvlJc w:val="left"/>
      <w:pPr>
        <w:ind w:left="1418" w:hanging="360"/>
      </w:pPr>
      <w:rPr>
        <w:rFonts w:hint="default"/>
        <w:lang w:val="en-US" w:eastAsia="en-US" w:bidi="ar-SA"/>
      </w:rPr>
    </w:lvl>
    <w:lvl w:ilvl="2" w:tplc="AB020734">
      <w:numFmt w:val="bullet"/>
      <w:lvlText w:val="•"/>
      <w:lvlJc w:val="left"/>
      <w:pPr>
        <w:ind w:left="2357" w:hanging="360"/>
      </w:pPr>
      <w:rPr>
        <w:rFonts w:hint="default"/>
        <w:lang w:val="en-US" w:eastAsia="en-US" w:bidi="ar-SA"/>
      </w:rPr>
    </w:lvl>
    <w:lvl w:ilvl="3" w:tplc="97CE694A">
      <w:numFmt w:val="bullet"/>
      <w:lvlText w:val="•"/>
      <w:lvlJc w:val="left"/>
      <w:pPr>
        <w:ind w:left="3295" w:hanging="360"/>
      </w:pPr>
      <w:rPr>
        <w:rFonts w:hint="default"/>
        <w:lang w:val="en-US" w:eastAsia="en-US" w:bidi="ar-SA"/>
      </w:rPr>
    </w:lvl>
    <w:lvl w:ilvl="4" w:tplc="9C68D98E">
      <w:numFmt w:val="bullet"/>
      <w:lvlText w:val="•"/>
      <w:lvlJc w:val="left"/>
      <w:pPr>
        <w:ind w:left="4234" w:hanging="360"/>
      </w:pPr>
      <w:rPr>
        <w:rFonts w:hint="default"/>
        <w:lang w:val="en-US" w:eastAsia="en-US" w:bidi="ar-SA"/>
      </w:rPr>
    </w:lvl>
    <w:lvl w:ilvl="5" w:tplc="BD04CB36">
      <w:numFmt w:val="bullet"/>
      <w:lvlText w:val="•"/>
      <w:lvlJc w:val="left"/>
      <w:pPr>
        <w:ind w:left="5172" w:hanging="360"/>
      </w:pPr>
      <w:rPr>
        <w:rFonts w:hint="default"/>
        <w:lang w:val="en-US" w:eastAsia="en-US" w:bidi="ar-SA"/>
      </w:rPr>
    </w:lvl>
    <w:lvl w:ilvl="6" w:tplc="4C8E71A0">
      <w:numFmt w:val="bullet"/>
      <w:lvlText w:val="•"/>
      <w:lvlJc w:val="left"/>
      <w:pPr>
        <w:ind w:left="6111" w:hanging="360"/>
      </w:pPr>
      <w:rPr>
        <w:rFonts w:hint="default"/>
        <w:lang w:val="en-US" w:eastAsia="en-US" w:bidi="ar-SA"/>
      </w:rPr>
    </w:lvl>
    <w:lvl w:ilvl="7" w:tplc="95964A2C">
      <w:numFmt w:val="bullet"/>
      <w:lvlText w:val="•"/>
      <w:lvlJc w:val="left"/>
      <w:pPr>
        <w:ind w:left="7049" w:hanging="360"/>
      </w:pPr>
      <w:rPr>
        <w:rFonts w:hint="default"/>
        <w:lang w:val="en-US" w:eastAsia="en-US" w:bidi="ar-SA"/>
      </w:rPr>
    </w:lvl>
    <w:lvl w:ilvl="8" w:tplc="116258B2">
      <w:numFmt w:val="bullet"/>
      <w:lvlText w:val="•"/>
      <w:lvlJc w:val="left"/>
      <w:pPr>
        <w:ind w:left="7988" w:hanging="360"/>
      </w:pPr>
      <w:rPr>
        <w:rFonts w:hint="default"/>
        <w:lang w:val="en-US" w:eastAsia="en-US" w:bidi="ar-SA"/>
      </w:rPr>
    </w:lvl>
  </w:abstractNum>
  <w:abstractNum w:abstractNumId="2" w15:restartNumberingAfterBreak="0">
    <w:nsid w:val="43445A2C"/>
    <w:multiLevelType w:val="hybridMultilevel"/>
    <w:tmpl w:val="096E1CCE"/>
    <w:lvl w:ilvl="0" w:tplc="6C6AA91A">
      <w:start w:val="1"/>
      <w:numFmt w:val="decimal"/>
      <w:lvlText w:val="(%1)"/>
      <w:lvlJc w:val="left"/>
      <w:pPr>
        <w:ind w:left="473" w:hanging="360"/>
        <w:jc w:val="left"/>
      </w:pPr>
      <w:rPr>
        <w:rFonts w:ascii="Times New Roman" w:eastAsia="Times New Roman" w:hAnsi="Times New Roman" w:cs="Times New Roman" w:hint="default"/>
        <w:spacing w:val="0"/>
        <w:w w:val="100"/>
        <w:sz w:val="22"/>
        <w:szCs w:val="22"/>
        <w:lang w:val="en-US" w:eastAsia="en-US" w:bidi="ar-SA"/>
      </w:rPr>
    </w:lvl>
    <w:lvl w:ilvl="1" w:tplc="C75EDAC8">
      <w:numFmt w:val="bullet"/>
      <w:lvlText w:val=""/>
      <w:lvlJc w:val="left"/>
      <w:pPr>
        <w:ind w:left="833" w:hanging="363"/>
      </w:pPr>
      <w:rPr>
        <w:rFonts w:ascii="Symbol" w:eastAsia="Symbol" w:hAnsi="Symbol" w:cs="Symbol" w:hint="default"/>
        <w:w w:val="100"/>
        <w:sz w:val="22"/>
        <w:szCs w:val="22"/>
        <w:lang w:val="en-US" w:eastAsia="en-US" w:bidi="ar-SA"/>
      </w:rPr>
    </w:lvl>
    <w:lvl w:ilvl="2" w:tplc="B2ECB1BE">
      <w:numFmt w:val="bullet"/>
      <w:lvlText w:val="•"/>
      <w:lvlJc w:val="left"/>
      <w:pPr>
        <w:ind w:left="1842" w:hanging="363"/>
      </w:pPr>
      <w:rPr>
        <w:rFonts w:hint="default"/>
        <w:lang w:val="en-US" w:eastAsia="en-US" w:bidi="ar-SA"/>
      </w:rPr>
    </w:lvl>
    <w:lvl w:ilvl="3" w:tplc="75EC620A">
      <w:numFmt w:val="bullet"/>
      <w:lvlText w:val="•"/>
      <w:lvlJc w:val="left"/>
      <w:pPr>
        <w:ind w:left="2845" w:hanging="363"/>
      </w:pPr>
      <w:rPr>
        <w:rFonts w:hint="default"/>
        <w:lang w:val="en-US" w:eastAsia="en-US" w:bidi="ar-SA"/>
      </w:rPr>
    </w:lvl>
    <w:lvl w:ilvl="4" w:tplc="AE684A90">
      <w:numFmt w:val="bullet"/>
      <w:lvlText w:val="•"/>
      <w:lvlJc w:val="left"/>
      <w:pPr>
        <w:ind w:left="3848" w:hanging="363"/>
      </w:pPr>
      <w:rPr>
        <w:rFonts w:hint="default"/>
        <w:lang w:val="en-US" w:eastAsia="en-US" w:bidi="ar-SA"/>
      </w:rPr>
    </w:lvl>
    <w:lvl w:ilvl="5" w:tplc="E54E5C60">
      <w:numFmt w:val="bullet"/>
      <w:lvlText w:val="•"/>
      <w:lvlJc w:val="left"/>
      <w:pPr>
        <w:ind w:left="4851" w:hanging="363"/>
      </w:pPr>
      <w:rPr>
        <w:rFonts w:hint="default"/>
        <w:lang w:val="en-US" w:eastAsia="en-US" w:bidi="ar-SA"/>
      </w:rPr>
    </w:lvl>
    <w:lvl w:ilvl="6" w:tplc="2A80E6C2">
      <w:numFmt w:val="bullet"/>
      <w:lvlText w:val="•"/>
      <w:lvlJc w:val="left"/>
      <w:pPr>
        <w:ind w:left="5854" w:hanging="363"/>
      </w:pPr>
      <w:rPr>
        <w:rFonts w:hint="default"/>
        <w:lang w:val="en-US" w:eastAsia="en-US" w:bidi="ar-SA"/>
      </w:rPr>
    </w:lvl>
    <w:lvl w:ilvl="7" w:tplc="208AA6CA">
      <w:numFmt w:val="bullet"/>
      <w:lvlText w:val="•"/>
      <w:lvlJc w:val="left"/>
      <w:pPr>
        <w:ind w:left="6857" w:hanging="363"/>
      </w:pPr>
      <w:rPr>
        <w:rFonts w:hint="default"/>
        <w:lang w:val="en-US" w:eastAsia="en-US" w:bidi="ar-SA"/>
      </w:rPr>
    </w:lvl>
    <w:lvl w:ilvl="8" w:tplc="30241C8A">
      <w:numFmt w:val="bullet"/>
      <w:lvlText w:val="•"/>
      <w:lvlJc w:val="left"/>
      <w:pPr>
        <w:ind w:left="7859" w:hanging="363"/>
      </w:pPr>
      <w:rPr>
        <w:rFonts w:hint="default"/>
        <w:lang w:val="en-US" w:eastAsia="en-US" w:bidi="ar-SA"/>
      </w:rPr>
    </w:lvl>
  </w:abstractNum>
  <w:abstractNum w:abstractNumId="3" w15:restartNumberingAfterBreak="0">
    <w:nsid w:val="4B93040C"/>
    <w:multiLevelType w:val="hybridMultilevel"/>
    <w:tmpl w:val="BFC687EA"/>
    <w:lvl w:ilvl="0" w:tplc="A7D89122">
      <w:start w:val="1"/>
      <w:numFmt w:val="decimal"/>
      <w:lvlText w:val="(%1)"/>
      <w:lvlJc w:val="left"/>
      <w:pPr>
        <w:ind w:left="533" w:hanging="420"/>
        <w:jc w:val="left"/>
      </w:pPr>
      <w:rPr>
        <w:rFonts w:ascii="Times New Roman" w:eastAsia="Times New Roman" w:hAnsi="Times New Roman" w:cs="Times New Roman" w:hint="default"/>
        <w:spacing w:val="0"/>
        <w:w w:val="100"/>
        <w:sz w:val="22"/>
        <w:szCs w:val="22"/>
        <w:lang w:val="en-US" w:eastAsia="en-US" w:bidi="ar-SA"/>
      </w:rPr>
    </w:lvl>
    <w:lvl w:ilvl="1" w:tplc="6B1A4DCA">
      <w:numFmt w:val="bullet"/>
      <w:lvlText w:val=""/>
      <w:lvlJc w:val="left"/>
      <w:pPr>
        <w:ind w:left="826" w:hanging="363"/>
      </w:pPr>
      <w:rPr>
        <w:rFonts w:ascii="Symbol" w:eastAsia="Symbol" w:hAnsi="Symbol" w:cs="Symbol" w:hint="default"/>
        <w:w w:val="100"/>
        <w:sz w:val="22"/>
        <w:szCs w:val="22"/>
        <w:lang w:val="en-US" w:eastAsia="en-US" w:bidi="ar-SA"/>
      </w:rPr>
    </w:lvl>
    <w:lvl w:ilvl="2" w:tplc="C45A56E2">
      <w:numFmt w:val="bullet"/>
      <w:lvlText w:val="•"/>
      <w:lvlJc w:val="left"/>
      <w:pPr>
        <w:ind w:left="1825" w:hanging="363"/>
      </w:pPr>
      <w:rPr>
        <w:rFonts w:hint="default"/>
        <w:lang w:val="en-US" w:eastAsia="en-US" w:bidi="ar-SA"/>
      </w:rPr>
    </w:lvl>
    <w:lvl w:ilvl="3" w:tplc="77E4D82A">
      <w:numFmt w:val="bullet"/>
      <w:lvlText w:val="•"/>
      <w:lvlJc w:val="left"/>
      <w:pPr>
        <w:ind w:left="2830" w:hanging="363"/>
      </w:pPr>
      <w:rPr>
        <w:rFonts w:hint="default"/>
        <w:lang w:val="en-US" w:eastAsia="en-US" w:bidi="ar-SA"/>
      </w:rPr>
    </w:lvl>
    <w:lvl w:ilvl="4" w:tplc="4A66AD2C">
      <w:numFmt w:val="bullet"/>
      <w:lvlText w:val="•"/>
      <w:lvlJc w:val="left"/>
      <w:pPr>
        <w:ind w:left="3835" w:hanging="363"/>
      </w:pPr>
      <w:rPr>
        <w:rFonts w:hint="default"/>
        <w:lang w:val="en-US" w:eastAsia="en-US" w:bidi="ar-SA"/>
      </w:rPr>
    </w:lvl>
    <w:lvl w:ilvl="5" w:tplc="EC68F0E6">
      <w:numFmt w:val="bullet"/>
      <w:lvlText w:val="•"/>
      <w:lvlJc w:val="left"/>
      <w:pPr>
        <w:ind w:left="4840" w:hanging="363"/>
      </w:pPr>
      <w:rPr>
        <w:rFonts w:hint="default"/>
        <w:lang w:val="en-US" w:eastAsia="en-US" w:bidi="ar-SA"/>
      </w:rPr>
    </w:lvl>
    <w:lvl w:ilvl="6" w:tplc="46AED7A4">
      <w:numFmt w:val="bullet"/>
      <w:lvlText w:val="•"/>
      <w:lvlJc w:val="left"/>
      <w:pPr>
        <w:ind w:left="5845" w:hanging="363"/>
      </w:pPr>
      <w:rPr>
        <w:rFonts w:hint="default"/>
        <w:lang w:val="en-US" w:eastAsia="en-US" w:bidi="ar-SA"/>
      </w:rPr>
    </w:lvl>
    <w:lvl w:ilvl="7" w:tplc="7120714A">
      <w:numFmt w:val="bullet"/>
      <w:lvlText w:val="•"/>
      <w:lvlJc w:val="left"/>
      <w:pPr>
        <w:ind w:left="6850" w:hanging="363"/>
      </w:pPr>
      <w:rPr>
        <w:rFonts w:hint="default"/>
        <w:lang w:val="en-US" w:eastAsia="en-US" w:bidi="ar-SA"/>
      </w:rPr>
    </w:lvl>
    <w:lvl w:ilvl="8" w:tplc="979CEA2E">
      <w:numFmt w:val="bullet"/>
      <w:lvlText w:val="•"/>
      <w:lvlJc w:val="left"/>
      <w:pPr>
        <w:ind w:left="7855" w:hanging="363"/>
      </w:pPr>
      <w:rPr>
        <w:rFonts w:hint="default"/>
        <w:lang w:val="en-US" w:eastAsia="en-US" w:bidi="ar-SA"/>
      </w:rPr>
    </w:lvl>
  </w:abstractNum>
  <w:abstractNum w:abstractNumId="4" w15:restartNumberingAfterBreak="0">
    <w:nsid w:val="5A3451A6"/>
    <w:multiLevelType w:val="hybridMultilevel"/>
    <w:tmpl w:val="141263C6"/>
    <w:lvl w:ilvl="0" w:tplc="36500438">
      <w:start w:val="1"/>
      <w:numFmt w:val="decimal"/>
      <w:lvlText w:val="%1."/>
      <w:lvlJc w:val="left"/>
      <w:pPr>
        <w:ind w:left="821" w:hanging="425"/>
        <w:jc w:val="left"/>
      </w:pPr>
      <w:rPr>
        <w:rFonts w:ascii="Times New Roman" w:eastAsia="Times New Roman" w:hAnsi="Times New Roman" w:cs="Times New Roman" w:hint="default"/>
        <w:w w:val="100"/>
        <w:sz w:val="22"/>
        <w:szCs w:val="22"/>
        <w:lang w:val="en-US" w:eastAsia="en-US" w:bidi="ar-SA"/>
      </w:rPr>
    </w:lvl>
    <w:lvl w:ilvl="1" w:tplc="1E32A42C">
      <w:numFmt w:val="bullet"/>
      <w:lvlText w:val="•"/>
      <w:lvlJc w:val="left"/>
      <w:pPr>
        <w:ind w:left="1724" w:hanging="425"/>
      </w:pPr>
      <w:rPr>
        <w:rFonts w:hint="default"/>
        <w:lang w:val="en-US" w:eastAsia="en-US" w:bidi="ar-SA"/>
      </w:rPr>
    </w:lvl>
    <w:lvl w:ilvl="2" w:tplc="94980E60">
      <w:numFmt w:val="bullet"/>
      <w:lvlText w:val="•"/>
      <w:lvlJc w:val="left"/>
      <w:pPr>
        <w:ind w:left="2629" w:hanging="425"/>
      </w:pPr>
      <w:rPr>
        <w:rFonts w:hint="default"/>
        <w:lang w:val="en-US" w:eastAsia="en-US" w:bidi="ar-SA"/>
      </w:rPr>
    </w:lvl>
    <w:lvl w:ilvl="3" w:tplc="DAAEC902">
      <w:numFmt w:val="bullet"/>
      <w:lvlText w:val="•"/>
      <w:lvlJc w:val="left"/>
      <w:pPr>
        <w:ind w:left="3533" w:hanging="425"/>
      </w:pPr>
      <w:rPr>
        <w:rFonts w:hint="default"/>
        <w:lang w:val="en-US" w:eastAsia="en-US" w:bidi="ar-SA"/>
      </w:rPr>
    </w:lvl>
    <w:lvl w:ilvl="4" w:tplc="0632FED2">
      <w:numFmt w:val="bullet"/>
      <w:lvlText w:val="•"/>
      <w:lvlJc w:val="left"/>
      <w:pPr>
        <w:ind w:left="4438" w:hanging="425"/>
      </w:pPr>
      <w:rPr>
        <w:rFonts w:hint="default"/>
        <w:lang w:val="en-US" w:eastAsia="en-US" w:bidi="ar-SA"/>
      </w:rPr>
    </w:lvl>
    <w:lvl w:ilvl="5" w:tplc="672C6A68">
      <w:numFmt w:val="bullet"/>
      <w:lvlText w:val="•"/>
      <w:lvlJc w:val="left"/>
      <w:pPr>
        <w:ind w:left="5342" w:hanging="425"/>
      </w:pPr>
      <w:rPr>
        <w:rFonts w:hint="default"/>
        <w:lang w:val="en-US" w:eastAsia="en-US" w:bidi="ar-SA"/>
      </w:rPr>
    </w:lvl>
    <w:lvl w:ilvl="6" w:tplc="75C6B048">
      <w:numFmt w:val="bullet"/>
      <w:lvlText w:val="•"/>
      <w:lvlJc w:val="left"/>
      <w:pPr>
        <w:ind w:left="6247" w:hanging="425"/>
      </w:pPr>
      <w:rPr>
        <w:rFonts w:hint="default"/>
        <w:lang w:val="en-US" w:eastAsia="en-US" w:bidi="ar-SA"/>
      </w:rPr>
    </w:lvl>
    <w:lvl w:ilvl="7" w:tplc="42307E8A">
      <w:numFmt w:val="bullet"/>
      <w:lvlText w:val="•"/>
      <w:lvlJc w:val="left"/>
      <w:pPr>
        <w:ind w:left="7151" w:hanging="425"/>
      </w:pPr>
      <w:rPr>
        <w:rFonts w:hint="default"/>
        <w:lang w:val="en-US" w:eastAsia="en-US" w:bidi="ar-SA"/>
      </w:rPr>
    </w:lvl>
    <w:lvl w:ilvl="8" w:tplc="0FB27732">
      <w:numFmt w:val="bullet"/>
      <w:lvlText w:val="•"/>
      <w:lvlJc w:val="left"/>
      <w:pPr>
        <w:ind w:left="8056" w:hanging="425"/>
      </w:pPr>
      <w:rPr>
        <w:rFonts w:hint="default"/>
        <w:lang w:val="en-US" w:eastAsia="en-US" w:bidi="ar-S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70"/>
    <w:rsid w:val="00043430"/>
    <w:rsid w:val="005D7BF1"/>
    <w:rsid w:val="00661870"/>
    <w:rsid w:val="0087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4B29E"/>
  <w15:docId w15:val="{F41F0B0A-7B8F-4924-BCBB-B0996755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uiPriority w:val="9"/>
    <w:qFormat/>
    <w:pPr>
      <w:spacing w:before="173"/>
      <w:ind w:left="598" w:right="242"/>
      <w:jc w:val="center"/>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19"/>
      <w:ind w:left="113"/>
    </w:pPr>
  </w:style>
  <w:style w:type="paragraph" w:styleId="Telobesedila">
    <w:name w:val="Body Text"/>
    <w:basedOn w:val="Navaden"/>
    <w:uiPriority w:val="1"/>
    <w:qFormat/>
  </w:style>
  <w:style w:type="paragraph" w:styleId="Naslov">
    <w:name w:val="Title"/>
    <w:basedOn w:val="Navaden"/>
    <w:uiPriority w:val="10"/>
    <w:qFormat/>
    <w:pPr>
      <w:spacing w:before="85"/>
      <w:ind w:left="594" w:right="594"/>
      <w:jc w:val="center"/>
    </w:pPr>
    <w:rPr>
      <w:b/>
      <w:bCs/>
      <w:sz w:val="36"/>
      <w:szCs w:val="36"/>
    </w:rPr>
  </w:style>
  <w:style w:type="paragraph" w:styleId="Odstavekseznama">
    <w:name w:val="List Paragraph"/>
    <w:basedOn w:val="Navaden"/>
    <w:uiPriority w:val="1"/>
    <w:qFormat/>
    <w:pPr>
      <w:spacing w:before="119"/>
      <w:ind w:left="473" w:hanging="363"/>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8051</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Microsoft Word - JV12_za objavo.doc</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JV12_za objavo.doc</dc:title>
  <dc:creator>IgorS</dc:creator>
  <cp:lastModifiedBy>Neža Kompare</cp:lastModifiedBy>
  <cp:revision>3</cp:revision>
  <dcterms:created xsi:type="dcterms:W3CDTF">2020-09-22T13:53:00Z</dcterms:created>
  <dcterms:modified xsi:type="dcterms:W3CDTF">2020-09-22T13:55:00Z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2011-04-13T00:00:00Z</vt:filetime>
  </property>
  <property fmtid="{D5CDD505-2E9C-101B-9397-08002B2CF9AE}" pid="3" name="Creator">
    <vt:lpwstr>PrimoPDF http://www.primopdf.com</vt:lpwstr>
  </property>
  <property fmtid="{D5CDD505-2E9C-101B-9397-08002B2CF9AE}" pid="4" name="LastSaved">
    <vt:filetime>2020-09-22T00:00:00Z</vt:filetime>
  </property>
</Properties>
</file>